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1.购买会员大礼包2.复购产品8.捐赠13项目合作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85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2018-11-25T03:23:48Z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