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C3A51" w14:textId="77777777" w:rsidR="00B45489" w:rsidRPr="00461154" w:rsidRDefault="00B45489" w:rsidP="00461154">
      <w:pPr>
        <w:spacing w:before="120" w:line="257" w:lineRule="auto"/>
        <w:jc w:val="center"/>
        <w:rPr>
          <w:rFonts w:ascii="Trebuchet MS" w:hAnsi="Trebuchet MS"/>
          <w:b/>
          <w:color w:val="7030A0"/>
          <w:sz w:val="28"/>
        </w:rPr>
      </w:pPr>
      <w:bookmarkStart w:id="0" w:name="_GoBack"/>
      <w:bookmarkEnd w:id="0"/>
      <w:r w:rsidRPr="00FA46A8">
        <w:rPr>
          <w:rFonts w:ascii="Trebuchet MS" w:hAnsi="Trebuchet MS"/>
          <w:b/>
          <w:color w:val="7030A0"/>
          <w:sz w:val="28"/>
        </w:rPr>
        <w:t>FONDO FIJO</w:t>
      </w:r>
    </w:p>
    <w:p w14:paraId="2C662D2A" w14:textId="77777777" w:rsidR="00B45489" w:rsidRPr="00C61137" w:rsidRDefault="00B45489" w:rsidP="00B45489">
      <w:pPr>
        <w:pStyle w:val="Prrafodelista"/>
        <w:numPr>
          <w:ilvl w:val="0"/>
          <w:numId w:val="7"/>
        </w:numPr>
        <w:spacing w:line="259" w:lineRule="auto"/>
        <w:rPr>
          <w:rFonts w:ascii="Trebuchet MS" w:hAnsi="Trebuchet MS"/>
          <w:b/>
          <w:color w:val="0070C0"/>
        </w:rPr>
      </w:pPr>
      <w:r w:rsidRPr="00C61137">
        <w:rPr>
          <w:rFonts w:ascii="Trebuchet MS" w:hAnsi="Trebuchet MS"/>
          <w:b/>
          <w:color w:val="0070C0"/>
        </w:rPr>
        <w:t>Asignación de fondo fijo.</w:t>
      </w:r>
    </w:p>
    <w:p w14:paraId="66DF61C6" w14:textId="77777777" w:rsidR="00B45489" w:rsidRPr="00C61137" w:rsidRDefault="00B45489" w:rsidP="00B45489">
      <w:pPr>
        <w:ind w:left="360"/>
        <w:rPr>
          <w:rFonts w:ascii="Trebuchet MS" w:hAnsi="Trebuchet MS"/>
        </w:rPr>
      </w:pPr>
      <w:r w:rsidRPr="00C61137">
        <w:rPr>
          <w:rFonts w:ascii="Trebuchet MS" w:hAnsi="Trebuchet MS"/>
        </w:rPr>
        <w:t>El Fondo Fijo es asignado a un responsable.</w:t>
      </w:r>
    </w:p>
    <w:p w14:paraId="22B6C7A4" w14:textId="77777777" w:rsidR="00B45489" w:rsidRPr="00C61137" w:rsidRDefault="00B45489" w:rsidP="00B45489">
      <w:pPr>
        <w:ind w:left="360"/>
        <w:rPr>
          <w:rFonts w:ascii="Trebuchet MS" w:hAnsi="Trebuchet MS"/>
        </w:rPr>
      </w:pPr>
      <w:r w:rsidRPr="00C61137">
        <w:rPr>
          <w:rFonts w:ascii="Trebuchet MS" w:hAnsi="Trebuchet MS"/>
        </w:rPr>
        <w:t>Se puede tener uno o varios fondos fijos por agencia, cada uno de ellos asignados a un Id de una persona.</w:t>
      </w:r>
    </w:p>
    <w:p w14:paraId="5915A8D5" w14:textId="77777777" w:rsidR="00B45489" w:rsidRPr="00C61137" w:rsidRDefault="00B45489" w:rsidP="00B45489">
      <w:pPr>
        <w:ind w:left="360"/>
        <w:rPr>
          <w:rFonts w:ascii="Trebuchet MS" w:hAnsi="Trebuchet MS"/>
        </w:rPr>
      </w:pPr>
      <w:r w:rsidRPr="00C61137">
        <w:rPr>
          <w:rFonts w:ascii="Trebuchet MS" w:hAnsi="Trebuchet MS"/>
        </w:rPr>
        <w:t>El fondo fijo no necesariamente se ejercerá para un Departamento</w:t>
      </w:r>
    </w:p>
    <w:p w14:paraId="2EFACD72" w14:textId="77777777" w:rsidR="00B45489" w:rsidRPr="009C794F" w:rsidRDefault="00B45489" w:rsidP="00B45489">
      <w:pPr>
        <w:ind w:left="360"/>
        <w:rPr>
          <w:rFonts w:ascii="Trebuchet MS" w:hAnsi="Trebuchet MS"/>
          <w:color w:val="FF0000"/>
        </w:rPr>
      </w:pPr>
      <w:r w:rsidRPr="00C61137">
        <w:rPr>
          <w:rFonts w:ascii="Trebuchet MS" w:hAnsi="Trebuchet MS"/>
        </w:rPr>
        <w:t>Cada responsable firma un pagaré, con el que avala el fondo fijo que recibe.</w:t>
      </w:r>
      <w:r w:rsidR="009C794F">
        <w:rPr>
          <w:rFonts w:ascii="Trebuchet MS" w:hAnsi="Trebuchet MS"/>
        </w:rPr>
        <w:t xml:space="preserve"> </w:t>
      </w:r>
      <w:r w:rsidR="009C794F">
        <w:rPr>
          <w:rFonts w:ascii="Trebuchet MS" w:hAnsi="Trebuchet MS"/>
          <w:color w:val="FF0000"/>
        </w:rPr>
        <w:t xml:space="preserve">y este pagaré y responsiva se guarda en sistema – Creación de fondo fijo- creación de la necesidad, autorización del fondo y una vez autorizado se genera el registro </w:t>
      </w:r>
      <w:proofErr w:type="gramStart"/>
      <w:r w:rsidR="009C794F">
        <w:rPr>
          <w:rFonts w:ascii="Trebuchet MS" w:hAnsi="Trebuchet MS"/>
          <w:color w:val="FF0000"/>
        </w:rPr>
        <w:t>contable :</w:t>
      </w:r>
      <w:proofErr w:type="gramEnd"/>
      <w:r w:rsidR="009C794F">
        <w:rPr>
          <w:rFonts w:ascii="Trebuchet MS" w:hAnsi="Trebuchet MS"/>
          <w:color w:val="FF0000"/>
        </w:rPr>
        <w:t xml:space="preserve"> Cargo a Fondo Fijo con cartera con abono a cuenta por pagar con Cartera, este último se forma para pago de inmediato mediante la toma del dinero de la caja general u orden de pago.</w:t>
      </w:r>
    </w:p>
    <w:p w14:paraId="66A84EA0" w14:textId="77777777" w:rsidR="00B45489" w:rsidRPr="00C61137" w:rsidRDefault="00B45489" w:rsidP="00B45489">
      <w:pPr>
        <w:pStyle w:val="Prrafodelista"/>
        <w:numPr>
          <w:ilvl w:val="0"/>
          <w:numId w:val="7"/>
        </w:numPr>
        <w:spacing w:line="259" w:lineRule="auto"/>
        <w:rPr>
          <w:rFonts w:ascii="Trebuchet MS" w:hAnsi="Trebuchet MS"/>
          <w:b/>
          <w:color w:val="0070C0"/>
        </w:rPr>
      </w:pPr>
      <w:r w:rsidRPr="00C61137">
        <w:rPr>
          <w:rFonts w:ascii="Trebuchet MS" w:hAnsi="Trebuchet MS"/>
          <w:b/>
          <w:color w:val="0070C0"/>
        </w:rPr>
        <w:t>Solicitud de importe para realizar un gasto.</w:t>
      </w:r>
    </w:p>
    <w:p w14:paraId="61DD4383" w14:textId="77777777" w:rsidR="00B45489" w:rsidRDefault="00B45489" w:rsidP="00B45489">
      <w:pPr>
        <w:ind w:left="360"/>
        <w:rPr>
          <w:rFonts w:ascii="Trebuchet MS" w:hAnsi="Trebuchet MS"/>
        </w:rPr>
      </w:pPr>
      <w:r w:rsidRPr="00C61137">
        <w:rPr>
          <w:rFonts w:ascii="Trebuchet MS" w:hAnsi="Trebuchet MS"/>
        </w:rPr>
        <w:t>Cuando un empleado requiere un gasto, genera una petición de dinero. Esta petición se debe registrar como una pre</w:t>
      </w:r>
      <w:r>
        <w:rPr>
          <w:rFonts w:ascii="Trebuchet MS" w:hAnsi="Trebuchet MS"/>
        </w:rPr>
        <w:t>-o</w:t>
      </w:r>
      <w:r w:rsidRPr="00C61137">
        <w:rPr>
          <w:rFonts w:ascii="Trebuchet MS" w:hAnsi="Trebuchet MS"/>
        </w:rPr>
        <w:t>rden.</w:t>
      </w:r>
    </w:p>
    <w:p w14:paraId="0073EE4E" w14:textId="77777777" w:rsidR="00B45489" w:rsidRPr="009C794F" w:rsidRDefault="00B45489" w:rsidP="00B45489">
      <w:pPr>
        <w:ind w:left="360"/>
        <w:rPr>
          <w:rFonts w:ascii="Trebuchet MS" w:hAnsi="Trebuchet MS"/>
          <w:color w:val="FF0000"/>
        </w:rPr>
      </w:pPr>
      <w:r>
        <w:rPr>
          <w:rFonts w:ascii="Trebuchet MS" w:hAnsi="Trebuchet MS"/>
        </w:rPr>
        <w:t>Al realizar la solicitud, se debe especificar el o los conceptos a que corresponde el gasto y el importe para cada uno.</w:t>
      </w:r>
      <w:r w:rsidR="009C794F">
        <w:rPr>
          <w:rFonts w:ascii="Trebuchet MS" w:hAnsi="Trebuchet MS"/>
        </w:rPr>
        <w:t xml:space="preserve"> </w:t>
      </w:r>
      <w:r w:rsidR="002957B7">
        <w:rPr>
          <w:rFonts w:ascii="Trebuchet MS" w:hAnsi="Trebuchet MS"/>
          <w:color w:val="FF0000"/>
        </w:rPr>
        <w:t>Siempre</w:t>
      </w:r>
      <w:r w:rsidR="009C794F">
        <w:rPr>
          <w:rFonts w:ascii="Trebuchet MS" w:hAnsi="Trebuchet MS"/>
          <w:color w:val="FF0000"/>
        </w:rPr>
        <w:t xml:space="preserve"> hay autorización de Gerente de </w:t>
      </w:r>
      <w:r w:rsidR="00CE6D02">
        <w:rPr>
          <w:rFonts w:ascii="Trebuchet MS" w:hAnsi="Trebuchet MS"/>
          <w:color w:val="FF0000"/>
        </w:rPr>
        <w:t>área</w:t>
      </w:r>
    </w:p>
    <w:p w14:paraId="7A89E785" w14:textId="77777777" w:rsidR="00B45489" w:rsidRPr="00C61137" w:rsidRDefault="00B45489" w:rsidP="00B45489">
      <w:pPr>
        <w:ind w:left="360"/>
        <w:rPr>
          <w:rFonts w:ascii="Trebuchet MS" w:hAnsi="Trebuchet MS"/>
        </w:rPr>
      </w:pPr>
      <w:r w:rsidRPr="00C61137">
        <w:rPr>
          <w:rFonts w:ascii="Trebuchet MS" w:hAnsi="Trebuchet MS"/>
        </w:rPr>
        <w:t xml:space="preserve">Se tiene un límite de hasta $2,000 </w:t>
      </w:r>
      <w:r w:rsidR="009C794F">
        <w:rPr>
          <w:rFonts w:ascii="Trebuchet MS" w:hAnsi="Trebuchet MS"/>
          <w:color w:val="FF0000"/>
        </w:rPr>
        <w:t xml:space="preserve">para un concepto de gasto toda vez q se paga en efectivo </w:t>
      </w:r>
      <w:r w:rsidRPr="009C794F">
        <w:rPr>
          <w:rFonts w:ascii="Trebuchet MS" w:hAnsi="Trebuchet MS"/>
          <w:strike/>
        </w:rPr>
        <w:t>por empleado</w:t>
      </w:r>
      <w:r w:rsidRPr="00C61137">
        <w:rPr>
          <w:rFonts w:ascii="Trebuchet MS" w:hAnsi="Trebuchet MS"/>
        </w:rPr>
        <w:t xml:space="preserve"> para este tipo de solicitudes. Se debe considerar que este importe se pueda parametrizar.</w:t>
      </w:r>
    </w:p>
    <w:p w14:paraId="1783DA92" w14:textId="77777777" w:rsidR="00B45489" w:rsidRPr="00C61137" w:rsidRDefault="00B45489" w:rsidP="00B45489">
      <w:pPr>
        <w:ind w:left="360"/>
        <w:rPr>
          <w:rFonts w:ascii="Trebuchet MS" w:hAnsi="Trebuchet MS"/>
        </w:rPr>
      </w:pPr>
      <w:r w:rsidRPr="00C61137">
        <w:rPr>
          <w:rFonts w:ascii="Trebuchet MS" w:hAnsi="Trebuchet MS"/>
        </w:rPr>
        <w:t>Si un empleado requiere solicitar un monto mayor, se debe solicitar una autorización.</w:t>
      </w:r>
    </w:p>
    <w:p w14:paraId="3864DECB" w14:textId="77777777" w:rsidR="00B45489" w:rsidRPr="00C61137" w:rsidRDefault="00B45489" w:rsidP="00B45489">
      <w:pPr>
        <w:ind w:left="360"/>
        <w:rPr>
          <w:rFonts w:ascii="Trebuchet MS" w:hAnsi="Trebuchet MS"/>
        </w:rPr>
      </w:pPr>
      <w:r w:rsidRPr="00C61137">
        <w:rPr>
          <w:rFonts w:ascii="Trebuchet MS" w:hAnsi="Trebuchet MS"/>
        </w:rPr>
        <w:t>La autorización la debe dar el gerente de área a la que corresponde el gasto.</w:t>
      </w:r>
    </w:p>
    <w:p w14:paraId="10C3DDBA" w14:textId="77777777" w:rsidR="00B45489" w:rsidRPr="00147632" w:rsidRDefault="00B45489" w:rsidP="00B45489">
      <w:pPr>
        <w:ind w:left="360"/>
        <w:rPr>
          <w:rFonts w:ascii="Trebuchet MS" w:hAnsi="Trebuchet MS"/>
          <w:color w:val="FF0000"/>
        </w:rPr>
      </w:pPr>
      <w:r w:rsidRPr="00C61137">
        <w:rPr>
          <w:rFonts w:ascii="Trebuchet MS" w:hAnsi="Trebuchet MS"/>
        </w:rPr>
        <w:t xml:space="preserve">Se debe permitir parametrizar a los diferentes autorizadores, especificando monto y área. </w:t>
      </w:r>
      <w:r w:rsidR="009C794F">
        <w:rPr>
          <w:rFonts w:ascii="Trebuchet MS" w:hAnsi="Trebuchet MS"/>
        </w:rPr>
        <w:t xml:space="preserve">, </w:t>
      </w:r>
      <w:r w:rsidR="00147632" w:rsidRPr="00147632">
        <w:rPr>
          <w:rFonts w:ascii="Trebuchet MS" w:hAnsi="Trebuchet MS"/>
          <w:color w:val="FF0000"/>
        </w:rPr>
        <w:t>respetando</w:t>
      </w:r>
      <w:r w:rsidR="00147632">
        <w:rPr>
          <w:rFonts w:ascii="Trebuchet MS" w:hAnsi="Trebuchet MS"/>
          <w:color w:val="FF0000"/>
        </w:rPr>
        <w:t xml:space="preserve"> presupuesto y nivel de autorización por cada gerente o director</w:t>
      </w:r>
      <w:r w:rsidR="00147632" w:rsidRPr="00147632">
        <w:rPr>
          <w:rFonts w:ascii="Trebuchet MS" w:hAnsi="Trebuchet MS"/>
          <w:color w:val="FF0000"/>
        </w:rPr>
        <w:t xml:space="preserve"> </w:t>
      </w:r>
    </w:p>
    <w:p w14:paraId="451DE317" w14:textId="77777777" w:rsidR="00B45489" w:rsidRPr="00C61137" w:rsidRDefault="00B45489" w:rsidP="00B45489">
      <w:pPr>
        <w:ind w:left="360"/>
        <w:rPr>
          <w:rFonts w:ascii="Trebuchet MS" w:hAnsi="Trebuchet MS"/>
        </w:rPr>
      </w:pPr>
      <w:r w:rsidRPr="00C61137">
        <w:rPr>
          <w:rFonts w:ascii="Trebuchet MS" w:hAnsi="Trebuchet MS"/>
        </w:rPr>
        <w:t>El vale se asocia al departamento del usuario que lo solicita.</w:t>
      </w:r>
    </w:p>
    <w:p w14:paraId="269DBDE0" w14:textId="77777777" w:rsidR="00B45489" w:rsidRPr="00C61137" w:rsidRDefault="00B45489" w:rsidP="00B45489">
      <w:pPr>
        <w:ind w:left="360"/>
        <w:rPr>
          <w:rFonts w:ascii="Trebuchet MS" w:hAnsi="Trebuchet MS"/>
        </w:rPr>
      </w:pPr>
      <w:r w:rsidRPr="00C61137">
        <w:rPr>
          <w:rFonts w:ascii="Trebuchet MS" w:hAnsi="Trebuchet MS"/>
        </w:rPr>
        <w:t>El empleado acude a caja para solicitar el efectivo.</w:t>
      </w:r>
    </w:p>
    <w:p w14:paraId="0C8A1006" w14:textId="77777777" w:rsidR="00B45489" w:rsidRPr="00C61137" w:rsidRDefault="00B45489" w:rsidP="00B45489">
      <w:pPr>
        <w:ind w:left="360"/>
        <w:rPr>
          <w:rFonts w:ascii="Trebuchet MS" w:hAnsi="Trebuchet MS"/>
        </w:rPr>
      </w:pPr>
      <w:r w:rsidRPr="00C61137">
        <w:rPr>
          <w:rFonts w:ascii="Trebuchet MS" w:hAnsi="Trebuchet MS"/>
        </w:rPr>
        <w:t>Por política, si alguien tiene vales autorizados que no ha comprobado, no se otorgan nuevos vales, esto es que solamente se puede tener un vale sin comprobación por usuario.</w:t>
      </w:r>
    </w:p>
    <w:p w14:paraId="27955AE5" w14:textId="77777777" w:rsidR="00B45489" w:rsidRPr="00C61137" w:rsidRDefault="00B45489" w:rsidP="00B45489">
      <w:pPr>
        <w:ind w:left="360"/>
        <w:rPr>
          <w:rFonts w:ascii="Trebuchet MS" w:hAnsi="Trebuchet MS"/>
        </w:rPr>
      </w:pPr>
      <w:r w:rsidRPr="00C61137">
        <w:rPr>
          <w:rFonts w:ascii="Trebuchet MS" w:hAnsi="Trebuchet MS"/>
        </w:rPr>
        <w:t>Cuando se compruebe el vale, se podrá solicitar un nuevo vale.</w:t>
      </w:r>
    </w:p>
    <w:p w14:paraId="27CCDD2F" w14:textId="77777777" w:rsidR="00B45489" w:rsidRPr="00C61137" w:rsidRDefault="00B45489" w:rsidP="00B45489">
      <w:pPr>
        <w:ind w:left="360"/>
        <w:rPr>
          <w:rFonts w:ascii="Trebuchet MS" w:hAnsi="Trebuchet MS"/>
        </w:rPr>
      </w:pPr>
      <w:r w:rsidRPr="00C61137">
        <w:rPr>
          <w:rFonts w:ascii="Trebuchet MS" w:hAnsi="Trebuchet MS"/>
        </w:rPr>
        <w:t>En caso de requerirse un nuevo vale sin comprobación del anterior, se podrá otorgar con autorización del siguiente nivel al inmediato superior, con copia al nivel superior.</w:t>
      </w:r>
    </w:p>
    <w:p w14:paraId="794E0D51" w14:textId="77777777" w:rsidR="00B45489" w:rsidRDefault="00B45489" w:rsidP="00B45489">
      <w:pPr>
        <w:ind w:left="360"/>
        <w:rPr>
          <w:rFonts w:ascii="Trebuchet MS" w:hAnsi="Trebuchet MS"/>
        </w:rPr>
      </w:pPr>
      <w:r w:rsidRPr="00C61137">
        <w:rPr>
          <w:rFonts w:ascii="Trebuchet MS" w:hAnsi="Trebuchet MS"/>
        </w:rPr>
        <w:t>El empleado firma al cajero a la entrega del dinero.</w:t>
      </w:r>
    </w:p>
    <w:p w14:paraId="4261D3F0" w14:textId="77777777" w:rsidR="00D97D2A" w:rsidRPr="00C61137" w:rsidRDefault="00D97D2A" w:rsidP="00B45489">
      <w:pPr>
        <w:ind w:left="360"/>
        <w:rPr>
          <w:rFonts w:ascii="Trebuchet MS" w:hAnsi="Trebuchet MS"/>
        </w:rPr>
      </w:pPr>
    </w:p>
    <w:p w14:paraId="3E0C6D3D" w14:textId="77777777" w:rsidR="00B45489" w:rsidRPr="00C61137" w:rsidRDefault="00B45489" w:rsidP="00B45489">
      <w:pPr>
        <w:pStyle w:val="Prrafodelista"/>
        <w:numPr>
          <w:ilvl w:val="0"/>
          <w:numId w:val="7"/>
        </w:numPr>
        <w:spacing w:line="259" w:lineRule="auto"/>
        <w:rPr>
          <w:rFonts w:ascii="Trebuchet MS" w:hAnsi="Trebuchet MS"/>
          <w:b/>
          <w:color w:val="0070C0"/>
        </w:rPr>
      </w:pPr>
      <w:r>
        <w:rPr>
          <w:rFonts w:ascii="Trebuchet MS" w:hAnsi="Trebuchet MS"/>
          <w:b/>
          <w:color w:val="0070C0"/>
        </w:rPr>
        <w:lastRenderedPageBreak/>
        <w:t>Generación de órdenes de compra para c</w:t>
      </w:r>
      <w:r w:rsidRPr="00C61137">
        <w:rPr>
          <w:rFonts w:ascii="Trebuchet MS" w:hAnsi="Trebuchet MS"/>
          <w:b/>
          <w:color w:val="0070C0"/>
        </w:rPr>
        <w:t>omprobación de gastos</w:t>
      </w:r>
    </w:p>
    <w:p w14:paraId="7DC788D6" w14:textId="77777777" w:rsidR="00E508CE" w:rsidRPr="00D97D2A" w:rsidRDefault="00B45489" w:rsidP="00D97D2A">
      <w:pPr>
        <w:ind w:left="360"/>
        <w:rPr>
          <w:rFonts w:ascii="Trebuchet MS" w:hAnsi="Trebuchet MS"/>
          <w:color w:val="FF0000"/>
        </w:rPr>
      </w:pPr>
      <w:r w:rsidRPr="00C61137">
        <w:rPr>
          <w:rFonts w:ascii="Trebuchet MS" w:hAnsi="Trebuchet MS"/>
        </w:rPr>
        <w:t xml:space="preserve">El usuario debe generar las Órdenes de Compra normales que </w:t>
      </w:r>
      <w:r>
        <w:rPr>
          <w:rFonts w:ascii="Trebuchet MS" w:hAnsi="Trebuchet MS"/>
        </w:rPr>
        <w:t>correspondan</w:t>
      </w:r>
      <w:r w:rsidRPr="00C61137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a</w:t>
      </w:r>
      <w:r w:rsidRPr="00C61137">
        <w:rPr>
          <w:rFonts w:ascii="Trebuchet MS" w:hAnsi="Trebuchet MS"/>
        </w:rPr>
        <w:t xml:space="preserve"> la compra que se realice con el vale</w:t>
      </w:r>
      <w:r>
        <w:rPr>
          <w:rFonts w:ascii="Trebuchet MS" w:hAnsi="Trebuchet MS"/>
        </w:rPr>
        <w:t>. Esto es, con la pre-orden, el usuario debe poder generar las órdenes de compra regulares.</w:t>
      </w:r>
      <w:r w:rsidR="00147632">
        <w:rPr>
          <w:rFonts w:ascii="Trebuchet MS" w:hAnsi="Trebuchet MS"/>
        </w:rPr>
        <w:t xml:space="preserve"> (</w:t>
      </w:r>
      <w:r w:rsidR="00E508CE">
        <w:rPr>
          <w:rFonts w:ascii="Trebuchet MS" w:hAnsi="Trebuchet MS"/>
          <w:color w:val="FF0000"/>
        </w:rPr>
        <w:t>Únicamente</w:t>
      </w:r>
      <w:r w:rsidR="00147632">
        <w:rPr>
          <w:rFonts w:ascii="Trebuchet MS" w:hAnsi="Trebuchet MS"/>
          <w:color w:val="FF0000"/>
        </w:rPr>
        <w:t xml:space="preserve"> </w:t>
      </w:r>
      <w:r w:rsidR="00E508CE">
        <w:rPr>
          <w:rFonts w:ascii="Trebuchet MS" w:hAnsi="Trebuchet MS"/>
          <w:color w:val="FF0000"/>
        </w:rPr>
        <w:t>órdenes</w:t>
      </w:r>
      <w:r w:rsidR="00147632">
        <w:rPr>
          <w:rFonts w:ascii="Trebuchet MS" w:hAnsi="Trebuchet MS"/>
          <w:color w:val="FF0000"/>
        </w:rPr>
        <w:t xml:space="preserve"> de compra de gastos, los que correspondan a inventario se debe hacer orden de compra ingresando al </w:t>
      </w:r>
      <w:r w:rsidR="00E508CE">
        <w:rPr>
          <w:rFonts w:ascii="Trebuchet MS" w:hAnsi="Trebuchet MS"/>
          <w:color w:val="FF0000"/>
        </w:rPr>
        <w:t>almacén</w:t>
      </w:r>
      <w:r w:rsidR="00147632">
        <w:rPr>
          <w:rFonts w:ascii="Trebuchet MS" w:hAnsi="Trebuchet MS"/>
          <w:color w:val="FF0000"/>
        </w:rPr>
        <w:t xml:space="preserve"> que corresponda por el responsable de los </w:t>
      </w:r>
      <w:r w:rsidR="00E508CE">
        <w:rPr>
          <w:rFonts w:ascii="Trebuchet MS" w:hAnsi="Trebuchet MS"/>
          <w:color w:val="FF0000"/>
        </w:rPr>
        <w:t>almacenes,</w:t>
      </w:r>
      <w:r w:rsidR="00147632">
        <w:rPr>
          <w:rFonts w:ascii="Trebuchet MS" w:hAnsi="Trebuchet MS"/>
          <w:color w:val="FF0000"/>
        </w:rPr>
        <w:t xml:space="preserve"> esta orden de compra se debe salda</w:t>
      </w:r>
      <w:r w:rsidR="00E508CE">
        <w:rPr>
          <w:rFonts w:ascii="Trebuchet MS" w:hAnsi="Trebuchet MS"/>
          <w:color w:val="FF0000"/>
        </w:rPr>
        <w:t xml:space="preserve"> al momento de comprobar en caja y que el cajero revise q está correcto libera vale y se contabilizan las comprobaciones</w:t>
      </w:r>
    </w:p>
    <w:p w14:paraId="6AD9651D" w14:textId="77777777" w:rsidR="00B45489" w:rsidRDefault="00B45489" w:rsidP="00B45489">
      <w:pPr>
        <w:ind w:left="360"/>
        <w:rPr>
          <w:rFonts w:ascii="Trebuchet MS" w:hAnsi="Trebuchet MS"/>
        </w:rPr>
      </w:pPr>
      <w:r w:rsidRPr="00C61137">
        <w:rPr>
          <w:rFonts w:ascii="Trebuchet MS" w:hAnsi="Trebuchet MS"/>
        </w:rPr>
        <w:t>Se deben generar una o varias órdenes de compra</w:t>
      </w:r>
      <w:r>
        <w:rPr>
          <w:rFonts w:ascii="Trebuchet MS" w:hAnsi="Trebuchet MS"/>
        </w:rPr>
        <w:t>,</w:t>
      </w:r>
      <w:r w:rsidRPr="00C61137">
        <w:rPr>
          <w:rFonts w:ascii="Trebuchet MS" w:hAnsi="Trebuchet MS"/>
        </w:rPr>
        <w:t xml:space="preserve"> validando los montos x concepto </w:t>
      </w:r>
      <w:r>
        <w:rPr>
          <w:rFonts w:ascii="Trebuchet MS" w:hAnsi="Trebuchet MS"/>
        </w:rPr>
        <w:t xml:space="preserve">que fueron </w:t>
      </w:r>
      <w:r w:rsidRPr="00C61137">
        <w:rPr>
          <w:rFonts w:ascii="Trebuchet MS" w:hAnsi="Trebuchet MS"/>
        </w:rPr>
        <w:t>autorizados en el vale</w:t>
      </w:r>
      <w:r>
        <w:rPr>
          <w:rFonts w:ascii="Trebuchet MS" w:hAnsi="Trebuchet MS"/>
        </w:rPr>
        <w:t>.</w:t>
      </w:r>
    </w:p>
    <w:p w14:paraId="3108EE9D" w14:textId="77777777" w:rsidR="00B45489" w:rsidRDefault="00B45489" w:rsidP="00B45489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 xml:space="preserve">Al generar la </w:t>
      </w:r>
      <w:r w:rsidRPr="00C61137">
        <w:rPr>
          <w:rFonts w:ascii="Trebuchet MS" w:hAnsi="Trebuchet MS"/>
        </w:rPr>
        <w:t>Gen</w:t>
      </w:r>
      <w:r>
        <w:rPr>
          <w:rFonts w:ascii="Trebuchet MS" w:hAnsi="Trebuchet MS"/>
        </w:rPr>
        <w:t>e</w:t>
      </w:r>
      <w:r w:rsidRPr="00C61137">
        <w:rPr>
          <w:rFonts w:ascii="Trebuchet MS" w:hAnsi="Trebuchet MS"/>
        </w:rPr>
        <w:t>rar orden de compra</w:t>
      </w:r>
      <w:r>
        <w:rPr>
          <w:rFonts w:ascii="Trebuchet MS" w:hAnsi="Trebuchet MS"/>
        </w:rPr>
        <w:t xml:space="preserve">, la misma se debe saldar </w:t>
      </w:r>
      <w:r w:rsidRPr="00C61137">
        <w:rPr>
          <w:rFonts w:ascii="Trebuchet MS" w:hAnsi="Trebuchet MS"/>
        </w:rPr>
        <w:t>contra el vale</w:t>
      </w:r>
      <w:r>
        <w:rPr>
          <w:rFonts w:ascii="Trebuchet MS" w:hAnsi="Trebuchet MS"/>
        </w:rPr>
        <w:t xml:space="preserve">.  </w:t>
      </w:r>
    </w:p>
    <w:p w14:paraId="3EB6D839" w14:textId="77777777" w:rsidR="00B45489" w:rsidRDefault="00B45489" w:rsidP="00B45489">
      <w:pPr>
        <w:ind w:left="360"/>
        <w:rPr>
          <w:rFonts w:ascii="Trebuchet MS" w:hAnsi="Trebuchet MS"/>
        </w:rPr>
      </w:pPr>
      <w:r w:rsidRPr="00C61137">
        <w:rPr>
          <w:rFonts w:ascii="Trebuchet MS" w:hAnsi="Trebuchet MS"/>
        </w:rPr>
        <w:t xml:space="preserve">Estos pagos no deben aparecer en </w:t>
      </w:r>
      <w:r>
        <w:rPr>
          <w:rFonts w:ascii="Trebuchet MS" w:hAnsi="Trebuchet MS"/>
        </w:rPr>
        <w:t xml:space="preserve">la </w:t>
      </w:r>
      <w:r w:rsidRPr="00C61137">
        <w:rPr>
          <w:rFonts w:ascii="Trebuchet MS" w:hAnsi="Trebuchet MS"/>
        </w:rPr>
        <w:t>P</w:t>
      </w:r>
      <w:r>
        <w:rPr>
          <w:rFonts w:ascii="Trebuchet MS" w:hAnsi="Trebuchet MS"/>
        </w:rPr>
        <w:t>r</w:t>
      </w:r>
      <w:r w:rsidRPr="00C61137">
        <w:rPr>
          <w:rFonts w:ascii="Trebuchet MS" w:hAnsi="Trebuchet MS"/>
        </w:rPr>
        <w:t>ogramación de Pagos</w:t>
      </w:r>
      <w:r>
        <w:rPr>
          <w:rFonts w:ascii="Trebuchet MS" w:hAnsi="Trebuchet MS"/>
        </w:rPr>
        <w:t>, ya que nacen saldados.</w:t>
      </w:r>
    </w:p>
    <w:p w14:paraId="0791DEB9" w14:textId="77777777" w:rsidR="00B45489" w:rsidRDefault="00B45489" w:rsidP="00B45489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>L</w:t>
      </w:r>
      <w:r w:rsidRPr="00C61137">
        <w:rPr>
          <w:rFonts w:ascii="Trebuchet MS" w:hAnsi="Trebuchet MS"/>
        </w:rPr>
        <w:t xml:space="preserve">os pagos </w:t>
      </w:r>
      <w:r>
        <w:rPr>
          <w:rFonts w:ascii="Trebuchet MS" w:hAnsi="Trebuchet MS"/>
        </w:rPr>
        <w:t xml:space="preserve">deben quedar </w:t>
      </w:r>
      <w:r w:rsidRPr="00C61137">
        <w:rPr>
          <w:rFonts w:ascii="Trebuchet MS" w:hAnsi="Trebuchet MS"/>
        </w:rPr>
        <w:t>relacionad</w:t>
      </w:r>
      <w:r>
        <w:rPr>
          <w:rFonts w:ascii="Trebuchet MS" w:hAnsi="Trebuchet MS"/>
        </w:rPr>
        <w:t>o</w:t>
      </w:r>
      <w:r w:rsidRPr="00C61137">
        <w:rPr>
          <w:rFonts w:ascii="Trebuchet MS" w:hAnsi="Trebuchet MS"/>
        </w:rPr>
        <w:t>s al vale y a la persona</w:t>
      </w:r>
      <w:r>
        <w:rPr>
          <w:rFonts w:ascii="Trebuchet MS" w:hAnsi="Trebuchet MS"/>
        </w:rPr>
        <w:t>.</w:t>
      </w:r>
    </w:p>
    <w:p w14:paraId="021A14C9" w14:textId="77777777" w:rsidR="00B45489" w:rsidRDefault="00B45489" w:rsidP="00B45489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 xml:space="preserve">En caso de que </w:t>
      </w:r>
      <w:r w:rsidRPr="00C61137">
        <w:rPr>
          <w:rFonts w:ascii="Trebuchet MS" w:hAnsi="Trebuchet MS"/>
        </w:rPr>
        <w:t xml:space="preserve">el gasto </w:t>
      </w:r>
      <w:r>
        <w:rPr>
          <w:rFonts w:ascii="Trebuchet MS" w:hAnsi="Trebuchet MS"/>
        </w:rPr>
        <w:t xml:space="preserve">durante la comprobación </w:t>
      </w:r>
      <w:r w:rsidRPr="00C61137">
        <w:rPr>
          <w:rFonts w:ascii="Trebuchet MS" w:hAnsi="Trebuchet MS"/>
        </w:rPr>
        <w:t>sea mayor</w:t>
      </w:r>
      <w:r>
        <w:rPr>
          <w:rFonts w:ascii="Trebuchet MS" w:hAnsi="Trebuchet MS"/>
        </w:rPr>
        <w:t xml:space="preserve">, </w:t>
      </w:r>
      <w:r w:rsidRPr="00C61137">
        <w:rPr>
          <w:rFonts w:ascii="Trebuchet MS" w:hAnsi="Trebuchet MS"/>
        </w:rPr>
        <w:t>se debe pedir nuevamente autorización</w:t>
      </w:r>
      <w:r>
        <w:rPr>
          <w:rFonts w:ascii="Trebuchet MS" w:hAnsi="Trebuchet MS"/>
        </w:rPr>
        <w:t>.</w:t>
      </w:r>
    </w:p>
    <w:p w14:paraId="3D9C11A0" w14:textId="77777777" w:rsidR="00B45489" w:rsidRDefault="00B45489" w:rsidP="00B45489">
      <w:pPr>
        <w:ind w:left="360"/>
        <w:rPr>
          <w:rFonts w:ascii="Trebuchet MS" w:hAnsi="Trebuchet MS"/>
        </w:rPr>
      </w:pPr>
      <w:r w:rsidRPr="00C61137">
        <w:rPr>
          <w:rFonts w:ascii="Trebuchet MS" w:hAnsi="Trebuchet MS"/>
        </w:rPr>
        <w:t xml:space="preserve">Se debe </w:t>
      </w:r>
      <w:r>
        <w:rPr>
          <w:rFonts w:ascii="Trebuchet MS" w:hAnsi="Trebuchet MS"/>
        </w:rPr>
        <w:t>permitir</w:t>
      </w:r>
      <w:r w:rsidRPr="00C61137">
        <w:rPr>
          <w:rFonts w:ascii="Trebuchet MS" w:hAnsi="Trebuchet MS"/>
        </w:rPr>
        <w:t xml:space="preserve"> la carga de facturas y la recepción de inventario cuando corresponda</w:t>
      </w:r>
      <w:r>
        <w:rPr>
          <w:rFonts w:ascii="Trebuchet MS" w:hAnsi="Trebuchet MS"/>
        </w:rPr>
        <w:t xml:space="preserve">.  </w:t>
      </w:r>
      <w:r w:rsidRPr="00C61137">
        <w:rPr>
          <w:rFonts w:ascii="Trebuchet MS" w:hAnsi="Trebuchet MS"/>
        </w:rPr>
        <w:t>Puede ser que las compras no tengan PDF y XML</w:t>
      </w:r>
      <w:r>
        <w:rPr>
          <w:rFonts w:ascii="Trebuchet MS" w:hAnsi="Trebuchet MS"/>
        </w:rPr>
        <w:t>.</w:t>
      </w:r>
    </w:p>
    <w:p w14:paraId="275D0038" w14:textId="77777777" w:rsidR="00B45489" w:rsidRPr="00C61137" w:rsidRDefault="00B45489" w:rsidP="00B45489">
      <w:pPr>
        <w:ind w:left="360"/>
        <w:rPr>
          <w:rFonts w:ascii="Trebuchet MS" w:hAnsi="Trebuchet MS"/>
        </w:rPr>
      </w:pPr>
      <w:r w:rsidRPr="00C61137">
        <w:rPr>
          <w:rFonts w:ascii="Trebuchet MS" w:hAnsi="Trebuchet MS"/>
        </w:rPr>
        <w:t>En la pantalla de recepción</w:t>
      </w:r>
      <w:r>
        <w:rPr>
          <w:rFonts w:ascii="Trebuchet MS" w:hAnsi="Trebuchet MS"/>
        </w:rPr>
        <w:t xml:space="preserve">, se debe especificar </w:t>
      </w:r>
      <w:r w:rsidRPr="00C61137">
        <w:rPr>
          <w:rFonts w:ascii="Trebuchet MS" w:hAnsi="Trebuchet MS"/>
        </w:rPr>
        <w:t>que se paga por fondo fijo</w:t>
      </w:r>
      <w:r>
        <w:rPr>
          <w:rFonts w:ascii="Trebuchet MS" w:hAnsi="Trebuchet MS"/>
        </w:rPr>
        <w:t>.</w:t>
      </w:r>
    </w:p>
    <w:p w14:paraId="35DE2DB3" w14:textId="77777777" w:rsidR="00B45489" w:rsidRPr="00B94FD5" w:rsidRDefault="00B45489" w:rsidP="00B45489">
      <w:pPr>
        <w:pStyle w:val="Prrafodelista"/>
        <w:numPr>
          <w:ilvl w:val="0"/>
          <w:numId w:val="8"/>
        </w:numPr>
        <w:spacing w:line="259" w:lineRule="auto"/>
        <w:rPr>
          <w:rFonts w:ascii="Trebuchet MS" w:hAnsi="Trebuchet MS"/>
        </w:rPr>
      </w:pPr>
      <w:r w:rsidRPr="00B94FD5">
        <w:rPr>
          <w:rFonts w:ascii="Trebuchet MS" w:hAnsi="Trebuchet MS"/>
        </w:rPr>
        <w:t>CxP -- se genera pasivo</w:t>
      </w:r>
    </w:p>
    <w:p w14:paraId="278BFF33" w14:textId="77777777" w:rsidR="00B45489" w:rsidRPr="00B94FD5" w:rsidRDefault="00B45489" w:rsidP="00B45489">
      <w:pPr>
        <w:pStyle w:val="Prrafodelista"/>
        <w:numPr>
          <w:ilvl w:val="0"/>
          <w:numId w:val="8"/>
        </w:numPr>
        <w:spacing w:line="259" w:lineRule="auto"/>
        <w:rPr>
          <w:rFonts w:ascii="Trebuchet MS" w:hAnsi="Trebuchet MS"/>
        </w:rPr>
      </w:pPr>
      <w:r w:rsidRPr="00B94FD5">
        <w:rPr>
          <w:rFonts w:ascii="Trebuchet MS" w:hAnsi="Trebuchet MS"/>
        </w:rPr>
        <w:t>Se suben comprobantes</w:t>
      </w:r>
    </w:p>
    <w:p w14:paraId="40CA12D5" w14:textId="77777777" w:rsidR="00B45489" w:rsidRPr="003858A1" w:rsidRDefault="00B45489" w:rsidP="00B45489">
      <w:pPr>
        <w:pStyle w:val="Prrafodelista"/>
        <w:numPr>
          <w:ilvl w:val="0"/>
          <w:numId w:val="8"/>
        </w:numPr>
        <w:spacing w:line="259" w:lineRule="auto"/>
        <w:rPr>
          <w:rFonts w:ascii="Trebuchet MS" w:hAnsi="Trebuchet MS"/>
        </w:rPr>
      </w:pPr>
      <w:r w:rsidRPr="00B94FD5">
        <w:rPr>
          <w:rFonts w:ascii="Trebuchet MS" w:hAnsi="Trebuchet MS"/>
        </w:rPr>
        <w:t>Se pagan pasivos con vale</w:t>
      </w:r>
    </w:p>
    <w:p w14:paraId="23413DE9" w14:textId="77777777" w:rsidR="00B45489" w:rsidRPr="003858A1" w:rsidRDefault="00B45489" w:rsidP="00B45489">
      <w:pPr>
        <w:pStyle w:val="Prrafodelista"/>
        <w:numPr>
          <w:ilvl w:val="0"/>
          <w:numId w:val="7"/>
        </w:numPr>
        <w:spacing w:before="480" w:line="259" w:lineRule="auto"/>
        <w:ind w:left="357" w:hanging="357"/>
        <w:contextualSpacing w:val="0"/>
        <w:rPr>
          <w:rFonts w:ascii="Trebuchet MS" w:hAnsi="Trebuchet MS"/>
          <w:b/>
          <w:color w:val="0070C0"/>
        </w:rPr>
      </w:pPr>
      <w:r w:rsidRPr="003858A1">
        <w:rPr>
          <w:rFonts w:ascii="Trebuchet MS" w:hAnsi="Trebuchet MS"/>
          <w:b/>
          <w:color w:val="0070C0"/>
        </w:rPr>
        <w:t>Confirmación de comprobación</w:t>
      </w:r>
    </w:p>
    <w:p w14:paraId="18F0E6E4" w14:textId="77777777" w:rsidR="00B45489" w:rsidRDefault="00B45489" w:rsidP="00B45489">
      <w:pPr>
        <w:ind w:left="357"/>
        <w:rPr>
          <w:rFonts w:ascii="Trebuchet MS" w:hAnsi="Trebuchet MS"/>
        </w:rPr>
      </w:pPr>
      <w:r w:rsidRPr="00C61137">
        <w:rPr>
          <w:rFonts w:ascii="Trebuchet MS" w:hAnsi="Trebuchet MS"/>
        </w:rPr>
        <w:t xml:space="preserve">Un usuario </w:t>
      </w:r>
      <w:r>
        <w:rPr>
          <w:rFonts w:ascii="Trebuchet MS" w:hAnsi="Trebuchet MS"/>
        </w:rPr>
        <w:t xml:space="preserve">que tenga los permisos configurados </w:t>
      </w:r>
      <w:r w:rsidRPr="00C61137">
        <w:rPr>
          <w:rFonts w:ascii="Trebuchet MS" w:hAnsi="Trebuchet MS"/>
        </w:rPr>
        <w:t>debe confirmar las OC</w:t>
      </w:r>
      <w:r>
        <w:rPr>
          <w:rFonts w:ascii="Trebuchet MS" w:hAnsi="Trebuchet MS"/>
        </w:rPr>
        <w:t>,</w:t>
      </w:r>
      <w:r w:rsidRPr="00C61137">
        <w:rPr>
          <w:rFonts w:ascii="Trebuchet MS" w:hAnsi="Trebuchet MS"/>
        </w:rPr>
        <w:t xml:space="preserve"> validando que las facturas corresponden a los gastos asociados</w:t>
      </w:r>
      <w:r>
        <w:rPr>
          <w:rFonts w:ascii="Trebuchet MS" w:hAnsi="Trebuchet MS"/>
        </w:rPr>
        <w:t xml:space="preserve"> al vale (pre-orden). </w:t>
      </w:r>
      <w:r w:rsidRPr="00C61137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P</w:t>
      </w:r>
      <w:r w:rsidRPr="00C61137">
        <w:rPr>
          <w:rFonts w:ascii="Trebuchet MS" w:hAnsi="Trebuchet MS"/>
        </w:rPr>
        <w:t>uede ser el cajero</w:t>
      </w:r>
      <w:r>
        <w:rPr>
          <w:rFonts w:ascii="Trebuchet MS" w:hAnsi="Trebuchet MS"/>
        </w:rPr>
        <w:t xml:space="preserve"> u otro rol al que se asignen los permisos.</w:t>
      </w:r>
    </w:p>
    <w:p w14:paraId="6CD68B19" w14:textId="77777777" w:rsidR="00B45489" w:rsidRDefault="00B45489" w:rsidP="00461154">
      <w:pPr>
        <w:spacing w:after="0" w:line="257" w:lineRule="auto"/>
        <w:ind w:left="357"/>
        <w:rPr>
          <w:rFonts w:ascii="Trebuchet MS" w:hAnsi="Trebuchet MS"/>
        </w:rPr>
      </w:pPr>
      <w:r>
        <w:rPr>
          <w:rFonts w:ascii="Trebuchet MS" w:hAnsi="Trebuchet MS"/>
        </w:rPr>
        <w:t>Una vez que se ha confirmado la comprobación completa de las órdenes de compra relacionadas, el usuario puede recoger el vale en caja.</w:t>
      </w:r>
      <w:r w:rsidR="00E508CE">
        <w:rPr>
          <w:rFonts w:ascii="Trebuchet MS" w:hAnsi="Trebuchet MS"/>
        </w:rPr>
        <w:t xml:space="preserve"> </w:t>
      </w:r>
      <w:r w:rsidR="00E508CE" w:rsidRPr="00E508CE">
        <w:rPr>
          <w:rFonts w:ascii="Trebuchet MS" w:hAnsi="Trebuchet MS"/>
          <w:color w:val="FF0000"/>
        </w:rPr>
        <w:t>Y se contabiliza la comprobación</w:t>
      </w:r>
    </w:p>
    <w:p w14:paraId="7DA328DA" w14:textId="77777777" w:rsidR="00B45489" w:rsidRPr="003858A1" w:rsidRDefault="00B45489" w:rsidP="00461154">
      <w:pPr>
        <w:pStyle w:val="Prrafodelista"/>
        <w:numPr>
          <w:ilvl w:val="0"/>
          <w:numId w:val="7"/>
        </w:numPr>
        <w:spacing w:before="360" w:line="259" w:lineRule="auto"/>
        <w:ind w:left="357" w:hanging="357"/>
        <w:contextualSpacing w:val="0"/>
        <w:rPr>
          <w:rFonts w:ascii="Trebuchet MS" w:hAnsi="Trebuchet MS"/>
          <w:b/>
          <w:color w:val="0070C0"/>
        </w:rPr>
      </w:pPr>
      <w:r>
        <w:rPr>
          <w:rFonts w:ascii="Trebuchet MS" w:hAnsi="Trebuchet MS"/>
          <w:b/>
          <w:color w:val="0070C0"/>
        </w:rPr>
        <w:t>Reembolso de fondo fijo</w:t>
      </w:r>
      <w:r w:rsidRPr="003858A1">
        <w:rPr>
          <w:rFonts w:ascii="Trebuchet MS" w:hAnsi="Trebuchet MS"/>
          <w:b/>
          <w:color w:val="0070C0"/>
        </w:rPr>
        <w:t xml:space="preserve"> </w:t>
      </w:r>
    </w:p>
    <w:p w14:paraId="77632D40" w14:textId="77777777" w:rsidR="00B45489" w:rsidRPr="00E508CE" w:rsidRDefault="00B45489" w:rsidP="00B45489">
      <w:pPr>
        <w:ind w:left="357"/>
        <w:rPr>
          <w:rFonts w:ascii="Trebuchet MS" w:hAnsi="Trebuchet MS"/>
          <w:color w:val="FF0000"/>
        </w:rPr>
      </w:pPr>
      <w:r w:rsidRPr="00C61137">
        <w:rPr>
          <w:rFonts w:ascii="Trebuchet MS" w:hAnsi="Trebuchet MS"/>
        </w:rPr>
        <w:t xml:space="preserve">Una vez que </w:t>
      </w:r>
      <w:r>
        <w:rPr>
          <w:rFonts w:ascii="Trebuchet MS" w:hAnsi="Trebuchet MS"/>
        </w:rPr>
        <w:t xml:space="preserve">el usuario </w:t>
      </w:r>
      <w:r w:rsidRPr="00C61137">
        <w:rPr>
          <w:rFonts w:ascii="Trebuchet MS" w:hAnsi="Trebuchet MS"/>
        </w:rPr>
        <w:t xml:space="preserve">ya comprobó </w:t>
      </w:r>
      <w:r>
        <w:rPr>
          <w:rFonts w:ascii="Trebuchet MS" w:hAnsi="Trebuchet MS"/>
        </w:rPr>
        <w:t xml:space="preserve">los gastos de un vale, </w:t>
      </w:r>
      <w:r w:rsidRPr="00C61137">
        <w:rPr>
          <w:rFonts w:ascii="Trebuchet MS" w:hAnsi="Trebuchet MS"/>
        </w:rPr>
        <w:t>se debe generar</w:t>
      </w:r>
      <w:r>
        <w:rPr>
          <w:rFonts w:ascii="Trebuchet MS" w:hAnsi="Trebuchet MS"/>
        </w:rPr>
        <w:t xml:space="preserve"> de forma automática</w:t>
      </w:r>
      <w:r w:rsidRPr="00C61137">
        <w:rPr>
          <w:rFonts w:ascii="Trebuchet MS" w:hAnsi="Trebuchet MS"/>
        </w:rPr>
        <w:t xml:space="preserve"> la transacción para que se haga el reembolso del fondo fijo al cajero</w:t>
      </w:r>
      <w:r>
        <w:rPr>
          <w:rFonts w:ascii="Trebuchet MS" w:hAnsi="Trebuchet MS"/>
        </w:rPr>
        <w:t>.</w:t>
      </w:r>
      <w:r w:rsidR="00E508CE">
        <w:rPr>
          <w:rFonts w:ascii="Trebuchet MS" w:hAnsi="Trebuchet MS"/>
        </w:rPr>
        <w:t xml:space="preserve"> </w:t>
      </w:r>
      <w:r w:rsidR="00E508CE">
        <w:rPr>
          <w:rFonts w:ascii="Trebuchet MS" w:hAnsi="Trebuchet MS"/>
          <w:color w:val="FF0000"/>
        </w:rPr>
        <w:t>Dependiendo del monto configurado por sistema y podrá por porcentaje o monto del fondo</w:t>
      </w:r>
    </w:p>
    <w:p w14:paraId="32CBEC68" w14:textId="77777777" w:rsidR="00B45489" w:rsidRPr="00C61137" w:rsidRDefault="00B45489" w:rsidP="00461154">
      <w:pPr>
        <w:ind w:left="357"/>
        <w:rPr>
          <w:rFonts w:ascii="Trebuchet MS" w:hAnsi="Trebuchet MS"/>
        </w:rPr>
      </w:pPr>
      <w:r w:rsidRPr="00C61137">
        <w:rPr>
          <w:rFonts w:ascii="Trebuchet MS" w:hAnsi="Trebuchet MS"/>
        </w:rPr>
        <w:t>Est</w:t>
      </w:r>
      <w:r>
        <w:rPr>
          <w:rFonts w:ascii="Trebuchet MS" w:hAnsi="Trebuchet MS"/>
        </w:rPr>
        <w:t xml:space="preserve">e reembolso se realizará </w:t>
      </w:r>
      <w:r w:rsidRPr="00C61137">
        <w:rPr>
          <w:rFonts w:ascii="Trebuchet MS" w:hAnsi="Trebuchet MS"/>
        </w:rPr>
        <w:t>mediante transferencia entre bancos</w:t>
      </w:r>
      <w:r>
        <w:rPr>
          <w:rFonts w:ascii="Trebuchet MS" w:hAnsi="Trebuchet MS"/>
        </w:rPr>
        <w:t>.</w:t>
      </w:r>
    </w:p>
    <w:p w14:paraId="54392ADF" w14:textId="77777777" w:rsidR="00461154" w:rsidRDefault="00461154" w:rsidP="00D97D2A">
      <w:pPr>
        <w:rPr>
          <w:rFonts w:ascii="Trebuchet MS" w:hAnsi="Trebuchet MS"/>
        </w:rPr>
      </w:pPr>
    </w:p>
    <w:p w14:paraId="302E85BA" w14:textId="77777777" w:rsidR="00461154" w:rsidRDefault="00461154" w:rsidP="00461154">
      <w:pPr>
        <w:ind w:left="-426"/>
        <w:rPr>
          <w:rFonts w:ascii="Trebuchet MS" w:hAnsi="Trebuchet MS"/>
        </w:rPr>
      </w:pPr>
    </w:p>
    <w:p w14:paraId="03CD0CD0" w14:textId="77777777" w:rsidR="00B45489" w:rsidRDefault="00B45489" w:rsidP="00D97D2A">
      <w:pPr>
        <w:rPr>
          <w:rFonts w:ascii="Trebuchet MS" w:hAnsi="Trebuchet MS"/>
        </w:rPr>
      </w:pPr>
    </w:p>
    <w:p w14:paraId="6C712BAD" w14:textId="77777777" w:rsidR="008F3C69" w:rsidRDefault="008F3C69" w:rsidP="00461154">
      <w:pPr>
        <w:ind w:left="-426"/>
        <w:rPr>
          <w:rFonts w:ascii="Trebuchet MS" w:hAnsi="Trebuchet MS"/>
        </w:rPr>
      </w:pPr>
      <w:r w:rsidRPr="008F3C69">
        <w:rPr>
          <w:rFonts w:ascii="Trebuchet MS" w:hAnsi="Trebuchet MS"/>
          <w:noProof/>
          <w:lang w:eastAsia="es-MX"/>
        </w:rPr>
        <w:drawing>
          <wp:inline distT="0" distB="0" distL="0" distR="0" wp14:anchorId="03657E38" wp14:editId="67A7D919">
            <wp:extent cx="6991280" cy="3200400"/>
            <wp:effectExtent l="0" t="0" r="63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04584" cy="320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57AD1" w14:textId="77777777" w:rsidR="00AE6C54" w:rsidRPr="00BA1A13" w:rsidRDefault="00AE6C54" w:rsidP="00BA1A13">
      <w:pPr>
        <w:rPr>
          <w:rFonts w:ascii="Trebuchet MS" w:hAnsi="Trebuchet MS"/>
        </w:rPr>
      </w:pPr>
    </w:p>
    <w:sectPr w:rsidR="00AE6C54" w:rsidRPr="00BA1A13" w:rsidSect="00461154">
      <w:headerReference w:type="default" r:id="rId8"/>
      <w:footerReference w:type="default" r:id="rId9"/>
      <w:pgSz w:w="12240" w:h="15840"/>
      <w:pgMar w:top="933" w:right="900" w:bottom="1134" w:left="1276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710818" w14:textId="77777777" w:rsidR="00591D2B" w:rsidRDefault="00591D2B" w:rsidP="00AE6C54">
      <w:pPr>
        <w:spacing w:after="0" w:line="240" w:lineRule="auto"/>
      </w:pPr>
      <w:r>
        <w:separator/>
      </w:r>
    </w:p>
  </w:endnote>
  <w:endnote w:type="continuationSeparator" w:id="0">
    <w:p w14:paraId="3D325246" w14:textId="77777777" w:rsidR="00591D2B" w:rsidRDefault="00591D2B" w:rsidP="00AE6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86461558"/>
      <w:docPartObj>
        <w:docPartGallery w:val="Page Numbers (Bottom of Page)"/>
        <w:docPartUnique/>
      </w:docPartObj>
    </w:sdtPr>
    <w:sdtEndPr/>
    <w:sdtContent>
      <w:p w14:paraId="70F54CA5" w14:textId="77777777" w:rsidR="00AE6C54" w:rsidRDefault="00AE6C54">
        <w:pPr>
          <w:pStyle w:val="Piedepgina"/>
          <w:jc w:val="right"/>
        </w:pPr>
        <w:r>
          <w:rPr>
            <w:noProof/>
            <w:lang w:eastAsia="es-MX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08528E37" wp14:editId="62268AD4">
                  <wp:simplePos x="0" y="0"/>
                  <wp:positionH relativeFrom="margin">
                    <wp:align>center</wp:align>
                  </wp:positionH>
                  <wp:positionV relativeFrom="paragraph">
                    <wp:posOffset>-86360</wp:posOffset>
                  </wp:positionV>
                  <wp:extent cx="7115175" cy="9525"/>
                  <wp:effectExtent l="0" t="0" r="28575" b="28575"/>
                  <wp:wrapNone/>
                  <wp:docPr id="16" name="Conector recto 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115175" cy="952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6D186E03" id="Conector recto 16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-6.8pt" to="560.25pt,-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" strokecolor="#4472c4 [3204]" strokeweight="1.5pt">
                  <v:stroke joinstyle="miter"/>
                  <w10:wrap anchorx="margin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E508CE" w:rsidRPr="00E508CE">
          <w:rPr>
            <w:noProof/>
            <w:lang w:val="es-ES"/>
          </w:rPr>
          <w:t>8</w:t>
        </w:r>
        <w:r>
          <w:fldChar w:fldCharType="end"/>
        </w:r>
      </w:p>
    </w:sdtContent>
  </w:sdt>
  <w:p w14:paraId="0D8A4357" w14:textId="77777777" w:rsidR="00AE6C54" w:rsidRDefault="00AE6C5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BFB1A6" w14:textId="77777777" w:rsidR="00591D2B" w:rsidRDefault="00591D2B" w:rsidP="00AE6C54">
      <w:pPr>
        <w:spacing w:after="0" w:line="240" w:lineRule="auto"/>
      </w:pPr>
      <w:r>
        <w:separator/>
      </w:r>
    </w:p>
  </w:footnote>
  <w:footnote w:type="continuationSeparator" w:id="0">
    <w:p w14:paraId="7C4AE4E5" w14:textId="77777777" w:rsidR="00591D2B" w:rsidRDefault="00591D2B" w:rsidP="00AE6C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65FBC" w14:textId="77777777" w:rsidR="00DA7E25" w:rsidRDefault="00DA7E25" w:rsidP="00DA7E25">
    <w:pPr>
      <w:pStyle w:val="Encabezado"/>
      <w:ind w:left="-567"/>
      <w:rPr>
        <w:lang w:val="es-ES"/>
      </w:rPr>
    </w:pPr>
  </w:p>
  <w:tbl>
    <w:tblPr>
      <w:tblStyle w:val="Tablaconcuadrcula"/>
      <w:tblW w:w="0" w:type="auto"/>
      <w:tblInd w:w="-1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27"/>
      <w:gridCol w:w="5027"/>
    </w:tblGrid>
    <w:tr w:rsidR="00DA7E25" w14:paraId="7ACF6D85" w14:textId="77777777" w:rsidTr="00DA7E25">
      <w:tc>
        <w:tcPr>
          <w:tcW w:w="5027" w:type="dxa"/>
        </w:tcPr>
        <w:p w14:paraId="4ED37907" w14:textId="77777777" w:rsidR="00DA7E25" w:rsidRDefault="00DA7E25" w:rsidP="00DA7E25">
          <w:pPr>
            <w:pStyle w:val="Encabezado"/>
            <w:rPr>
              <w:lang w:val="es-ES"/>
            </w:rPr>
          </w:pP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DDA2F6E" wp14:editId="265A5C5D">
                    <wp:simplePos x="0" y="0"/>
                    <wp:positionH relativeFrom="column">
                      <wp:posOffset>78105</wp:posOffset>
                    </wp:positionH>
                    <wp:positionV relativeFrom="paragraph">
                      <wp:posOffset>541655</wp:posOffset>
                    </wp:positionV>
                    <wp:extent cx="1809750" cy="266700"/>
                    <wp:effectExtent l="0" t="0" r="0" b="0"/>
                    <wp:wrapNone/>
                    <wp:docPr id="9" name="CuadroTexto 8">
                      <a:extLst xmlns:a="http://schemas.openxmlformats.org/drawingml/2006/main">
                        <a:ext uri="{FF2B5EF4-FFF2-40B4-BE49-F238E27FC236}">
                          <a16:creationId xmlns:a16="http://schemas.microsoft.com/office/drawing/2014/main" id="{0C2E7833-29C4-49AF-B78E-149B29B0417B}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09750" cy="2667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BA8BF5A" w14:textId="77777777" w:rsidR="00E7000A" w:rsidRPr="00E7000A" w:rsidRDefault="00E7000A" w:rsidP="00E7000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E7000A"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2F5496" w:themeColor="accent1" w:themeShade="BF"/>
                                    <w:kern w:val="24"/>
                                    <w:sz w:val="22"/>
                                    <w:szCs w:val="32"/>
                                    <w:lang w:val="es-ES"/>
                                  </w:rPr>
                                  <w:t>DIRECCIÓN DE SISTEMAS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DDA2F6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Texto 8" o:spid="_x0000_s1026" type="#_x0000_t202" style="position:absolute;margin-left:6.15pt;margin-top:42.65pt;width:142.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" filled="f" stroked="f">
                    <v:textbox>
                      <w:txbxContent>
                        <w:p w14:paraId="7BA8BF5A" w14:textId="77777777" w:rsidR="00E7000A" w:rsidRPr="00E7000A" w:rsidRDefault="00E7000A" w:rsidP="00E7000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8"/>
                            </w:rPr>
                          </w:pPr>
                          <w:r w:rsidRPr="00E7000A">
                            <w:rPr>
                              <w:rFonts w:asciiTheme="minorHAnsi" w:hAnsi="Calibri" w:cstheme="minorBidi"/>
                              <w:b/>
                              <w:bCs/>
                              <w:color w:val="2F5496" w:themeColor="accent1" w:themeShade="BF"/>
                              <w:kern w:val="24"/>
                              <w:sz w:val="22"/>
                              <w:szCs w:val="32"/>
                              <w:lang w:val="es-ES"/>
                            </w:rPr>
                            <w:t>DIRECCIÓN DE SISTEMAS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AE6C54">
            <w:rPr>
              <w:noProof/>
              <w:lang w:eastAsia="es-MX"/>
            </w:rPr>
            <w:drawing>
              <wp:inline distT="0" distB="0" distL="0" distR="0" wp14:anchorId="7396279C" wp14:editId="627A84FB">
                <wp:extent cx="1905000" cy="601579"/>
                <wp:effectExtent l="0" t="0" r="0" b="8255"/>
                <wp:docPr id="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9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1665" cy="6131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14:paraId="21D6D132" w14:textId="77777777" w:rsidR="00DA7E25" w:rsidRDefault="00DA7E25" w:rsidP="00DA7E25">
          <w:pPr>
            <w:pStyle w:val="Encabezado"/>
            <w:rPr>
              <w:lang w:val="es-ES"/>
            </w:rPr>
          </w:pPr>
        </w:p>
      </w:tc>
      <w:tc>
        <w:tcPr>
          <w:tcW w:w="5027" w:type="dxa"/>
        </w:tcPr>
        <w:p w14:paraId="492421DD" w14:textId="77777777" w:rsidR="00DA7E25" w:rsidRDefault="00DA7E25" w:rsidP="00DA7E25">
          <w:pPr>
            <w:pStyle w:val="Encabezado"/>
            <w:jc w:val="right"/>
            <w:rPr>
              <w:color w:val="4472C4" w:themeColor="accent1"/>
              <w:sz w:val="28"/>
              <w:lang w:val="es-E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0A33E5B1" w14:textId="77777777" w:rsidR="00DA7E25" w:rsidRPr="00DA7E25" w:rsidRDefault="007C6D62" w:rsidP="00DA7E25">
          <w:pPr>
            <w:pStyle w:val="Encabezado"/>
            <w:jc w:val="right"/>
            <w:rPr>
              <w:color w:val="4472C4" w:themeColor="accent1"/>
              <w:sz w:val="28"/>
              <w:lang w:val="es-E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color w:val="4472C4" w:themeColor="accent1"/>
              <w:sz w:val="28"/>
              <w:lang w:val="es-E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Requerimientos de Finanzas</w:t>
          </w:r>
        </w:p>
        <w:p w14:paraId="03FF78F1" w14:textId="77777777" w:rsidR="00DA7E25" w:rsidRPr="00DA7E25" w:rsidRDefault="007C6D62" w:rsidP="00DA7E25">
          <w:pPr>
            <w:pStyle w:val="Encabezado"/>
            <w:ind w:left="-567"/>
            <w:jc w:val="right"/>
            <w:rPr>
              <w:rFonts w:ascii="Trebuchet MS" w:hAnsi="Trebuchet MS" w:cs="Times New Roman"/>
            </w:rPr>
          </w:pPr>
          <w:r>
            <w:rPr>
              <w:rFonts w:ascii="Trebuchet MS" w:hAnsi="Trebuchet MS"/>
              <w:lang w:val="es-ES"/>
            </w:rPr>
            <w:t>Abril de 2019</w:t>
          </w:r>
        </w:p>
      </w:tc>
    </w:tr>
  </w:tbl>
  <w:p w14:paraId="02A97B76" w14:textId="77777777" w:rsidR="00AE6C54" w:rsidRPr="00AE6C54" w:rsidRDefault="00E7000A" w:rsidP="00DA7E25">
    <w:pPr>
      <w:pStyle w:val="Encabezado"/>
      <w:rPr>
        <w:lang w:val="es-ES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4C6E06" wp14:editId="3C2591AE">
              <wp:simplePos x="0" y="0"/>
              <wp:positionH relativeFrom="margin">
                <wp:align>center</wp:align>
              </wp:positionH>
              <wp:positionV relativeFrom="paragraph">
                <wp:posOffset>144145</wp:posOffset>
              </wp:positionV>
              <wp:extent cx="7115175" cy="9525"/>
              <wp:effectExtent l="0" t="0" r="28575" b="28575"/>
              <wp:wrapNone/>
              <wp:docPr id="11" name="Conector rec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15175" cy="9525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AC7E5CA" id="Conector recto 1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1.35pt" to="560.2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" strokecolor="#4472c4 [3204]" strokeweight="1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712CF"/>
    <w:multiLevelType w:val="hybridMultilevel"/>
    <w:tmpl w:val="A6C420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47536"/>
    <w:multiLevelType w:val="hybridMultilevel"/>
    <w:tmpl w:val="0DCA5B9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16C80"/>
    <w:multiLevelType w:val="hybridMultilevel"/>
    <w:tmpl w:val="6B9E12F0"/>
    <w:lvl w:ilvl="0" w:tplc="F822BDDC">
      <w:start w:val="1"/>
      <w:numFmt w:val="bullet"/>
      <w:lvlText w:val=""/>
      <w:lvlJc w:val="left"/>
      <w:pPr>
        <w:ind w:left="1428" w:hanging="360"/>
      </w:pPr>
      <w:rPr>
        <w:rFonts w:ascii="Wingdings 2" w:hAnsi="Wingdings 2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E6C7D0E"/>
    <w:multiLevelType w:val="hybridMultilevel"/>
    <w:tmpl w:val="6CFA3D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72222"/>
    <w:multiLevelType w:val="hybridMultilevel"/>
    <w:tmpl w:val="4CEA35AE"/>
    <w:lvl w:ilvl="0" w:tplc="F822BDDC">
      <w:start w:val="1"/>
      <w:numFmt w:val="bullet"/>
      <w:lvlText w:val=""/>
      <w:lvlJc w:val="left"/>
      <w:pPr>
        <w:ind w:left="720" w:hanging="360"/>
      </w:pPr>
      <w:rPr>
        <w:rFonts w:ascii="Wingdings 2" w:hAnsi="Wingdings 2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337C7"/>
    <w:multiLevelType w:val="hybridMultilevel"/>
    <w:tmpl w:val="B424377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FAC75BB"/>
    <w:multiLevelType w:val="hybridMultilevel"/>
    <w:tmpl w:val="E3F6E4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8930CD"/>
    <w:multiLevelType w:val="hybridMultilevel"/>
    <w:tmpl w:val="0DCA5B9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8367A93"/>
    <w:multiLevelType w:val="hybridMultilevel"/>
    <w:tmpl w:val="54387FCC"/>
    <w:lvl w:ilvl="0" w:tplc="F822BDDC">
      <w:start w:val="1"/>
      <w:numFmt w:val="bullet"/>
      <w:lvlText w:val=""/>
      <w:lvlJc w:val="left"/>
      <w:pPr>
        <w:ind w:left="720" w:hanging="360"/>
      </w:pPr>
      <w:rPr>
        <w:rFonts w:ascii="Wingdings 2" w:hAnsi="Wingdings 2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C1273A"/>
    <w:multiLevelType w:val="hybridMultilevel"/>
    <w:tmpl w:val="153269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73777D"/>
    <w:multiLevelType w:val="hybridMultilevel"/>
    <w:tmpl w:val="76E83798"/>
    <w:lvl w:ilvl="0" w:tplc="F822BDDC">
      <w:start w:val="1"/>
      <w:numFmt w:val="bullet"/>
      <w:lvlText w:val=""/>
      <w:lvlJc w:val="left"/>
      <w:pPr>
        <w:ind w:left="720" w:hanging="360"/>
      </w:pPr>
      <w:rPr>
        <w:rFonts w:ascii="Wingdings 2" w:hAnsi="Wingdings 2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A31B00"/>
    <w:multiLevelType w:val="hybridMultilevel"/>
    <w:tmpl w:val="1642326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DCC6712"/>
    <w:multiLevelType w:val="hybridMultilevel"/>
    <w:tmpl w:val="C74401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FB75E9"/>
    <w:multiLevelType w:val="hybridMultilevel"/>
    <w:tmpl w:val="9380FA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7E6913"/>
    <w:multiLevelType w:val="hybridMultilevel"/>
    <w:tmpl w:val="3970E4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6"/>
  </w:num>
  <w:num w:numId="4">
    <w:abstractNumId w:val="5"/>
  </w:num>
  <w:num w:numId="5">
    <w:abstractNumId w:val="11"/>
  </w:num>
  <w:num w:numId="6">
    <w:abstractNumId w:val="3"/>
  </w:num>
  <w:num w:numId="7">
    <w:abstractNumId w:val="7"/>
  </w:num>
  <w:num w:numId="8">
    <w:abstractNumId w:val="2"/>
  </w:num>
  <w:num w:numId="9">
    <w:abstractNumId w:val="0"/>
  </w:num>
  <w:num w:numId="10">
    <w:abstractNumId w:val="10"/>
  </w:num>
  <w:num w:numId="11">
    <w:abstractNumId w:val="1"/>
  </w:num>
  <w:num w:numId="12">
    <w:abstractNumId w:val="8"/>
  </w:num>
  <w:num w:numId="13">
    <w:abstractNumId w:val="4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C54"/>
    <w:rsid w:val="00020051"/>
    <w:rsid w:val="00030CD7"/>
    <w:rsid w:val="000C1AAA"/>
    <w:rsid w:val="0012556A"/>
    <w:rsid w:val="00146C06"/>
    <w:rsid w:val="00147632"/>
    <w:rsid w:val="001A050B"/>
    <w:rsid w:val="001D0EEF"/>
    <w:rsid w:val="002957B7"/>
    <w:rsid w:val="003317E5"/>
    <w:rsid w:val="00387416"/>
    <w:rsid w:val="00403F80"/>
    <w:rsid w:val="00414677"/>
    <w:rsid w:val="00434AE4"/>
    <w:rsid w:val="00435EFE"/>
    <w:rsid w:val="00461154"/>
    <w:rsid w:val="004A336B"/>
    <w:rsid w:val="00507448"/>
    <w:rsid w:val="00513700"/>
    <w:rsid w:val="00527717"/>
    <w:rsid w:val="005558B6"/>
    <w:rsid w:val="00591D2B"/>
    <w:rsid w:val="005C0DE8"/>
    <w:rsid w:val="00681EB5"/>
    <w:rsid w:val="00702FC0"/>
    <w:rsid w:val="00704D09"/>
    <w:rsid w:val="00713584"/>
    <w:rsid w:val="00741E76"/>
    <w:rsid w:val="00770F67"/>
    <w:rsid w:val="007B42E3"/>
    <w:rsid w:val="007C6D62"/>
    <w:rsid w:val="0086460C"/>
    <w:rsid w:val="008F3C69"/>
    <w:rsid w:val="009268B5"/>
    <w:rsid w:val="00951E43"/>
    <w:rsid w:val="009577FE"/>
    <w:rsid w:val="00992DC9"/>
    <w:rsid w:val="009A0DA1"/>
    <w:rsid w:val="009C794F"/>
    <w:rsid w:val="009F2D7F"/>
    <w:rsid w:val="00A3677E"/>
    <w:rsid w:val="00AA746F"/>
    <w:rsid w:val="00AE6C54"/>
    <w:rsid w:val="00B06BA8"/>
    <w:rsid w:val="00B45489"/>
    <w:rsid w:val="00B61400"/>
    <w:rsid w:val="00BA1A13"/>
    <w:rsid w:val="00BB5F3D"/>
    <w:rsid w:val="00BB63F4"/>
    <w:rsid w:val="00CE6D02"/>
    <w:rsid w:val="00D807C7"/>
    <w:rsid w:val="00D97D2A"/>
    <w:rsid w:val="00DA0AAB"/>
    <w:rsid w:val="00DA7E25"/>
    <w:rsid w:val="00DD06E1"/>
    <w:rsid w:val="00DF190D"/>
    <w:rsid w:val="00E508CE"/>
    <w:rsid w:val="00E64954"/>
    <w:rsid w:val="00E7000A"/>
    <w:rsid w:val="00EB27A4"/>
    <w:rsid w:val="00F0487E"/>
    <w:rsid w:val="00FF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  <w14:docId w14:val="638DDEE4"/>
  <w15:chartTrackingRefBased/>
  <w15:docId w15:val="{E6D613C2-72CD-463C-B923-A50DC064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07448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E6C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C54"/>
  </w:style>
  <w:style w:type="paragraph" w:styleId="Piedepgina">
    <w:name w:val="footer"/>
    <w:basedOn w:val="Normal"/>
    <w:link w:val="PiedepginaCar"/>
    <w:uiPriority w:val="99"/>
    <w:unhideWhenUsed/>
    <w:rsid w:val="00AE6C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C54"/>
  </w:style>
  <w:style w:type="paragraph" w:styleId="NormalWeb">
    <w:name w:val="Normal (Web)"/>
    <w:basedOn w:val="Normal"/>
    <w:uiPriority w:val="99"/>
    <w:semiHidden/>
    <w:unhideWhenUsed/>
    <w:rsid w:val="00E7000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507448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507448"/>
    <w:rPr>
      <w:b/>
      <w:bCs/>
    </w:rPr>
  </w:style>
  <w:style w:type="table" w:styleId="Tablaconcuadrcula">
    <w:name w:val="Table Grid"/>
    <w:basedOn w:val="Tablanormal"/>
    <w:uiPriority w:val="39"/>
    <w:rsid w:val="00DA7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7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646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Ivanova Tavizon</dc:creator>
  <cp:keywords/>
  <dc:description/>
  <cp:lastModifiedBy>francisco javier suarez priego</cp:lastModifiedBy>
  <cp:revision>2</cp:revision>
  <dcterms:created xsi:type="dcterms:W3CDTF">2019-09-19T15:21:00Z</dcterms:created>
  <dcterms:modified xsi:type="dcterms:W3CDTF">2019-09-19T15:21:00Z</dcterms:modified>
</cp:coreProperties>
</file>