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svg" ContentType="image/svg+xml"/>
  <Override PartName="/word/media/rId43.svg" ContentType="image/svg+xml"/>
  <Override PartName="/word/media/rId64.svg" ContentType="image/svg+xml"/>
  <Override PartName="/word/media/rId56.svg" ContentType="image/svg+xml"/>
  <Override PartName="/word/media/rId60.svg" ContentType="image/svg+xml"/>
  <Override PartName="/word/media/rId47.svg" ContentType="image/svg+xml"/>
  <Override PartName="/word/media/rId46.png" ContentType="image/png"/>
  <Override PartName="/word/media/rId50.png" ContentType="image/png"/>
  <Override PartName="/word/media/rId54.png" ContentType="image/png"/>
  <Override PartName="/word/media/rId59.png" ContentType="image/png"/>
  <Override PartName="/word/media/rId63.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5" w:name="X8139f648c2c7efb23755ff2898a18bf694b33ca"/>
    <w:p>
      <w:pPr>
        <w:pStyle w:val="Heading1"/>
      </w:pPr>
      <w:r>
        <w:t xml:space="preserve">The</w:t>
      </w:r>
      <w:r>
        <w:t xml:space="preserve"> </w:t>
      </w:r>
      <w:r>
        <w:rPr>
          <w:iCs/>
          <w:i/>
        </w:rPr>
        <w:t xml:space="preserve">las</w:t>
      </w:r>
      <w:r>
        <w:t xml:space="preserve"> </w:t>
      </w:r>
      <w:r>
        <w:t xml:space="preserve">and</w:t>
      </w:r>
      <w:r>
        <w:t xml:space="preserve"> </w:t>
      </w:r>
      <w:r>
        <w:rPr>
          <w:iCs/>
          <w:i/>
        </w:rPr>
        <w:t xml:space="preserve">rhl</w:t>
      </w:r>
      <w:r>
        <w:t xml:space="preserve"> </w:t>
      </w:r>
      <w:r>
        <w:t xml:space="preserve">Quorum Sensing Systems in</w:t>
      </w:r>
      <w:r>
        <w:t xml:space="preserve"> </w:t>
      </w:r>
      <w:r>
        <w:rPr>
          <w:iCs/>
          <w:i/>
        </w:rPr>
        <w:t xml:space="preserve">Pseudomonas aeruginosa</w:t>
      </w:r>
      <w:r>
        <w:t xml:space="preserve"> </w:t>
      </w:r>
      <w:r>
        <w:t xml:space="preserve">Form a Multi-Signal Reciprocal Network Which Can Tune Reactivity to Variations in Physical and Social Environments</w:t>
      </w:r>
    </w:p>
    <w:bookmarkStart w:id="71" w:name="supporting-information"/>
    <w:p>
      <w:pPr>
        <w:pStyle w:val="Heading2"/>
      </w:pPr>
      <w:r>
        <w:t xml:space="preserve">Supporting Information</w:t>
      </w:r>
    </w:p>
    <w:bookmarkStart w:id="42" w:name="literature-search"/>
    <w:p>
      <w:pPr>
        <w:pStyle w:val="Heading3"/>
      </w:pPr>
      <w:r>
        <w:t xml:space="preserve">Literature Search</w:t>
      </w:r>
    </w:p>
    <w:p>
      <w:pPr>
        <w:pStyle w:val="FirstParagraph"/>
      </w:pPr>
      <w:r>
        <w:t xml:space="preserve">The PubMed database of the US National Institutes of Health was queried on 20 July 2021 using the query</w:t>
      </w:r>
      <w:r>
        <w:t xml:space="preserve"> </w:t>
      </w:r>
      <w:hyperlink r:id="rId20">
        <w:r>
          <w:rPr>
            <w:rStyle w:val="VerbatimChar"/>
          </w:rPr>
          <w:t xml:space="preserve">PubMed Search ("review"[Title/Abstract] OR "review"[Publication Type]) AND "quorum sensing"[Title] AND "pseudomonas aeruginosa"[Title/Abstract]</w:t>
        </w:r>
      </w:hyperlink>
      <w:r>
        <w:t xml:space="preserve">, resulting in 76 results with publication dates from 1996 to 2021. Papers that incluced a daigram of the gene transcription networks for the</w:t>
      </w:r>
      <w:r>
        <w:t xml:space="preserve"> </w:t>
      </w:r>
      <w:r>
        <w:rPr>
          <w:iCs/>
          <w:i/>
        </w:rPr>
        <w:t xml:space="preserve">las</w:t>
      </w:r>
      <w:r>
        <w:t xml:space="preserve"> </w:t>
      </w:r>
      <w:r>
        <w:t xml:space="preserve">and</w:t>
      </w:r>
      <w:r>
        <w:t xml:space="preserve"> </w:t>
      </w:r>
      <w:r>
        <w:rPr>
          <w:iCs/>
          <w:i/>
        </w:rPr>
        <w:t xml:space="preserve">rhl</w:t>
      </w:r>
      <w:r>
        <w:t xml:space="preserve"> </w:t>
      </w:r>
      <w:r>
        <w:t xml:space="preserve">quorum sensing systems were further analyzed to show the interactions present on those diagrams. Tables S.1 and S.2 show the results. Of the papers analyzed, all show the</w:t>
      </w:r>
      <w:r>
        <w:t xml:space="preserve"> </w:t>
      </w:r>
      <w:r>
        <w:rPr>
          <w:iCs/>
          <w:i/>
        </w:rPr>
        <w:t xml:space="preserve">las</w:t>
      </w:r>
      <w:r>
        <w:t xml:space="preserve"> </w:t>
      </w:r>
      <w:r>
        <w:t xml:space="preserve">system positively activating the</w:t>
      </w:r>
      <w:r>
        <w:t xml:space="preserve"> </w:t>
      </w:r>
      <w:r>
        <w:rPr>
          <w:iCs/>
          <w:i/>
        </w:rPr>
        <w:t xml:space="preserve">rhl</w:t>
      </w:r>
      <w:r>
        <w:t xml:space="preserve"> </w:t>
      </w:r>
      <w:r>
        <w:t xml:space="preserve">system, and none show the</w:t>
      </w:r>
      <w:r>
        <w:t xml:space="preserve"> </w:t>
      </w:r>
      <w:r>
        <w:rPr>
          <w:iCs/>
          <w:i/>
        </w:rPr>
        <w:t xml:space="preserve">rhl</w:t>
      </w:r>
      <w:r>
        <w:t xml:space="preserve"> </w:t>
      </w:r>
      <w:r>
        <w:t xml:space="preserve">system postively activating the</w:t>
      </w:r>
      <w:r>
        <w:t xml:space="preserve"> </w:t>
      </w:r>
      <w:r>
        <w:rPr>
          <w:iCs/>
          <w:i/>
        </w:rPr>
        <w:t xml:space="preserve">las</w:t>
      </w:r>
      <w:r>
        <w:t xml:space="preserve"> </w:t>
      </w:r>
      <w:r>
        <w:t xml:space="preserve">system.</w:t>
      </w:r>
    </w:p>
    <w:bookmarkStart w:id="40" w:name="tbl:lasr"/>
    <w:p>
      <w:pPr>
        <w:pStyle w:val="TableCaption"/>
      </w:pPr>
      <w:r>
        <w:t xml:space="preserve">Table 1: _las_r</w:t>
      </w:r>
    </w:p>
    <w:tbl>
      <w:tblPr>
        <w:tblStyle w:val="Table"/>
        <w:tblW w:type="pct" w:w="5000"/>
        <w:tblLook w:firstRow="1" w:lastRow="0" w:firstColumn="0" w:lastColumn="0" w:noHBand="0" w:noVBand="0" w:val="0020"/>
        <w:jc w:val="start"/>
        <w:tblLayout w:type="fixed"/>
        <w:tblCaption w:val="Table 1: _las_r"/>
      </w:tblPr>
      <w:tblGrid>
        <w:gridCol w:w="1131"/>
        <w:gridCol w:w="1131"/>
        <w:gridCol w:w="1131"/>
        <w:gridCol w:w="1131"/>
        <w:gridCol w:w="1131"/>
        <w:gridCol w:w="1131"/>
        <w:gridCol w:w="1131"/>
      </w:tblGrid>
      <w:tr>
        <w:trPr>
          <w:tblHeader w:val="true"/>
        </w:trPr>
        <w:tc>
          <w:tcPr/>
          <w:p>
            <w:pPr>
              <w:pStyle w:val="Compact"/>
              <w:jc w:val="left"/>
            </w:pPr>
            <w:r>
              <w:t xml:space="preserve">Paper</w:t>
            </w:r>
          </w:p>
        </w:tc>
        <w:tc>
          <w:tcPr/>
          <w:p>
            <w:pPr>
              <w:pStyle w:val="Compact"/>
              <w:jc w:val="center"/>
            </w:pPr>
            <w:r>
              <w:t xml:space="preserve">PMID</w:t>
            </w:r>
          </w:p>
        </w:tc>
        <w:tc>
          <w:tcPr/>
          <w:p>
            <w:pPr>
              <w:pStyle w:val="Compact"/>
              <w:jc w:val="center"/>
            </w:pPr>
            <w:r>
              <w:t xml:space="preserve">→</w:t>
            </w:r>
            <w:r>
              <w:rPr>
                <w:iCs/>
                <w:i/>
              </w:rPr>
              <w:t xml:space="preserve">lasI</w:t>
            </w:r>
          </w:p>
        </w:tc>
        <w:tc>
          <w:tcPr/>
          <w:p>
            <w:pPr>
              <w:pStyle w:val="Compact"/>
              <w:jc w:val="center"/>
            </w:pPr>
            <w:r>
              <w:t xml:space="preserve">→</w:t>
            </w:r>
            <w:r>
              <w:rPr>
                <w:iCs/>
                <w:i/>
              </w:rPr>
              <w:t xml:space="preserve">lasR</w:t>
            </w:r>
          </w:p>
        </w:tc>
        <w:tc>
          <w:tcPr/>
          <w:p>
            <w:pPr>
              <w:pStyle w:val="Compact"/>
              <w:jc w:val="center"/>
            </w:pPr>
            <w:r>
              <w:t xml:space="preserve">→</w:t>
            </w:r>
            <w:r>
              <w:rPr>
                <w:iCs/>
                <w:i/>
              </w:rPr>
              <w:t xml:space="preserve">rhlI</w:t>
            </w:r>
          </w:p>
        </w:tc>
        <w:tc>
          <w:tcPr/>
          <w:p>
            <w:pPr>
              <w:pStyle w:val="Compact"/>
              <w:jc w:val="center"/>
            </w:pPr>
            <w:r>
              <w:t xml:space="preserve">→</w:t>
            </w:r>
            <w:r>
              <w:rPr>
                <w:iCs/>
                <w:i/>
              </w:rPr>
              <w:t xml:space="preserve">rhlR</w:t>
            </w:r>
          </w:p>
        </w:tc>
        <w:tc>
          <w:tcPr/>
          <w:p>
            <w:pPr>
              <w:pStyle w:val="Compact"/>
              <w:jc w:val="center"/>
            </w:pPr>
            <w:r>
              <w:t xml:space="preserve">→elastase</w:t>
            </w:r>
          </w:p>
        </w:tc>
      </w:tr>
      <w:tr>
        <w:tc>
          <w:tcPr/>
          <w:p>
            <w:pPr>
              <w:pStyle w:val="Compact"/>
              <w:jc w:val="left"/>
            </w:pPr>
            <w:r>
              <w:t xml:space="preserve">(García-Reyes, Soberón-Chávez, and Cocotl-Yanez 2020)</w:t>
            </w:r>
          </w:p>
        </w:tc>
        <w:tc>
          <w:tcPr/>
          <w:p>
            <w:pPr>
              <w:pStyle w:val="Compact"/>
              <w:jc w:val="center"/>
            </w:pPr>
            <w:hyperlink r:id="rId21">
              <w:r>
                <w:rPr>
                  <w:rStyle w:val="Hyperlink"/>
                </w:rPr>
                <w:t xml:space="preserve">31794380</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(Rutherford and Bassler 2012)</w:t>
            </w:r>
          </w:p>
        </w:tc>
        <w:tc>
          <w:tcPr/>
          <w:p>
            <w:pPr>
              <w:pStyle w:val="Compact"/>
              <w:jc w:val="center"/>
            </w:pPr>
            <w:hyperlink r:id="rId22">
              <w:r>
                <w:rPr>
                  <w:rStyle w:val="Hyperlink"/>
                </w:rPr>
                <w:t xml:space="preserve">23125205</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(Proctor, McCarron, and Ternan 2020)</w:t>
            </w:r>
          </w:p>
        </w:tc>
        <w:tc>
          <w:tcPr/>
          <w:p>
            <w:pPr>
              <w:pStyle w:val="Compact"/>
              <w:jc w:val="center"/>
            </w:pPr>
            <w:hyperlink r:id="rId23">
              <w:r>
                <w:rPr>
                  <w:rStyle w:val="Hyperlink"/>
                </w:rPr>
                <w:t xml:space="preserve">31971503</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(Jakobsen et al. 2013)</w:t>
            </w:r>
          </w:p>
        </w:tc>
        <w:tc>
          <w:tcPr/>
          <w:p>
            <w:pPr>
              <w:pStyle w:val="Compact"/>
              <w:jc w:val="center"/>
            </w:pPr>
            <w:hyperlink r:id="rId24">
              <w:r>
                <w:rPr>
                  <w:rStyle w:val="Hyperlink"/>
                </w:rPr>
                <w:t xml:space="preserve">23841636</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(Soukarieh et al. 2018)</w:t>
            </w:r>
          </w:p>
        </w:tc>
        <w:tc>
          <w:tcPr/>
          <w:p>
            <w:pPr>
              <w:pStyle w:val="Compact"/>
              <w:jc w:val="center"/>
            </w:pPr>
            <w:hyperlink r:id="rId25">
              <w:r>
                <w:rPr>
                  <w:rStyle w:val="Hyperlink"/>
                </w:rPr>
                <w:t xml:space="preserve">29999316</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(Tateda 2005)</w:t>
            </w:r>
          </w:p>
        </w:tc>
        <w:tc>
          <w:tcPr/>
          <w:p>
            <w:pPr>
              <w:pStyle w:val="Compact"/>
              <w:jc w:val="center"/>
            </w:pPr>
            <w:hyperlink r:id="rId26">
              <w:r>
                <w:rPr>
                  <w:rStyle w:val="Hyperlink"/>
                </w:rPr>
                <w:t xml:space="preserve">15926474</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(Williams et al. 2007)</w:t>
            </w:r>
          </w:p>
        </w:tc>
        <w:tc>
          <w:tcPr/>
          <w:p>
            <w:pPr>
              <w:pStyle w:val="Compact"/>
              <w:jc w:val="center"/>
            </w:pPr>
            <w:hyperlink r:id="rId27">
              <w:r>
                <w:rPr>
                  <w:rStyle w:val="Hyperlink"/>
                </w:rPr>
                <w:t xml:space="preserve">19249239</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(Heurlier, Dénervaud, and Haas 2006)</w:t>
            </w:r>
          </w:p>
        </w:tc>
        <w:tc>
          <w:tcPr/>
          <w:p>
            <w:pPr>
              <w:pStyle w:val="Compact"/>
              <w:jc w:val="center"/>
            </w:pPr>
            <w:hyperlink r:id="rId28">
              <w:r>
                <w:rPr>
                  <w:rStyle w:val="Hyperlink"/>
                </w:rPr>
                <w:t xml:space="preserve">16503417</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(Le Berre et al. 2006)</w:t>
            </w:r>
          </w:p>
        </w:tc>
        <w:tc>
          <w:tcPr/>
          <w:p>
            <w:pPr>
              <w:pStyle w:val="Compact"/>
              <w:jc w:val="center"/>
            </w:pPr>
            <w:hyperlink r:id="rId29">
              <w:r>
                <w:rPr>
                  <w:rStyle w:val="Hyperlink"/>
                </w:rPr>
                <w:t xml:space="preserve">16631332</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(Juhas, Eberl, and Tümmler 2005)</w:t>
            </w:r>
          </w:p>
        </w:tc>
        <w:tc>
          <w:tcPr/>
          <w:p>
            <w:pPr>
              <w:pStyle w:val="Compact"/>
              <w:jc w:val="center"/>
            </w:pPr>
            <w:hyperlink r:id="rId30">
              <w:r>
                <w:rPr>
                  <w:rStyle w:val="Hyperlink"/>
                </w:rPr>
                <w:t xml:space="preserve">15816912</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(Donabedian 2003)</w:t>
            </w:r>
          </w:p>
        </w:tc>
        <w:tc>
          <w:tcPr/>
          <w:p>
            <w:pPr>
              <w:pStyle w:val="Compact"/>
              <w:jc w:val="center"/>
            </w:pPr>
            <w:hyperlink r:id="rId31">
              <w:r>
                <w:rPr>
                  <w:rStyle w:val="Hyperlink"/>
                </w:rPr>
                <w:t xml:space="preserve">12799145</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(Reuter, Steinbach, and Helms 2016)</w:t>
            </w:r>
          </w:p>
        </w:tc>
        <w:tc>
          <w:tcPr/>
          <w:p>
            <w:pPr>
              <w:pStyle w:val="Compact"/>
              <w:jc w:val="center"/>
            </w:pPr>
            <w:hyperlink r:id="rId32">
              <w:r>
                <w:rPr>
                  <w:rStyle w:val="Hyperlink"/>
                </w:rPr>
                <w:t xml:space="preserve">26819549</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(Yong and Zhong 2013)</w:t>
            </w:r>
          </w:p>
        </w:tc>
        <w:tc>
          <w:tcPr/>
          <w:p>
            <w:pPr>
              <w:pStyle w:val="Compact"/>
              <w:jc w:val="center"/>
            </w:pPr>
            <w:hyperlink r:id="rId33">
              <w:r>
                <w:rPr>
                  <w:rStyle w:val="Hyperlink"/>
                </w:rPr>
                <w:t xml:space="preserve">22767136</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(Welsh and Blackwell 2016)</w:t>
            </w:r>
          </w:p>
        </w:tc>
        <w:tc>
          <w:tcPr/>
          <w:p>
            <w:pPr>
              <w:pStyle w:val="Compact"/>
              <w:jc w:val="center"/>
            </w:pPr>
            <w:hyperlink r:id="rId34">
              <w:r>
                <w:rPr>
                  <w:rStyle w:val="Hyperlink"/>
                </w:rPr>
                <w:t xml:space="preserve">27268906</w:t>
              </w:r>
            </w:hyperlink>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(De Sordi and Mühlschlegel 2009)</w:t>
            </w:r>
          </w:p>
        </w:tc>
        <w:tc>
          <w:tcPr/>
          <w:p>
            <w:pPr>
              <w:pStyle w:val="Compact"/>
              <w:jc w:val="center"/>
            </w:pPr>
            <w:hyperlink r:id="rId35">
              <w:r>
                <w:rPr>
                  <w:rStyle w:val="Hyperlink"/>
                </w:rPr>
                <w:t xml:space="preserve">19845041</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(Winzer and Williams 2001)</w:t>
            </w:r>
          </w:p>
        </w:tc>
        <w:tc>
          <w:tcPr/>
          <w:p>
            <w:pPr>
              <w:pStyle w:val="Compact"/>
              <w:jc w:val="center"/>
            </w:pPr>
            <w:hyperlink r:id="rId36">
              <w:r>
                <w:rPr>
                  <w:rStyle w:val="Hyperlink"/>
                </w:rPr>
                <w:t xml:space="preserve">11437336</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(Schuster et al. 2013)</w:t>
            </w:r>
          </w:p>
        </w:tc>
        <w:tc>
          <w:tcPr/>
          <w:p>
            <w:pPr>
              <w:pStyle w:val="Compact"/>
              <w:jc w:val="center"/>
            </w:pPr>
            <w:hyperlink r:id="rId37">
              <w:r>
                <w:rPr>
                  <w:rStyle w:val="Hyperlink"/>
                </w:rPr>
                <w:t xml:space="preserve">23682605</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(Papaioannou, Utari, and Quax 2013)</w:t>
            </w:r>
          </w:p>
        </w:tc>
        <w:tc>
          <w:tcPr/>
          <w:p>
            <w:pPr>
              <w:pStyle w:val="Compact"/>
              <w:jc w:val="center"/>
            </w:pPr>
            <w:hyperlink r:id="rId38">
              <w:r>
                <w:rPr>
                  <w:rStyle w:val="Hyperlink"/>
                </w:rPr>
                <w:t xml:space="preserve">24065108</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(Roy, Adams, and Bentley 2011)</w:t>
            </w:r>
          </w:p>
        </w:tc>
        <w:tc>
          <w:tcPr/>
          <w:p>
            <w:pPr>
              <w:pStyle w:val="Compact"/>
              <w:jc w:val="center"/>
            </w:pPr>
            <w:hyperlink r:id="rId39">
              <w:r>
                <w:rPr>
                  <w:rStyle w:val="Hyperlink"/>
                </w:rPr>
                <w:t xml:space="preserve">22112397</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bl>
    <w:bookmarkEnd w:id="40"/>
    <w:p>
      <w:pPr>
        <w:pStyle w:val="Caption"/>
      </w:pPr>
      <w:r>
        <w:rPr>
          <w:bCs/>
          <w:b/>
        </w:rPr>
        <w:t xml:space="preserve">Table S.1.</w:t>
      </w:r>
      <w:r>
        <w:t xml:space="preserve"> </w:t>
      </w:r>
      <w:r>
        <w:t xml:space="preserve">Activation of QS genes by LasR/3‑oxo‑C</w:t>
      </w:r>
      <w:r>
        <w:rPr>
          <w:vertAlign w:val="subscript"/>
        </w:rPr>
        <w:t xml:space="preserve">12</w:t>
      </w:r>
      <w:r>
        <w:t xml:space="preserve">‑HSL in review of published literature. Solid dots indicate positive activation in the paper’s diagram of gene transcription, while hollow dots indicate that the diagram shows no effect. No diagrams indicated repression. Note that some papers made no attempt to indicate particular interactions; several, for example, concentrated strictly on the QS genes themselves and did not show the effect on downstream genes such as those for elastase.</w:t>
      </w:r>
    </w:p>
    <w:bookmarkStart w:id="41" w:name="tbl:rhlr"/>
    <w:p>
      <w:pPr>
        <w:pStyle w:val="TableCaption"/>
      </w:pPr>
      <w:r>
        <w:t xml:space="preserve">Table 2: _rhl_r</w:t>
      </w:r>
    </w:p>
    <w:tbl>
      <w:tblPr>
        <w:tblStyle w:val="Table"/>
        <w:tblW w:type="pct" w:w="5000"/>
        <w:tblLook w:firstRow="1" w:lastRow="0" w:firstColumn="0" w:lastColumn="0" w:noHBand="0" w:noVBand="0" w:val="0020"/>
        <w:jc w:val="start"/>
        <w:tblLayout w:type="fixed"/>
        <w:tblCaption w:val="Table 2: _rhl_r"/>
      </w:tblPr>
      <w:tblGrid>
        <w:gridCol w:w="1131"/>
        <w:gridCol w:w="1131"/>
        <w:gridCol w:w="1131"/>
        <w:gridCol w:w="1131"/>
        <w:gridCol w:w="1131"/>
        <w:gridCol w:w="1131"/>
        <w:gridCol w:w="1131"/>
      </w:tblGrid>
      <w:tr>
        <w:trPr>
          <w:tblHeader w:val="true"/>
        </w:trPr>
        <w:tc>
          <w:tcPr/>
          <w:p>
            <w:pPr>
              <w:pStyle w:val="Compact"/>
              <w:jc w:val="left"/>
            </w:pPr>
            <w:r>
              <w:t xml:space="preserve">Paper</w:t>
            </w:r>
          </w:p>
        </w:tc>
        <w:tc>
          <w:tcPr/>
          <w:p>
            <w:pPr>
              <w:pStyle w:val="Compact"/>
              <w:jc w:val="center"/>
            </w:pPr>
            <w:r>
              <w:t xml:space="preserve">PMID</w:t>
            </w:r>
          </w:p>
        </w:tc>
        <w:tc>
          <w:tcPr/>
          <w:p>
            <w:pPr>
              <w:pStyle w:val="Compact"/>
              <w:jc w:val="center"/>
            </w:pPr>
            <w:r>
              <w:t xml:space="preserve">→</w:t>
            </w:r>
            <w:r>
              <w:rPr>
                <w:iCs/>
                <w:i/>
              </w:rPr>
              <w:t xml:space="preserve">lasI</w:t>
            </w:r>
          </w:p>
        </w:tc>
        <w:tc>
          <w:tcPr/>
          <w:p>
            <w:pPr>
              <w:pStyle w:val="Compact"/>
              <w:jc w:val="center"/>
            </w:pPr>
            <w:r>
              <w:t xml:space="preserve">→</w:t>
            </w:r>
            <w:r>
              <w:rPr>
                <w:iCs/>
                <w:i/>
              </w:rPr>
              <w:t xml:space="preserve">lasR</w:t>
            </w:r>
          </w:p>
        </w:tc>
        <w:tc>
          <w:tcPr/>
          <w:p>
            <w:pPr>
              <w:pStyle w:val="Compact"/>
              <w:jc w:val="center"/>
            </w:pPr>
            <w:r>
              <w:t xml:space="preserve">→</w:t>
            </w:r>
            <w:r>
              <w:rPr>
                <w:iCs/>
                <w:i/>
              </w:rPr>
              <w:t xml:space="preserve">rhlI</w:t>
            </w:r>
          </w:p>
        </w:tc>
        <w:tc>
          <w:tcPr/>
          <w:p>
            <w:pPr>
              <w:pStyle w:val="Compact"/>
              <w:jc w:val="center"/>
            </w:pPr>
            <w:r>
              <w:t xml:space="preserve">→</w:t>
            </w:r>
            <w:r>
              <w:rPr>
                <w:iCs/>
                <w:i/>
              </w:rPr>
              <w:t xml:space="preserve">rhlR</w:t>
            </w:r>
          </w:p>
        </w:tc>
        <w:tc>
          <w:tcPr/>
          <w:p>
            <w:pPr>
              <w:pStyle w:val="Compact"/>
              <w:jc w:val="center"/>
            </w:pPr>
            <w:r>
              <w:t xml:space="preserve">→elastase</w:t>
            </w:r>
          </w:p>
        </w:tc>
      </w:tr>
      <w:tr>
        <w:tc>
          <w:tcPr/>
          <w:p>
            <w:pPr>
              <w:pStyle w:val="Compact"/>
              <w:jc w:val="left"/>
            </w:pPr>
            <w:r>
              <w:t xml:space="preserve">(García-Reyes, Soberón-Chávez, and Cocotl-Yanez 2020)</w:t>
            </w:r>
          </w:p>
        </w:tc>
        <w:tc>
          <w:tcPr/>
          <w:p>
            <w:pPr>
              <w:pStyle w:val="Compact"/>
              <w:jc w:val="center"/>
            </w:pPr>
            <w:hyperlink r:id="rId21">
              <w:r>
                <w:rPr>
                  <w:rStyle w:val="Hyperlink"/>
                </w:rPr>
                <w:t xml:space="preserve">31794380</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(Rutherford and Bassler 2012)</w:t>
            </w:r>
          </w:p>
        </w:tc>
        <w:tc>
          <w:tcPr/>
          <w:p>
            <w:pPr>
              <w:pStyle w:val="Compact"/>
              <w:jc w:val="center"/>
            </w:pPr>
            <w:hyperlink r:id="rId22">
              <w:r>
                <w:rPr>
                  <w:rStyle w:val="Hyperlink"/>
                </w:rPr>
                <w:t xml:space="preserve">23125205</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(Proctor, McCarron, and Ternan 2020)</w:t>
            </w:r>
          </w:p>
        </w:tc>
        <w:tc>
          <w:tcPr/>
          <w:p>
            <w:pPr>
              <w:pStyle w:val="Compact"/>
              <w:jc w:val="center"/>
            </w:pPr>
            <w:hyperlink r:id="rId23">
              <w:r>
                <w:rPr>
                  <w:rStyle w:val="Hyperlink"/>
                </w:rPr>
                <w:t xml:space="preserve">31971503</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(Jakobsen et al. 2013)</w:t>
            </w:r>
          </w:p>
        </w:tc>
        <w:tc>
          <w:tcPr/>
          <w:p>
            <w:pPr>
              <w:pStyle w:val="Compact"/>
              <w:jc w:val="center"/>
            </w:pPr>
            <w:hyperlink r:id="rId24">
              <w:r>
                <w:rPr>
                  <w:rStyle w:val="Hyperlink"/>
                </w:rPr>
                <w:t xml:space="preserve">23841636</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(Soukarieh et al. 2018)</w:t>
            </w:r>
          </w:p>
        </w:tc>
        <w:tc>
          <w:tcPr/>
          <w:p>
            <w:pPr>
              <w:pStyle w:val="Compact"/>
              <w:jc w:val="center"/>
            </w:pPr>
            <w:hyperlink r:id="rId25">
              <w:r>
                <w:rPr>
                  <w:rStyle w:val="Hyperlink"/>
                </w:rPr>
                <w:t xml:space="preserve">29999316</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(Tateda 2005)</w:t>
            </w:r>
          </w:p>
        </w:tc>
        <w:tc>
          <w:tcPr/>
          <w:p>
            <w:pPr>
              <w:pStyle w:val="Compact"/>
              <w:jc w:val="center"/>
            </w:pPr>
            <w:hyperlink r:id="rId26">
              <w:r>
                <w:rPr>
                  <w:rStyle w:val="Hyperlink"/>
                </w:rPr>
                <w:t xml:space="preserve">15926474</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(Williams et al. 2007)</w:t>
            </w:r>
          </w:p>
        </w:tc>
        <w:tc>
          <w:tcPr/>
          <w:p>
            <w:pPr>
              <w:pStyle w:val="Compact"/>
              <w:jc w:val="center"/>
            </w:pPr>
            <w:hyperlink r:id="rId27">
              <w:r>
                <w:rPr>
                  <w:rStyle w:val="Hyperlink"/>
                </w:rPr>
                <w:t xml:space="preserve">19249239</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(Heurlier, Dénervaud, and Haas 2006)</w:t>
            </w:r>
          </w:p>
        </w:tc>
        <w:tc>
          <w:tcPr/>
          <w:p>
            <w:pPr>
              <w:pStyle w:val="Compact"/>
              <w:jc w:val="center"/>
            </w:pPr>
            <w:hyperlink r:id="rId28">
              <w:r>
                <w:rPr>
                  <w:rStyle w:val="Hyperlink"/>
                </w:rPr>
                <w:t xml:space="preserve">16503417</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(Le Berre et al. 2006)</w:t>
            </w:r>
          </w:p>
        </w:tc>
        <w:tc>
          <w:tcPr/>
          <w:p>
            <w:pPr>
              <w:pStyle w:val="Compact"/>
              <w:jc w:val="center"/>
            </w:pPr>
            <w:hyperlink r:id="rId29">
              <w:r>
                <w:rPr>
                  <w:rStyle w:val="Hyperlink"/>
                </w:rPr>
                <w:t xml:space="preserve">16631332</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(Juhas, Eberl, and Tümmler 2005)</w:t>
            </w:r>
          </w:p>
        </w:tc>
        <w:tc>
          <w:tcPr/>
          <w:p>
            <w:pPr>
              <w:pStyle w:val="Compact"/>
              <w:jc w:val="center"/>
            </w:pPr>
            <w:hyperlink r:id="rId30">
              <w:r>
                <w:rPr>
                  <w:rStyle w:val="Hyperlink"/>
                </w:rPr>
                <w:t xml:space="preserve">15816912</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(Donabedian 2003)</w:t>
            </w:r>
          </w:p>
        </w:tc>
        <w:tc>
          <w:tcPr/>
          <w:p>
            <w:pPr>
              <w:pStyle w:val="Compact"/>
              <w:jc w:val="center"/>
            </w:pPr>
            <w:hyperlink r:id="rId31">
              <w:r>
                <w:rPr>
                  <w:rStyle w:val="Hyperlink"/>
                </w:rPr>
                <w:t xml:space="preserve">12799145</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(Reuter, Steinbach, and Helms 2016)</w:t>
            </w:r>
          </w:p>
        </w:tc>
        <w:tc>
          <w:tcPr/>
          <w:p>
            <w:pPr>
              <w:pStyle w:val="Compact"/>
              <w:jc w:val="center"/>
            </w:pPr>
            <w:hyperlink r:id="rId32">
              <w:r>
                <w:rPr>
                  <w:rStyle w:val="Hyperlink"/>
                </w:rPr>
                <w:t xml:space="preserve">26819549</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(Yong and Zhong 2013)</w:t>
            </w:r>
          </w:p>
        </w:tc>
        <w:tc>
          <w:tcPr/>
          <w:p>
            <w:pPr>
              <w:pStyle w:val="Compact"/>
              <w:jc w:val="center"/>
            </w:pPr>
            <w:hyperlink r:id="rId33">
              <w:r>
                <w:rPr>
                  <w:rStyle w:val="Hyperlink"/>
                </w:rPr>
                <w:t xml:space="preserve">22767136</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(Welsh and Blackwell 2016)</w:t>
            </w:r>
          </w:p>
        </w:tc>
        <w:tc>
          <w:tcPr/>
          <w:p>
            <w:pPr>
              <w:pStyle w:val="Compact"/>
              <w:jc w:val="center"/>
            </w:pPr>
            <w:hyperlink r:id="rId34">
              <w:r>
                <w:rPr>
                  <w:rStyle w:val="Hyperlink"/>
                </w:rPr>
                <w:t xml:space="preserve">27268906</w:t>
              </w:r>
            </w:hyperlink>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pPr>
          </w:p>
        </w:tc>
        <w:tc>
          <w:tcPr/>
          <w:p>
            <w:pPr>
              <w:pStyle w:val="Compact"/>
              <w:jc w:val="center"/>
            </w:pPr>
            <w:r>
              <w:t xml:space="preserve">○</w:t>
            </w:r>
          </w:p>
        </w:tc>
      </w:tr>
      <w:tr>
        <w:tc>
          <w:tcPr/>
          <w:p>
            <w:pPr>
              <w:pStyle w:val="Compact"/>
              <w:jc w:val="left"/>
            </w:pPr>
            <w:r>
              <w:t xml:space="preserve">(De Sordi and Mühlschlegel 2009)</w:t>
            </w:r>
          </w:p>
        </w:tc>
        <w:tc>
          <w:tcPr/>
          <w:p>
            <w:pPr>
              <w:pStyle w:val="Compact"/>
              <w:jc w:val="center"/>
            </w:pPr>
            <w:hyperlink r:id="rId35">
              <w:r>
                <w:rPr>
                  <w:rStyle w:val="Hyperlink"/>
                </w:rPr>
                <w:t xml:space="preserve">19845041</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(Winzer and Williams 2001)</w:t>
            </w:r>
          </w:p>
        </w:tc>
        <w:tc>
          <w:tcPr/>
          <w:p>
            <w:pPr>
              <w:pStyle w:val="Compact"/>
              <w:jc w:val="center"/>
            </w:pPr>
            <w:hyperlink r:id="rId36">
              <w:r>
                <w:rPr>
                  <w:rStyle w:val="Hyperlink"/>
                </w:rPr>
                <w:t xml:space="preserve">11437336</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(Schuster et al. 2013)</w:t>
            </w:r>
          </w:p>
        </w:tc>
        <w:tc>
          <w:tcPr/>
          <w:p>
            <w:pPr>
              <w:pStyle w:val="Compact"/>
              <w:jc w:val="center"/>
            </w:pPr>
            <w:hyperlink r:id="rId37">
              <w:r>
                <w:rPr>
                  <w:rStyle w:val="Hyperlink"/>
                </w:rPr>
                <w:t xml:space="preserve">23682605</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(Papaioannou, Utari, and Quax 2013)</w:t>
            </w:r>
          </w:p>
        </w:tc>
        <w:tc>
          <w:tcPr/>
          <w:p>
            <w:pPr>
              <w:pStyle w:val="Compact"/>
              <w:jc w:val="center"/>
            </w:pPr>
            <w:hyperlink r:id="rId38">
              <w:r>
                <w:rPr>
                  <w:rStyle w:val="Hyperlink"/>
                </w:rPr>
                <w:t xml:space="preserve">24065108</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(Roy, Adams, and Bentley 2011)</w:t>
            </w:r>
          </w:p>
        </w:tc>
        <w:tc>
          <w:tcPr/>
          <w:p>
            <w:pPr>
              <w:pStyle w:val="Compact"/>
              <w:jc w:val="center"/>
            </w:pPr>
            <w:hyperlink r:id="rId39">
              <w:r>
                <w:rPr>
                  <w:rStyle w:val="Hyperlink"/>
                </w:rPr>
                <w:t xml:space="preserve">22112397</w:t>
              </w:r>
            </w:hyperlink>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bl>
    <w:bookmarkEnd w:id="41"/>
    <w:p>
      <w:pPr>
        <w:pStyle w:val="Caption"/>
      </w:pPr>
      <w:r>
        <w:rPr>
          <w:bCs/>
          <w:b/>
        </w:rPr>
        <w:t xml:space="preserve">Table S.2.</w:t>
      </w:r>
      <w:r>
        <w:t xml:space="preserve"> </w:t>
      </w:r>
      <w:r>
        <w:t xml:space="preserve">Activation of QS genes by RhlR/C</w:t>
      </w:r>
      <w:r>
        <w:rPr>
          <w:vertAlign w:val="subscript"/>
        </w:rPr>
        <w:t xml:space="preserve">4</w:t>
      </w:r>
      <w:r>
        <w:t xml:space="preserve">‑HSL in review of published literature. Same notation as previous table.</w:t>
      </w:r>
    </w:p>
    <w:bookmarkEnd w:id="42"/>
    <w:bookmarkStart w:id="55" w:name="data-analysis"/>
    <w:p>
      <w:pPr>
        <w:pStyle w:val="Heading3"/>
      </w:pPr>
      <w:r>
        <w:t xml:space="preserve">Data Analysis</w:t>
      </w:r>
    </w:p>
    <w:p>
      <w:pPr>
        <w:pStyle w:val="FirstParagraph"/>
      </w:pPr>
      <w:r>
        <w:t xml:space="preserve">Gene expression data for</w:t>
      </w:r>
      <w:r>
        <w:t xml:space="preserve"> </w:t>
      </w:r>
      <w:r>
        <w:rPr>
          <w:iCs/>
          <w:i/>
        </w:rPr>
        <w:t xml:space="preserve">lasI,</w:t>
      </w:r>
      <w:r>
        <w:t xml:space="preserve"> </w:t>
      </w:r>
      <w:r>
        <w:rPr>
          <w:iCs/>
          <w:i/>
        </w:rPr>
        <w:t xml:space="preserve">rhlI,</w:t>
      </w:r>
      <w:r>
        <w:t xml:space="preserve"> </w:t>
      </w:r>
      <w:r>
        <w:t xml:space="preserve">and</w:t>
      </w:r>
      <w:r>
        <w:t xml:space="preserve"> </w:t>
      </w:r>
      <w:r>
        <w:rPr>
          <w:iCs/>
          <w:i/>
        </w:rPr>
        <w:t xml:space="preserve">lasB</w:t>
      </w:r>
      <w:r>
        <w:t xml:space="preserve"> </w:t>
      </w:r>
      <w:r>
        <w:t xml:space="preserve">was collected every hour for a 24-hour period. Observations used for analysis were limited to a two-hour window that contained the peak expression level for each gene. Figures S.1, S.2, and S.3 show the full time course of expression levels and highlight the intervals used for analysis. Those windows were 8–10 hours, 3–5 hours, and 4–6 hours for</w:t>
      </w:r>
      <w:r>
        <w:t xml:space="preserve"> </w:t>
      </w:r>
      <w:r>
        <w:rPr>
          <w:iCs/>
          <w:i/>
        </w:rPr>
        <w:t xml:space="preserve">lasI,</w:t>
      </w:r>
      <w:r>
        <w:t xml:space="preserve"> </w:t>
      </w:r>
      <w:r>
        <w:rPr>
          <w:iCs/>
          <w:i/>
        </w:rPr>
        <w:t xml:space="preserve">rhlI,</w:t>
      </w:r>
      <w:r>
        <w:t xml:space="preserve"> </w:t>
      </w:r>
      <w:r>
        <w:t xml:space="preserve">and</w:t>
      </w:r>
      <w:r>
        <w:t xml:space="preserve"> </w:t>
      </w:r>
      <w:r>
        <w:rPr>
          <w:iCs/>
          <w:i/>
        </w:rPr>
        <w:t xml:space="preserve">lasB,</w:t>
      </w:r>
      <w:r>
        <w:t xml:space="preserve"> </w:t>
      </w:r>
      <w:r>
        <w:t xml:space="preserve">respectively.</w:t>
      </w:r>
    </w:p>
    <w:p>
      <w:pPr>
        <w:pStyle w:val="CaptionedFigure"/>
      </w:pPr>
      <w:r>
        <w:drawing>
          <wp:inline>
            <wp:extent cx="5029200" cy="7315200"/>
            <wp:effectExtent b="0" l="0" r="0" t="0"/>
            <wp:docPr descr="lasi_time" title="" id="44" name="Picture"/>
            <a:graphic>
              <a:graphicData uri="http://schemas.openxmlformats.org/drawingml/2006/picture">
                <pic:pic>
                  <pic:nvPicPr>
                    <pic:cNvPr descr="Figures/lasi_time.svg" id="45" name="Picture"/>
                    <pic:cNvPicPr>
                      <a:picLocks noChangeArrowheads="1" noChangeAspect="1"/>
                    </pic:cNvPicPr>
                  </pic:nvPicPr>
                  <pic:blipFill>
                    <a:blip r:embed="rId46">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5029200" cy="7315200"/>
                    </a:xfrm>
                    <a:prstGeom prst="rect">
                      <a:avLst/>
                    </a:prstGeom>
                    <a:noFill/>
                    <a:ln w="9525">
                      <a:noFill/>
                      <a:headEnd/>
                      <a:tailEnd/>
                    </a:ln>
                  </pic:spPr>
                </pic:pic>
              </a:graphicData>
            </a:graphic>
          </wp:inline>
        </w:drawing>
      </w:r>
    </w:p>
    <w:p>
      <w:pPr>
        <w:pStyle w:val="ImageCaption"/>
      </w:pPr>
      <w:r>
        <w:t xml:space="preserve">Figure 1: lasi_time</w:t>
      </w:r>
    </w:p>
    <w:p>
      <w:pPr>
        <w:pStyle w:val="Caption"/>
      </w:pPr>
      <w:r>
        <w:rPr>
          <w:bCs/>
          <w:b/>
        </w:rPr>
        <w:t xml:space="preserve">Figure S.1. Expression level of</w:t>
      </w:r>
      <w:r>
        <w:rPr>
          <w:bCs/>
          <w:b/>
        </w:rPr>
        <w:t xml:space="preserve"> </w:t>
      </w:r>
      <w:r>
        <w:rPr>
          <w:iCs/>
          <w:i/>
          <w:bCs/>
          <w:b/>
        </w:rPr>
        <w:t xml:space="preserve">lasI</w:t>
      </w:r>
      <w:r>
        <w:rPr>
          <w:bCs/>
          <w:b/>
        </w:rPr>
        <w:t xml:space="preserve"> </w:t>
      </w:r>
      <w:r>
        <w:rPr>
          <w:bCs/>
          <w:b/>
        </w:rPr>
        <w:t xml:space="preserve">over time course of experiment.</w:t>
      </w:r>
      <w:r>
        <w:t xml:space="preserve"> </w:t>
      </w:r>
      <w:r>
        <w:t xml:space="preserve">Shaded regions highlight peak expression and indicate two-hour period used in analysis.</w:t>
      </w:r>
    </w:p>
    <w:p>
      <w:pPr>
        <w:pStyle w:val="CaptionedFigure"/>
      </w:pPr>
      <w:r>
        <w:drawing>
          <wp:inline>
            <wp:extent cx="5029200" cy="7315200"/>
            <wp:effectExtent b="0" l="0" r="0" t="0"/>
            <wp:docPr descr="rhli_time" title="" id="48" name="Picture"/>
            <a:graphic>
              <a:graphicData uri="http://schemas.openxmlformats.org/drawingml/2006/picture">
                <pic:pic>
                  <pic:nvPicPr>
                    <pic:cNvPr descr="Figures/rhli_time.svg" id="49" name="Picture"/>
                    <pic:cNvPicPr>
                      <a:picLocks noChangeArrowheads="1" noChangeAspect="1"/>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5029200" cy="7315200"/>
                    </a:xfrm>
                    <a:prstGeom prst="rect">
                      <a:avLst/>
                    </a:prstGeom>
                    <a:noFill/>
                    <a:ln w="9525">
                      <a:noFill/>
                      <a:headEnd/>
                      <a:tailEnd/>
                    </a:ln>
                  </pic:spPr>
                </pic:pic>
              </a:graphicData>
            </a:graphic>
          </wp:inline>
        </w:drawing>
      </w:r>
    </w:p>
    <w:p>
      <w:pPr>
        <w:pStyle w:val="ImageCaption"/>
      </w:pPr>
      <w:r>
        <w:t xml:space="preserve">Figure 2: rhli_time</w:t>
      </w:r>
    </w:p>
    <w:p>
      <w:pPr>
        <w:pStyle w:val="Caption"/>
      </w:pPr>
      <w:r>
        <w:rPr>
          <w:bCs/>
          <w:b/>
        </w:rPr>
        <w:t xml:space="preserve">Figure S.2. Expression level of</w:t>
      </w:r>
      <w:r>
        <w:rPr>
          <w:bCs/>
          <w:b/>
        </w:rPr>
        <w:t xml:space="preserve"> </w:t>
      </w:r>
      <w:r>
        <w:rPr>
          <w:iCs/>
          <w:i/>
          <w:bCs/>
          <w:b/>
        </w:rPr>
        <w:t xml:space="preserve">rhlI</w:t>
      </w:r>
      <w:r>
        <w:rPr>
          <w:bCs/>
          <w:b/>
        </w:rPr>
        <w:t xml:space="preserve"> </w:t>
      </w:r>
      <w:r>
        <w:rPr>
          <w:bCs/>
          <w:b/>
        </w:rPr>
        <w:t xml:space="preserve">over time course of experiment.</w:t>
      </w:r>
      <w:r>
        <w:t xml:space="preserve"> </w:t>
      </w:r>
      <w:r>
        <w:t xml:space="preserve">Shaded regions highlight peak expression and indicate two-hour period used in analysis.</w:t>
      </w:r>
    </w:p>
    <w:p>
      <w:pPr>
        <w:pStyle w:val="CaptionedFigure"/>
      </w:pPr>
      <w:r>
        <w:drawing>
          <wp:inline>
            <wp:extent cx="5029200" cy="7315200"/>
            <wp:effectExtent b="0" l="0" r="0" t="0"/>
            <wp:docPr descr="lasb_time" title="" id="52" name="Picture"/>
            <a:graphic>
              <a:graphicData uri="http://schemas.openxmlformats.org/drawingml/2006/picture">
                <pic:pic>
                  <pic:nvPicPr>
                    <pic:cNvPr descr="Figures/lasb_time.svg" id="53" name="Picture"/>
                    <pic:cNvPicPr>
                      <a:picLocks noChangeArrowheads="1" noChangeAspect="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bwMode="auto">
                    <a:xfrm>
                      <a:off x="0" y="0"/>
                      <a:ext cx="5029200" cy="7315200"/>
                    </a:xfrm>
                    <a:prstGeom prst="rect">
                      <a:avLst/>
                    </a:prstGeom>
                    <a:noFill/>
                    <a:ln w="9525">
                      <a:noFill/>
                      <a:headEnd/>
                      <a:tailEnd/>
                    </a:ln>
                  </pic:spPr>
                </pic:pic>
              </a:graphicData>
            </a:graphic>
          </wp:inline>
        </w:drawing>
      </w:r>
    </w:p>
    <w:p>
      <w:pPr>
        <w:pStyle w:val="ImageCaption"/>
      </w:pPr>
      <w:r>
        <w:t xml:space="preserve">Figure 3: lasb_time</w:t>
      </w:r>
    </w:p>
    <w:p>
      <w:pPr>
        <w:pStyle w:val="Caption"/>
      </w:pPr>
      <w:r>
        <w:rPr>
          <w:bCs/>
          <w:b/>
        </w:rPr>
        <w:t xml:space="preserve">Figure S.3. Expression level of</w:t>
      </w:r>
      <w:r>
        <w:rPr>
          <w:bCs/>
          <w:b/>
        </w:rPr>
        <w:t xml:space="preserve"> </w:t>
      </w:r>
      <w:r>
        <w:rPr>
          <w:iCs/>
          <w:i/>
          <w:bCs/>
          <w:b/>
        </w:rPr>
        <w:t xml:space="preserve">lasB</w:t>
      </w:r>
      <w:r>
        <w:rPr>
          <w:bCs/>
          <w:b/>
        </w:rPr>
        <w:t xml:space="preserve"> </w:t>
      </w:r>
      <w:r>
        <w:rPr>
          <w:bCs/>
          <w:b/>
        </w:rPr>
        <w:t xml:space="preserve">over time course of experiment.</w:t>
      </w:r>
      <w:r>
        <w:t xml:space="preserve"> </w:t>
      </w:r>
      <w:r>
        <w:t xml:space="preserve">Shaded regions highlight peak expression and indicate two-hour period used in analysis.</w:t>
      </w:r>
    </w:p>
    <w:bookmarkEnd w:id="55"/>
    <w:bookmarkStart w:id="68" w:name="multi-signal-models"/>
    <w:p>
      <w:pPr>
        <w:pStyle w:val="Heading3"/>
      </w:pPr>
      <w:r>
        <w:t xml:space="preserve">Multi-Signal Models</w:t>
      </w:r>
    </w:p>
    <w:p>
      <w:pPr>
        <w:pStyle w:val="FirstParagraph"/>
      </w:pPr>
      <w:r>
        <w:t xml:space="preserve">Figure 7 in the main text summarizes the predictions of the multi-signal models for</w:t>
      </w:r>
      <w:r>
        <w:t xml:space="preserve"> </w:t>
      </w:r>
      <w:r>
        <w:rPr>
          <w:iCs/>
          <w:i/>
        </w:rPr>
        <w:t xml:space="preserve">lasI</w:t>
      </w:r>
      <w:r>
        <w:t xml:space="preserve"> </w:t>
      </w:r>
      <w:r>
        <w:t xml:space="preserve">and</w:t>
      </w:r>
      <w:r>
        <w:t xml:space="preserve"> </w:t>
      </w:r>
      <w:r>
        <w:rPr>
          <w:iCs/>
          <w:i/>
        </w:rPr>
        <w:t xml:space="preserve">rhlI</w:t>
      </w:r>
      <w:r>
        <w:t xml:space="preserve"> </w:t>
      </w:r>
      <w:r>
        <w:t xml:space="preserve">expression. The following figures provide a more detailed comparison of the model predictions for all three genes.</w:t>
      </w:r>
    </w:p>
    <w:p>
      <w:pPr>
        <w:pStyle w:val="CaptionedFigure"/>
      </w:pPr>
      <w:r>
        <w:drawing>
          <wp:inline>
            <wp:extent cx="5029200" cy="3657600"/>
            <wp:effectExtent b="0" l="0" r="0" t="0"/>
            <wp:docPr descr="model_lasi" title="" id="57" name="Picture"/>
            <a:graphic>
              <a:graphicData uri="http://schemas.openxmlformats.org/drawingml/2006/picture">
                <pic:pic>
                  <pic:nvPicPr>
                    <pic:cNvPr descr="Figures/model_lasi.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5029200" cy="3657600"/>
                    </a:xfrm>
                    <a:prstGeom prst="rect">
                      <a:avLst/>
                    </a:prstGeom>
                    <a:noFill/>
                    <a:ln w="9525">
                      <a:noFill/>
                      <a:headEnd/>
                      <a:tailEnd/>
                    </a:ln>
                  </pic:spPr>
                </pic:pic>
              </a:graphicData>
            </a:graphic>
          </wp:inline>
        </w:drawing>
      </w:r>
    </w:p>
    <w:p>
      <w:pPr>
        <w:pStyle w:val="ImageCaption"/>
      </w:pPr>
      <w:r>
        <w:t xml:space="preserve">Figure 4: model_lasi</w:t>
      </w:r>
    </w:p>
    <w:p>
      <w:pPr>
        <w:pStyle w:val="Caption"/>
      </w:pPr>
      <w:r>
        <w:rPr>
          <w:bCs/>
          <w:b/>
        </w:rPr>
        <w:t xml:space="preserve">Figure S.4. Multi-signal model for</w:t>
      </w:r>
      <w:r>
        <w:rPr>
          <w:bCs/>
          <w:b/>
        </w:rPr>
        <w:t xml:space="preserve"> </w:t>
      </w:r>
      <w:r>
        <w:rPr>
          <w:iCs/>
          <w:i/>
          <w:bCs/>
          <w:b/>
        </w:rPr>
        <w:t xml:space="preserve">lasI</w:t>
      </w:r>
      <w:r>
        <w:rPr>
          <w:bCs/>
          <w:b/>
        </w:rPr>
        <w:t xml:space="preserve"> </w:t>
      </w:r>
      <w:r>
        <w:rPr>
          <w:bCs/>
          <w:b/>
        </w:rPr>
        <w:t xml:space="preserve">expression.</w:t>
      </w:r>
      <w:r>
        <w:t xml:space="preserve"> </w:t>
      </w:r>
      <w:r>
        <w:t xml:space="preserve">Panels compare model predictions to observations for all combinations of signal concentrations. Horizontal bars indicate model predictions, while plotted points show observed values.</w:t>
      </w:r>
    </w:p>
    <w:p>
      <w:pPr>
        <w:pStyle w:val="CaptionedFigure"/>
      </w:pPr>
      <w:r>
        <w:drawing>
          <wp:inline>
            <wp:extent cx="5029200" cy="3657600"/>
            <wp:effectExtent b="0" l="0" r="0" t="0"/>
            <wp:docPr descr="model_rhli" title="" id="61" name="Picture"/>
            <a:graphic>
              <a:graphicData uri="http://schemas.openxmlformats.org/drawingml/2006/picture">
                <pic:pic>
                  <pic:nvPicPr>
                    <pic:cNvPr descr="Figures/model_rhli.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5029200" cy="3657600"/>
                    </a:xfrm>
                    <a:prstGeom prst="rect">
                      <a:avLst/>
                    </a:prstGeom>
                    <a:noFill/>
                    <a:ln w="9525">
                      <a:noFill/>
                      <a:headEnd/>
                      <a:tailEnd/>
                    </a:ln>
                  </pic:spPr>
                </pic:pic>
              </a:graphicData>
            </a:graphic>
          </wp:inline>
        </w:drawing>
      </w:r>
    </w:p>
    <w:p>
      <w:pPr>
        <w:pStyle w:val="ImageCaption"/>
      </w:pPr>
      <w:r>
        <w:t xml:space="preserve">Figure 5: model_rhli</w:t>
      </w:r>
    </w:p>
    <w:p>
      <w:pPr>
        <w:pStyle w:val="Caption"/>
      </w:pPr>
      <w:r>
        <w:rPr>
          <w:bCs/>
          <w:b/>
        </w:rPr>
        <w:t xml:space="preserve">Figure S.5. Multi-signal model for</w:t>
      </w:r>
      <w:r>
        <w:rPr>
          <w:bCs/>
          <w:b/>
        </w:rPr>
        <w:t xml:space="preserve"> </w:t>
      </w:r>
      <w:r>
        <w:rPr>
          <w:iCs/>
          <w:i/>
          <w:bCs/>
          <w:b/>
        </w:rPr>
        <w:t xml:space="preserve">rhlI</w:t>
      </w:r>
      <w:r>
        <w:rPr>
          <w:bCs/>
          <w:b/>
        </w:rPr>
        <w:t xml:space="preserve"> </w:t>
      </w:r>
      <w:r>
        <w:rPr>
          <w:bCs/>
          <w:b/>
        </w:rPr>
        <w:t xml:space="preserve">expression.</w:t>
      </w:r>
      <w:r>
        <w:t xml:space="preserve"> </w:t>
      </w:r>
      <w:r>
        <w:t xml:space="preserve">Panels compare model predictions to observations for all combinations of signal concentrations. Horizontal bars indicate model predictions, while plotted points show observed values.</w:t>
      </w:r>
    </w:p>
    <w:p>
      <w:pPr>
        <w:pStyle w:val="CaptionedFigure"/>
      </w:pPr>
      <w:r>
        <w:drawing>
          <wp:inline>
            <wp:extent cx="5029200" cy="3657600"/>
            <wp:effectExtent b="0" l="0" r="0" t="0"/>
            <wp:docPr descr="model_lasb" title="" id="65" name="Picture"/>
            <a:graphic>
              <a:graphicData uri="http://schemas.openxmlformats.org/drawingml/2006/picture">
                <pic:pic>
                  <pic:nvPicPr>
                    <pic:cNvPr descr="Figures/model_lasb.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5029200" cy="3657600"/>
                    </a:xfrm>
                    <a:prstGeom prst="rect">
                      <a:avLst/>
                    </a:prstGeom>
                    <a:noFill/>
                    <a:ln w="9525">
                      <a:noFill/>
                      <a:headEnd/>
                      <a:tailEnd/>
                    </a:ln>
                  </pic:spPr>
                </pic:pic>
              </a:graphicData>
            </a:graphic>
          </wp:inline>
        </w:drawing>
      </w:r>
    </w:p>
    <w:p>
      <w:pPr>
        <w:pStyle w:val="ImageCaption"/>
      </w:pPr>
      <w:r>
        <w:t xml:space="preserve">Figure 6: model_lasb</w:t>
      </w:r>
    </w:p>
    <w:p>
      <w:pPr>
        <w:pStyle w:val="Caption"/>
      </w:pPr>
      <w:r>
        <w:rPr>
          <w:bCs/>
          <w:b/>
        </w:rPr>
        <w:t xml:space="preserve">Figure S.6. Multi-signal model for</w:t>
      </w:r>
      <w:r>
        <w:rPr>
          <w:bCs/>
          <w:b/>
        </w:rPr>
        <w:t xml:space="preserve"> </w:t>
      </w:r>
      <w:r>
        <w:rPr>
          <w:iCs/>
          <w:i/>
          <w:bCs/>
          <w:b/>
        </w:rPr>
        <w:t xml:space="preserve">lasB</w:t>
      </w:r>
      <w:r>
        <w:rPr>
          <w:bCs/>
          <w:b/>
        </w:rPr>
        <w:t xml:space="preserve"> </w:t>
      </w:r>
      <w:r>
        <w:rPr>
          <w:bCs/>
          <w:b/>
        </w:rPr>
        <w:t xml:space="preserve">expression.</w:t>
      </w:r>
      <w:r>
        <w:t xml:space="preserve"> </w:t>
      </w:r>
      <w:r>
        <w:t xml:space="preserve">Panels compare model predictions to observations for all combinations of signal concentrations. Horizontal bars indicate model predictions, while plotted points show observed values.</w:t>
      </w:r>
    </w:p>
    <w:bookmarkEnd w:id="68"/>
    <w:bookmarkStart w:id="70" w:name="signal-dynamics"/>
    <w:p>
      <w:pPr>
        <w:pStyle w:val="Heading3"/>
      </w:pPr>
      <w:r>
        <w:t xml:space="preserve">Signal Dynamics</w:t>
      </w:r>
    </w:p>
    <w:p>
      <w:pPr>
        <w:pStyle w:val="FirstParagraph"/>
      </w:pPr>
      <w:r>
        <w:t xml:space="preserve">We analyze signal dynamics using the model from the main text where the per-capita single production rater is assumed to be proportional to the synthase expression level,</w:t>
      </w:r>
      <w:r>
        <w:t xml:space="preserve"> </w:t>
      </w:r>
      <m:oMath>
        <m:sSub>
          <m:e>
            <m:r>
              <m:t>E</m:t>
            </m:r>
          </m:e>
          <m:sub>
            <m:r>
              <m:t>i</m:t>
            </m:r>
          </m:sub>
        </m:sSub>
        <m:d>
          <m:dPr>
            <m:begChr m:val="("/>
            <m:endChr m:val=")"/>
            <m:sepChr m:val=""/>
            <m:grow/>
          </m:dPr>
          <m:e>
            <m:r>
              <m:rPr>
                <m:sty m:val="b"/>
              </m:rPr>
              <m:t>S</m:t>
            </m:r>
          </m:e>
        </m:d>
      </m:oMath>
      <w:r>
        <w:t xml:space="preserve">. The proportionality constant is</w:t>
      </w:r>
      <w:r>
        <w:t xml:space="preserve"> </w:t>
      </w:r>
      <m:oMath>
        <m:sSub>
          <m:e>
            <m:r>
              <m:t>c</m:t>
            </m:r>
          </m:e>
          <m:sub>
            <m:r>
              <m:t>i</m:t>
            </m:r>
          </m:sub>
        </m:sSub>
      </m:oMath>
      <w:r>
        <w:t xml:space="preserve">.</w:t>
      </w:r>
    </w:p>
    <w:p>
      <w:pPr>
        <w:pStyle w:val="BodyText"/>
      </w:pPr>
      <m:oMathPara>
        <m:oMathParaPr>
          <m:jc m:val="center"/>
        </m:oMathParaPr>
        <m:oMath>
          <m:f>
            <m:fPr>
              <m:type m:val="bar"/>
            </m:fPr>
            <m:num>
              <m:r>
                <m:rPr>
                  <m:sty m:val="p"/>
                </m:rPr>
                <m:t>d</m:t>
              </m:r>
              <m:sSub>
                <m:e>
                  <m:r>
                    <m:t>S</m:t>
                  </m:r>
                </m:e>
                <m:sub>
                  <m:r>
                    <m:t>i</m:t>
                  </m:r>
                </m:sub>
              </m:sSub>
            </m:num>
            <m:den>
              <m:r>
                <m:rPr>
                  <m:sty m:val="p"/>
                </m:rPr>
                <m:t>d</m:t>
              </m:r>
              <m:r>
                <m:rPr>
                  <m:sty m:val="p"/>
                </m:rPr>
                <m:t>t</m:t>
              </m:r>
            </m:den>
          </m:f>
          <m:r>
            <m:t> </m:t>
          </m:r>
          <m:r>
            <m:t> </m:t>
          </m:r>
          <m:r>
            <m:rPr>
              <m:sty m:val="p"/>
            </m:rPr>
            <m:t>=</m:t>
          </m:r>
          <m:r>
            <m:t> </m:t>
          </m:r>
          <m:r>
            <m:t> </m:t>
          </m:r>
          <m:sSub>
            <m:e>
              <m:r>
                <m:t>c</m:t>
              </m:r>
            </m:e>
            <m:sub>
              <m:r>
                <m:t>i</m:t>
              </m:r>
            </m:sub>
          </m:sSub>
          <m:sSub>
            <m:e>
              <m:r>
                <m:t>E</m:t>
              </m:r>
            </m:e>
            <m:sub>
              <m:r>
                <m:t>i</m:t>
              </m:r>
            </m:sub>
          </m:sSub>
          <m:d>
            <m:dPr>
              <m:begChr m:val="("/>
              <m:endChr m:val=")"/>
              <m:sepChr m:val=""/>
              <m:grow/>
            </m:dPr>
            <m:e>
              <m:r>
                <m:rPr>
                  <m:sty m:val="b"/>
                </m:rPr>
                <m:t>S</m:t>
              </m:r>
            </m:e>
          </m:d>
          <m:r>
            <m:rPr>
              <m:sty m:val="p"/>
            </m:rPr>
            <m:t>⋅</m:t>
          </m:r>
          <m:r>
            <m:t>N</m:t>
          </m:r>
          <m:r>
            <m:t> </m:t>
          </m:r>
          <m:r>
            <m:t> </m:t>
          </m:r>
          <m:r>
            <m:rPr>
              <m:sty m:val="p"/>
            </m:rPr>
            <m:t>−</m:t>
          </m:r>
          <m:r>
            <m:t> </m:t>
          </m:r>
          <m:r>
            <m:t> </m:t>
          </m:r>
          <m:sSub>
            <m:e>
              <m:r>
                <m:t>δ</m:t>
              </m:r>
            </m:e>
            <m:sub>
              <m:r>
                <m:t>i</m:t>
              </m:r>
            </m:sub>
          </m:sSub>
          <m:r>
            <m:rPr>
              <m:sty m:val="p"/>
            </m:rPr>
            <m:t>⋅</m:t>
          </m:r>
          <m:sSub>
            <m:e>
              <m:r>
                <m:t>S</m:t>
              </m:r>
            </m:e>
            <m:sub>
              <m:r>
                <m:t>i</m:t>
              </m:r>
            </m:sub>
          </m:sSub>
          <m:r>
            <m:t> </m:t>
          </m:r>
          <m:r>
            <m:t> </m:t>
          </m:r>
          <m:r>
            <m:rPr>
              <m:sty m:val="p"/>
            </m:rPr>
            <m:t>−</m:t>
          </m:r>
          <m:r>
            <m:t> </m:t>
          </m:r>
          <m:r>
            <m:t> </m:t>
          </m:r>
          <m:r>
            <m:t>m</m:t>
          </m:r>
          <m:r>
            <m:rPr>
              <m:sty m:val="p"/>
            </m:rPr>
            <m:t>⋅</m:t>
          </m:r>
          <m:sSub>
            <m:e>
              <m:r>
                <m:t>S</m:t>
              </m:r>
            </m:e>
            <m:sub>
              <m:r>
                <m:t>i</m:t>
              </m:r>
            </m:sub>
          </m:sSub>
        </m:oMath>
      </m:oMathPara>
    </w:p>
    <w:p>
      <w:pPr>
        <w:pStyle w:val="FirstParagraph"/>
      </w:pPr>
      <w:r>
        <w:t xml:space="preserve">We consider the equilibrium signal concentration (where</w:t>
      </w:r>
      <w:r>
        <w:t xml:space="preserve"> </w:t>
      </w:r>
      <m:oMath>
        <m:r>
          <m:rPr>
            <m:sty m:val="p"/>
          </m:rPr>
          <m:t>d</m:t>
        </m:r>
        <m:r>
          <m:t>S</m:t>
        </m:r>
        <m:r>
          <m:rPr>
            <m:sty m:val="p"/>
          </m:rPr>
          <m:t>/</m:t>
        </m:r>
        <m:r>
          <m:rPr>
            <m:sty m:val="p"/>
          </m:rPr>
          <m:t>d</m:t>
        </m:r>
        <m:r>
          <m:rPr>
            <m:sty m:val="p"/>
          </m:rPr>
          <m:t>t</m:t>
        </m:r>
        <m:r>
          <m:rPr>
            <m:sty m:val="p"/>
          </m:rPr>
          <m:t>=</m:t>
        </m:r>
        <m:r>
          <m:t>0</m:t>
        </m:r>
      </m:oMath>
      <w:r>
        <w:t xml:space="preserve">) and normalize to the decay rate of C</w:t>
      </w:r>
      <w:r>
        <w:rPr>
          <w:vertAlign w:val="subscript"/>
        </w:rPr>
        <w:t xml:space="preserve">4</w:t>
      </w:r>
      <w:r>
        <w:t xml:space="preserve">‑HSL (</w:t>
      </w:r>
      <m:oMath>
        <m:sSub>
          <m:e>
            <m:r>
              <m:t>δ</m:t>
            </m:r>
          </m:e>
          <m:sub>
            <m:r>
              <m:t>2</m:t>
            </m:r>
          </m:sub>
        </m:sSub>
      </m:oMath>
      <w:r>
        <w:t xml:space="preserve">). When there is no mass transfer (</w:t>
      </w:r>
      <m:oMath>
        <m:r>
          <m:t>m</m:t>
        </m:r>
        <m:r>
          <m:rPr>
            <m:sty m:val="p"/>
          </m:rPr>
          <m:t>=</m:t>
        </m:r>
        <m:r>
          <m:t>0</m:t>
        </m:r>
      </m:oMath>
      <w:r>
        <w:t xml:space="preserve">), these simplifications result in an equation for C</w:t>
      </w:r>
      <w:r>
        <w:rPr>
          <w:vertAlign w:val="subscript"/>
        </w:rPr>
        <w:t xml:space="preserve">4</w:t>
      </w:r>
      <w:r>
        <w:t xml:space="preserve">‑HSL,</w:t>
      </w:r>
    </w:p>
    <w:p>
      <w:pPr>
        <w:pStyle w:val="BodyText"/>
      </w:pPr>
      <m:oMathPara>
        <m:oMathParaPr>
          <m:jc m:val="center"/>
        </m:oMathParaPr>
        <m:oMath>
          <m:r>
            <m:t>0</m:t>
          </m:r>
          <m:r>
            <m:t> </m:t>
          </m:r>
          <m:r>
            <m:t> </m:t>
          </m:r>
          <m:r>
            <m:rPr>
              <m:sty m:val="p"/>
            </m:rPr>
            <m:t>=</m:t>
          </m:r>
          <m:r>
            <m:t> </m:t>
          </m:r>
          <m:r>
            <m:t> </m:t>
          </m:r>
          <m:f>
            <m:fPr>
              <m:type m:val="bar"/>
            </m:fPr>
            <m:num>
              <m:sSub>
                <m:e>
                  <m:r>
                    <m:t>c</m:t>
                  </m:r>
                </m:e>
                <m:sub>
                  <m:r>
                    <m:t>2</m:t>
                  </m:r>
                </m:sub>
              </m:sSub>
            </m:num>
            <m:den>
              <m:sSub>
                <m:e>
                  <m:r>
                    <m:t>δ</m:t>
                  </m:r>
                </m:e>
                <m:sub>
                  <m:r>
                    <m:t>2</m:t>
                  </m:r>
                </m:sub>
              </m:sSub>
            </m:den>
          </m:f>
          <m:sSub>
            <m:e>
              <m:r>
                <m:t>E</m:t>
              </m:r>
            </m:e>
            <m:sub>
              <m:r>
                <m:t>2</m:t>
              </m:r>
            </m:sub>
          </m:sSub>
          <m:d>
            <m:dPr>
              <m:begChr m:val="("/>
              <m:endChr m:val=")"/>
              <m:sepChr m:val=""/>
              <m:grow/>
            </m:dPr>
            <m:e>
              <m:r>
                <m:rPr>
                  <m:sty m:val="b"/>
                </m:rPr>
                <m:t>S</m:t>
              </m:r>
            </m:e>
          </m:d>
          <m:r>
            <m:rPr>
              <m:sty m:val="p"/>
            </m:rPr>
            <m:t>⋅</m:t>
          </m:r>
          <m:r>
            <m:t>N</m:t>
          </m:r>
          <m:r>
            <m:t> </m:t>
          </m:r>
          <m:r>
            <m:t> </m:t>
          </m:r>
          <m:r>
            <m:rPr>
              <m:sty m:val="p"/>
            </m:rPr>
            <m:t>−</m:t>
          </m:r>
          <m:r>
            <m:t> </m:t>
          </m:r>
          <m:r>
            <m:t> </m:t>
          </m:r>
          <m:sSub>
            <m:e>
              <m:r>
                <m:t>S</m:t>
              </m:r>
            </m:e>
            <m:sub>
              <m:r>
                <m:t>2</m:t>
              </m:r>
            </m:sub>
          </m:sSub>
        </m:oMath>
      </m:oMathPara>
    </w:p>
    <w:p>
      <w:pPr>
        <w:pStyle w:val="FirstParagraph"/>
      </w:pPr>
      <w:r>
        <w:t xml:space="preserve">which can be solved for</w:t>
      </w:r>
      <w:r>
        <w:t xml:space="preserve"> </w:t>
      </w:r>
      <m:oMath>
        <m:sSub>
          <m:e>
            <m:r>
              <m:t>c</m:t>
            </m:r>
          </m:e>
          <m:sub>
            <m:r>
              <m:t>2</m:t>
            </m:r>
          </m:sub>
        </m:sSub>
        <m:r>
          <m:rPr>
            <m:sty m:val="p"/>
          </m:rPr>
          <m:t>/</m:t>
        </m:r>
        <m:sSub>
          <m:e>
            <m:r>
              <m:t>δ</m:t>
            </m:r>
          </m:e>
          <m:sub>
            <m:r>
              <m:t>2</m:t>
            </m:r>
          </m:sub>
        </m:sSub>
      </m:oMath>
      <w:r>
        <w:t xml:space="preserve"> </w:t>
      </w:r>
      <w:r>
        <w:t xml:space="preserve">in terms of</w:t>
      </w:r>
      <w:r>
        <w:t xml:space="preserve"> </w:t>
      </w:r>
      <w:r>
        <w:rPr>
          <w:iCs/>
          <w:i/>
        </w:rPr>
        <w:t xml:space="preserve">rhlI</w:t>
      </w:r>
      <w:r>
        <w:t xml:space="preserve"> </w:t>
      </w:r>
      <w:r>
        <w:t xml:space="preserve">expression</w:t>
      </w:r>
      <w:r>
        <w:t xml:space="preserve"> </w:t>
      </w:r>
      <m:oMath>
        <m:sSub>
          <m:e>
            <m:r>
              <m:t>E</m:t>
            </m:r>
          </m:e>
          <m:sub>
            <m:r>
              <m:t>2</m:t>
            </m:r>
          </m:sub>
        </m:sSub>
        <m:d>
          <m:dPr>
            <m:begChr m:val="("/>
            <m:endChr m:val=")"/>
            <m:sepChr m:val=""/>
            <m:grow/>
          </m:dPr>
          <m:e>
            <m:r>
              <m:rPr>
                <m:sty m:val="b"/>
              </m:rPr>
              <m:t>S</m:t>
            </m:r>
          </m:e>
        </m:d>
      </m:oMath>
      <w:r>
        <w:t xml:space="preserve">, density</w:t>
      </w:r>
      <w:r>
        <w:t xml:space="preserve"> </w:t>
      </w:r>
      <m:oMath>
        <m:r>
          <m:t>N</m:t>
        </m:r>
      </m:oMath>
      <w:r>
        <w:t xml:space="preserve">, and C</w:t>
      </w:r>
      <w:r>
        <w:rPr>
          <w:vertAlign w:val="subscript"/>
        </w:rPr>
        <w:t xml:space="preserve">4</w:t>
      </w:r>
      <w:r>
        <w:t xml:space="preserve">‑HSL concentration</w:t>
      </w:r>
      <w:r>
        <w:t xml:space="preserve"> </w:t>
      </w:r>
      <m:oMath>
        <m:sSub>
          <m:e>
            <m:r>
              <m:t>S</m:t>
            </m:r>
          </m:e>
          <m:sub>
            <m:r>
              <m:t>2</m:t>
            </m:r>
          </m:sub>
        </m:sSub>
      </m:oMath>
      <w:r>
        <w:t xml:space="preserve">. The corresponding equation for 3‑oxo‑C</w:t>
      </w:r>
      <w:r>
        <w:rPr>
          <w:vertAlign w:val="subscript"/>
        </w:rPr>
        <w:t xml:space="preserve">12</w:t>
      </w:r>
      <w:r>
        <w:t xml:space="preserve">‑HSL includes an additional factor</w:t>
      </w:r>
      <w:r>
        <w:t xml:space="preserve"> </w:t>
      </w:r>
      <m:oMath>
        <m:sSub>
          <m:e>
            <m:r>
              <m:t>δ</m:t>
            </m:r>
          </m:e>
          <m:sub>
            <m:r>
              <m:t>1</m:t>
            </m:r>
          </m:sub>
        </m:sSub>
        <m:r>
          <m:rPr>
            <m:sty m:val="p"/>
          </m:rPr>
          <m:t>/</m:t>
        </m:r>
        <m:sSub>
          <m:e>
            <m:r>
              <m:t>δ</m:t>
            </m:r>
          </m:e>
          <m:sub>
            <m:r>
              <m:t>2</m:t>
            </m:r>
          </m:sub>
        </m:sSub>
      </m:oMath>
      <w:r>
        <w:t xml:space="preserve"> </w:t>
      </w:r>
      <w:r>
        <w:t xml:space="preserve">which, from</w:t>
      </w:r>
      <w:r>
        <w:t xml:space="preserve"> </w:t>
      </w:r>
      <w:r>
        <w:t xml:space="preserve">(Cornforth et al. 2014)</w:t>
      </w:r>
      <w:r>
        <w:t xml:space="preserve">, we take to be approximately 1.7.</w:t>
      </w:r>
    </w:p>
    <w:p>
      <w:pPr>
        <w:pStyle w:val="BodyText"/>
      </w:pPr>
      <m:oMathPara>
        <m:oMathParaPr>
          <m:jc m:val="center"/>
        </m:oMathParaPr>
        <m:oMath>
          <m:r>
            <m:t>0</m:t>
          </m:r>
          <m:r>
            <m:t> </m:t>
          </m:r>
          <m:r>
            <m:t> </m:t>
          </m:r>
          <m:r>
            <m:rPr>
              <m:sty m:val="p"/>
            </m:rPr>
            <m:t>=</m:t>
          </m:r>
          <m:r>
            <m:t> </m:t>
          </m:r>
          <m:r>
            <m:t> </m:t>
          </m:r>
          <m:f>
            <m:fPr>
              <m:type m:val="bar"/>
            </m:fPr>
            <m:num>
              <m:sSub>
                <m:e>
                  <m:r>
                    <m:t>c</m:t>
                  </m:r>
                </m:e>
                <m:sub>
                  <m:r>
                    <m:t>1</m:t>
                  </m:r>
                </m:sub>
              </m:sSub>
            </m:num>
            <m:den>
              <m:sSub>
                <m:e>
                  <m:r>
                    <m:t>δ</m:t>
                  </m:r>
                </m:e>
                <m:sub>
                  <m:r>
                    <m:t>2</m:t>
                  </m:r>
                </m:sub>
              </m:sSub>
            </m:den>
          </m:f>
          <m:sSub>
            <m:e>
              <m:r>
                <m:t>E</m:t>
              </m:r>
            </m:e>
            <m:sub>
              <m:r>
                <m:t>1</m:t>
              </m:r>
            </m:sub>
          </m:sSub>
          <m:d>
            <m:dPr>
              <m:begChr m:val="("/>
              <m:endChr m:val=")"/>
              <m:sepChr m:val=""/>
              <m:grow/>
            </m:dPr>
            <m:e>
              <m:r>
                <m:rPr>
                  <m:sty m:val="b"/>
                </m:rPr>
                <m:t>S</m:t>
              </m:r>
            </m:e>
          </m:d>
          <m:r>
            <m:rPr>
              <m:sty m:val="p"/>
            </m:rPr>
            <m:t>⋅</m:t>
          </m:r>
          <m:r>
            <m:t>N</m:t>
          </m:r>
          <m:r>
            <m:t> </m:t>
          </m:r>
          <m:r>
            <m:t> </m:t>
          </m:r>
          <m:r>
            <m:rPr>
              <m:sty m:val="p"/>
            </m:rPr>
            <m:t>−</m:t>
          </m:r>
          <m:r>
            <m:t> </m:t>
          </m:r>
          <m:r>
            <m:t> </m:t>
          </m:r>
          <m:f>
            <m:fPr>
              <m:type m:val="bar"/>
            </m:fPr>
            <m:num>
              <m:sSub>
                <m:e>
                  <m:r>
                    <m:t>δ</m:t>
                  </m:r>
                </m:e>
                <m:sub>
                  <m:r>
                    <m:t>1</m:t>
                  </m:r>
                </m:sub>
              </m:sSub>
            </m:num>
            <m:den>
              <m:sSub>
                <m:e>
                  <m:r>
                    <m:t>δ</m:t>
                  </m:r>
                </m:e>
                <m:sub>
                  <m:r>
                    <m:t>2</m:t>
                  </m:r>
                </m:sub>
              </m:sSub>
            </m:den>
          </m:f>
          <m:sSub>
            <m:e>
              <m:r>
                <m:t>S</m:t>
              </m:r>
            </m:e>
            <m:sub>
              <m:r>
                <m:t>1</m:t>
              </m:r>
            </m:sub>
          </m:sSub>
        </m:oMath>
      </m:oMathPara>
    </w:p>
    <w:p>
      <w:pPr>
        <w:pStyle w:val="FirstParagraph"/>
      </w:pPr>
      <w:r>
        <w:t xml:space="preserve">Data from</w:t>
      </w:r>
      <w:r>
        <w:t xml:space="preserve"> </w:t>
      </w:r>
      <w:r>
        <w:t xml:space="preserve">(Rattray et al. 2022)</w:t>
      </w:r>
      <w:r>
        <w:t xml:space="preserve"> </w:t>
      </w:r>
      <w:r>
        <w:t xml:space="preserve">includes measurements of equilibrium signal concentrations at multiple population densities. We combine those measurements of</w:t>
      </w:r>
      <w:r>
        <w:t xml:space="preserve"> </w:t>
      </w:r>
      <m:oMath>
        <m:r>
          <m:t>N</m:t>
        </m:r>
      </m:oMath>
      <w:r>
        <w:t xml:space="preserve"> </w:t>
      </w:r>
      <w:r>
        <w:t xml:space="preserve">and</w:t>
      </w:r>
      <w:r>
        <w:t xml:space="preserve"> </w:t>
      </w:r>
      <m:oMath>
        <m:sSub>
          <m:e>
            <m:r>
              <m:t>S</m:t>
            </m:r>
          </m:e>
          <m:sub>
            <m:r>
              <m:t>i</m:t>
            </m:r>
          </m:sub>
        </m:sSub>
      </m:oMath>
      <w:r>
        <w:t xml:space="preserve"> </w:t>
      </w:r>
      <w:r>
        <w:t xml:space="preserve">with our model’s estimate of synthase expression level</w:t>
      </w:r>
      <w:r>
        <w:t xml:space="preserve"> </w:t>
      </w:r>
      <m:oMath>
        <m:sSub>
          <m:e>
            <m:r>
              <m:t>E</m:t>
            </m:r>
          </m:e>
          <m:sub>
            <m:r>
              <m:t>i</m:t>
            </m:r>
          </m:sub>
        </m:sSub>
        <m:d>
          <m:dPr>
            <m:begChr m:val="("/>
            <m:endChr m:val=")"/>
            <m:sepChr m:val=""/>
            <m:grow/>
          </m:dPr>
          <m:e>
            <m:r>
              <m:rPr>
                <m:sty m:val="b"/>
              </m:rPr>
              <m:t>S</m:t>
            </m:r>
          </m:e>
        </m:d>
      </m:oMath>
      <w:r>
        <w:t xml:space="preserve"> </w:t>
      </w:r>
      <w:r>
        <w:t xml:space="preserve">and use non-linear least squares to estimate the proportionality constants.</w:t>
      </w:r>
    </w:p>
    <w:bookmarkStart w:id="69" w:name="tbl:const"/>
    <w:p>
      <w:pPr>
        <w:pStyle w:val="TableCaption"/>
      </w:pPr>
      <w:r>
        <w:t xml:space="preserve">Table 3: const</w:t>
      </w:r>
    </w:p>
    <w:tbl>
      <w:tblPr>
        <w:tblStyle w:val="Table"/>
        <w:tblW w:type="pct" w:w="5000"/>
        <w:tblLook w:firstRow="1" w:lastRow="0" w:firstColumn="0" w:lastColumn="0" w:noHBand="0" w:noVBand="0" w:val="0020"/>
        <w:jc w:val="start"/>
        <w:tblLayout w:type="fixed"/>
        <w:tblCaption w:val="Table 3: const"/>
      </w:tblPr>
      <w:tblGrid>
        <w:gridCol w:w="2491"/>
        <w:gridCol w:w="3470"/>
        <w:gridCol w:w="1957"/>
      </w:tblGrid>
      <w:tr>
        <w:trPr>
          <w:tblHeader w:val="true"/>
        </w:trPr>
        <w:tc>
          <w:tcPr/>
          <w:p>
            <w:pPr>
              <w:pStyle w:val="Compact"/>
              <w:jc w:val="left"/>
            </w:pPr>
            <w:r>
              <w:t xml:space="preserve">Signal</w:t>
            </w:r>
            <w:r>
              <w:t xml:space="preserve"> </w:t>
            </w:r>
            <w:r>
              <w:rPr>
                <w:iCs/>
                <w:i/>
              </w:rPr>
              <w:t xml:space="preserve">i</w:t>
            </w:r>
          </w:p>
        </w:tc>
        <w:tc>
          <w:tcPr/>
          <w:p>
            <w:pPr>
              <w:pStyle w:val="Compact"/>
              <w:jc w:val="right"/>
            </w:pPr>
            <w:r>
              <w:t xml:space="preserve">Proportionality Constant</w:t>
            </w:r>
            <w:r>
              <w:t xml:space="preserve"> </w:t>
            </w:r>
            <m:oMath>
              <m:sSub>
                <m:e>
                  <m:r>
                    <m:t>c</m:t>
                  </m:r>
                </m:e>
                <m:sub>
                  <m:r>
                    <m:t>i</m:t>
                  </m:r>
                </m:sub>
              </m:sSub>
              <m:r>
                <m:rPr>
                  <m:sty m:val="p"/>
                </m:rPr>
                <m:t>/</m:t>
              </m:r>
              <m:sSub>
                <m:e>
                  <m:r>
                    <m:t>δ</m:t>
                  </m:r>
                </m:e>
                <m:sub>
                  <m:r>
                    <m:t>2</m:t>
                  </m:r>
                </m:sub>
              </m:sSub>
            </m:oMath>
          </w:p>
        </w:tc>
        <w:tc>
          <w:tcPr/>
          <w:p>
            <w:pPr>
              <w:pStyle w:val="Compact"/>
              <w:jc w:val="right"/>
            </w:pPr>
            <w:r>
              <w:t xml:space="preserve">Adjusted R</w:t>
            </w:r>
            <w:r>
              <w:rPr>
                <w:vertAlign w:val="superscript"/>
              </w:rPr>
              <w:t xml:space="preserve">2</w:t>
            </w:r>
          </w:p>
        </w:tc>
      </w:tr>
      <w:tr>
        <w:tc>
          <w:tcPr/>
          <w:p>
            <w:pPr>
              <w:pStyle w:val="Compact"/>
              <w:jc w:val="left"/>
            </w:pPr>
            <w:r>
              <w:rPr>
                <w:bCs/>
                <w:b/>
              </w:rPr>
              <w:t xml:space="preserve">3‑oxo‑C</w:t>
            </w:r>
            <w:r>
              <w:rPr>
                <w:vertAlign w:val="subscript"/>
                <w:bCs/>
                <w:b/>
              </w:rPr>
              <w:t xml:space="preserve">12</w:t>
            </w:r>
            <w:r>
              <w:rPr>
                <w:bCs/>
                <w:b/>
              </w:rPr>
              <w:t xml:space="preserve">‑HSL</w:t>
            </w:r>
          </w:p>
        </w:tc>
        <w:tc>
          <w:tcPr/>
          <w:p>
            <w:pPr>
              <w:pStyle w:val="Compact"/>
              <w:jc w:val="right"/>
            </w:pPr>
            <w:r>
              <w:t xml:space="preserve">0.0000256 μM/RLU</w:t>
            </w:r>
          </w:p>
        </w:tc>
        <w:tc>
          <w:tcPr/>
          <w:p>
            <w:pPr>
              <w:pStyle w:val="Compact"/>
              <w:jc w:val="right"/>
            </w:pPr>
            <w:r>
              <w:t xml:space="preserve">0.8637</w:t>
            </w:r>
          </w:p>
        </w:tc>
      </w:tr>
      <w:tr>
        <w:tc>
          <w:tcPr/>
          <w:p>
            <w:pPr>
              <w:pStyle w:val="Compact"/>
              <w:jc w:val="left"/>
            </w:pPr>
            <w:r>
              <w:rPr>
                <w:bCs/>
                <w:b/>
              </w:rPr>
              <w:t xml:space="preserve">C</w:t>
            </w:r>
            <w:r>
              <w:rPr>
                <w:vertAlign w:val="subscript"/>
                <w:bCs/>
                <w:b/>
              </w:rPr>
              <w:t xml:space="preserve">4</w:t>
            </w:r>
            <w:r>
              <w:rPr>
                <w:bCs/>
                <w:b/>
              </w:rPr>
              <w:t xml:space="preserve">‑HSL</w:t>
            </w:r>
          </w:p>
        </w:tc>
        <w:tc>
          <w:tcPr/>
          <w:p>
            <w:pPr>
              <w:pStyle w:val="Compact"/>
              <w:jc w:val="right"/>
            </w:pPr>
            <w:r>
              <w:t xml:space="preserve">0.0000433 μM/RLU</w:t>
            </w:r>
          </w:p>
        </w:tc>
        <w:tc>
          <w:tcPr/>
          <w:p>
            <w:pPr>
              <w:pStyle w:val="Compact"/>
              <w:jc w:val="right"/>
            </w:pPr>
            <w:r>
              <w:t xml:space="preserve">0.8639</w:t>
            </w:r>
          </w:p>
        </w:tc>
      </w:tr>
    </w:tbl>
    <w:bookmarkEnd w:id="69"/>
    <w:p>
      <w:pPr>
        <w:pStyle w:val="Caption"/>
      </w:pPr>
      <w:r>
        <w:rPr>
          <w:bCs/>
          <w:b/>
        </w:rPr>
        <w:t xml:space="preserve">Table S.3.</w:t>
      </w:r>
      <w:r>
        <w:t xml:space="preserve"> </w:t>
      </w:r>
      <w:r>
        <w:t xml:space="preserve">Estimated proportionality constants that relate synthase expression levels to per-capita signal production rates. Final column shows adjusted R</w:t>
      </w:r>
      <w:r>
        <w:rPr>
          <w:vertAlign w:val="superscript"/>
        </w:rPr>
        <w:t xml:space="preserve">2</w:t>
      </w:r>
      <w:r>
        <w:t xml:space="preserve"> </w:t>
      </w:r>
      <w:r>
        <w:t xml:space="preserve">of non-linear least squares estimate.</w:t>
      </w:r>
    </w:p>
    <w:bookmarkEnd w:id="70"/>
    <w:bookmarkEnd w:id="71"/>
    <w:bookmarkStart w:id="94" w:name="references"/>
    <w:p>
      <w:pPr>
        <w:pStyle w:val="Heading2"/>
      </w:pPr>
      <w:r>
        <w:t xml:space="preserve">References</w:t>
      </w:r>
    </w:p>
    <w:bookmarkStart w:id="93" w:name="refs"/>
    <w:bookmarkStart w:id="72" w:name="ref-Cornforth2014"/>
    <w:p>
      <w:pPr>
        <w:pStyle w:val="Bibliography"/>
      </w:pPr>
      <w:r>
        <w:t xml:space="preserve">Cornforth, DM, R Popat, L McNally, J Gurney, TC Scott-Phillips, A Ivens, SP Diggle, and SP Brown. 2014.</w:t>
      </w:r>
      <w:r>
        <w:t xml:space="preserve"> </w:t>
      </w:r>
      <w:r>
        <w:t xml:space="preserve">“Combinatorial Quorum Sensing Allows Bacteria to Resolve Their Social and Physical Environment.”</w:t>
      </w:r>
      <w:r>
        <w:t xml:space="preserve"> </w:t>
      </w:r>
      <w:r>
        <w:rPr>
          <w:iCs/>
          <w:i/>
        </w:rPr>
        <w:t xml:space="preserve">Proc Natl Acad Sci U S A</w:t>
      </w:r>
      <w:r>
        <w:t xml:space="preserve"> </w:t>
      </w:r>
      <w:r>
        <w:t xml:space="preserve">111 (11): 4280–84.</w:t>
      </w:r>
    </w:p>
    <w:bookmarkEnd w:id="72"/>
    <w:bookmarkStart w:id="73" w:name="ref-DeSordi2009"/>
    <w:p>
      <w:pPr>
        <w:pStyle w:val="Bibliography"/>
      </w:pPr>
      <w:r>
        <w:t xml:space="preserve">De Sordi, L, and FA Mühlschlegel. 2009.</w:t>
      </w:r>
      <w:r>
        <w:t xml:space="preserve"> </w:t>
      </w:r>
      <w:r>
        <w:t xml:space="preserve">“Quorum Sensing and Fungal-Bacterial Interactions in</w:t>
      </w:r>
      <w:r>
        <w:t xml:space="preserve"> </w:t>
      </w:r>
      <w:r>
        <w:rPr>
          <w:iCs/>
          <w:i/>
        </w:rPr>
        <w:t xml:space="preserve">Candida Albicans:</w:t>
      </w:r>
      <w:r>
        <w:t xml:space="preserve"> </w:t>
      </w:r>
      <w:r>
        <w:t xml:space="preserve">A Communicative Network Regulating Microbial Coexistence and Virulence.”</w:t>
      </w:r>
      <w:r>
        <w:t xml:space="preserve"> </w:t>
      </w:r>
      <w:r>
        <w:rPr>
          <w:iCs/>
          <w:i/>
        </w:rPr>
        <w:t xml:space="preserve">FEMS Yeast Res</w:t>
      </w:r>
      <w:r>
        <w:t xml:space="preserve"> </w:t>
      </w:r>
      <w:r>
        <w:t xml:space="preserve">9 (7): 990–99.</w:t>
      </w:r>
    </w:p>
    <w:bookmarkEnd w:id="73"/>
    <w:bookmarkStart w:id="74" w:name="ref-Donabedian2003"/>
    <w:p>
      <w:pPr>
        <w:pStyle w:val="Bibliography"/>
      </w:pPr>
      <w:r>
        <w:t xml:space="preserve">Donabedian, H. 2003.</w:t>
      </w:r>
      <w:r>
        <w:t xml:space="preserve"> </w:t>
      </w:r>
      <w:r>
        <w:t xml:space="preserve">“Quorum Sensing and Its Relevance to Infectious Diseases.”</w:t>
      </w:r>
      <w:r>
        <w:t xml:space="preserve"> </w:t>
      </w:r>
      <w:r>
        <w:rPr>
          <w:iCs/>
          <w:i/>
        </w:rPr>
        <w:t xml:space="preserve">J Infect</w:t>
      </w:r>
      <w:r>
        <w:t xml:space="preserve"> </w:t>
      </w:r>
      <w:r>
        <w:t xml:space="preserve">46 (4): 207–14.</w:t>
      </w:r>
    </w:p>
    <w:bookmarkEnd w:id="74"/>
    <w:bookmarkStart w:id="75" w:name="ref-GarcíaReyes2020"/>
    <w:p>
      <w:pPr>
        <w:pStyle w:val="Bibliography"/>
      </w:pPr>
      <w:r>
        <w:t xml:space="preserve">García-Reyes, S, G Soberón-Chávez, and M Cocotl-Yanez. 2020.</w:t>
      </w:r>
      <w:r>
        <w:t xml:space="preserve"> </w:t>
      </w:r>
      <w:r>
        <w:t xml:space="preserve">“The Third Quorum-Sensing System of</w:t>
      </w:r>
      <w:r>
        <w:t xml:space="preserve"> </w:t>
      </w:r>
      <w:r>
        <w:rPr>
          <w:iCs/>
          <w:i/>
        </w:rPr>
        <w:t xml:space="preserve">Pseudomonas Aeruginosa:</w:t>
      </w:r>
      <w:r>
        <w:t xml:space="preserve"> </w:t>
      </w:r>
      <w:r>
        <w:t xml:space="preserve">Pseudomonas Quinolone Signal and the Enigmatic PqsE Protein.”</w:t>
      </w:r>
      <w:r>
        <w:t xml:space="preserve"> </w:t>
      </w:r>
      <w:r>
        <w:rPr>
          <w:iCs/>
          <w:i/>
        </w:rPr>
        <w:t xml:space="preserve">J Med Microbiol</w:t>
      </w:r>
      <w:r>
        <w:t xml:space="preserve"> </w:t>
      </w:r>
      <w:r>
        <w:t xml:space="preserve">69 (1): 25–34.</w:t>
      </w:r>
    </w:p>
    <w:bookmarkEnd w:id="75"/>
    <w:bookmarkStart w:id="76" w:name="ref-Heurlier2006"/>
    <w:p>
      <w:pPr>
        <w:pStyle w:val="Bibliography"/>
      </w:pPr>
      <w:r>
        <w:t xml:space="preserve">Heurlier, K, V Dénervaud, and D Haas. 2006.</w:t>
      </w:r>
      <w:r>
        <w:t xml:space="preserve"> </w:t>
      </w:r>
      <w:r>
        <w:t xml:space="preserve">“Impact of Quorum Sensing on Fitness of</w:t>
      </w:r>
      <w:r>
        <w:t xml:space="preserve"> </w:t>
      </w:r>
      <w:r>
        <w:rPr>
          <w:iCs/>
          <w:i/>
        </w:rPr>
        <w:t xml:space="preserve">Pseudomonas Aeruginosa.</w:t>
      </w:r>
      <w:r>
        <w:t xml:space="preserve">”</w:t>
      </w:r>
      <w:r>
        <w:t xml:space="preserve"> </w:t>
      </w:r>
      <w:r>
        <w:rPr>
          <w:iCs/>
          <w:i/>
        </w:rPr>
        <w:t xml:space="preserve">Int J Med Microbiol</w:t>
      </w:r>
      <w:r>
        <w:t xml:space="preserve"> </w:t>
      </w:r>
      <w:r>
        <w:t xml:space="preserve">296 (2-3): 93–102.</w:t>
      </w:r>
    </w:p>
    <w:bookmarkEnd w:id="76"/>
    <w:bookmarkStart w:id="77" w:name="ref-Jakobsen2013"/>
    <w:p>
      <w:pPr>
        <w:pStyle w:val="Bibliography"/>
      </w:pPr>
      <w:r>
        <w:t xml:space="preserve">Jakobsen, TH, T Bjarnsholt, PØ Jensen, M Givskov, and N Høiby. 2013.</w:t>
      </w:r>
      <w:r>
        <w:t xml:space="preserve"> </w:t>
      </w:r>
      <w:r>
        <w:t xml:space="preserve">“Targeting Quorum Sensing in</w:t>
      </w:r>
      <w:r>
        <w:t xml:space="preserve"> </w:t>
      </w:r>
      <w:r>
        <w:rPr>
          <w:iCs/>
          <w:i/>
        </w:rPr>
        <w:t xml:space="preserve">Pseudomonas Aeruginosa</w:t>
      </w:r>
      <w:r>
        <w:t xml:space="preserve"> </w:t>
      </w:r>
      <w:r>
        <w:t xml:space="preserve">Biofilms: Current and Emerging Inhibitors.”</w:t>
      </w:r>
      <w:r>
        <w:t xml:space="preserve"> </w:t>
      </w:r>
      <w:r>
        <w:rPr>
          <w:iCs/>
          <w:i/>
        </w:rPr>
        <w:t xml:space="preserve">Future Microbiol</w:t>
      </w:r>
      <w:r>
        <w:t xml:space="preserve"> </w:t>
      </w:r>
      <w:r>
        <w:t xml:space="preserve">8 (7): 901–21.</w:t>
      </w:r>
    </w:p>
    <w:bookmarkEnd w:id="77"/>
    <w:bookmarkStart w:id="78" w:name="ref-Juhas2005"/>
    <w:p>
      <w:pPr>
        <w:pStyle w:val="Bibliography"/>
      </w:pPr>
      <w:r>
        <w:t xml:space="preserve">Juhas, M, L Eberl, and B Tümmler. 2005.</w:t>
      </w:r>
      <w:r>
        <w:t xml:space="preserve"> </w:t>
      </w:r>
      <w:r>
        <w:t xml:space="preserve">“Quorum Sensing: The Power of Cooperation in the World of</w:t>
      </w:r>
      <w:r>
        <w:t xml:space="preserve"> </w:t>
      </w:r>
      <w:r>
        <w:rPr>
          <w:iCs/>
          <w:i/>
        </w:rPr>
        <w:t xml:space="preserve">Pseudomonas.</w:t>
      </w:r>
      <w:r>
        <w:t xml:space="preserve">”</w:t>
      </w:r>
      <w:r>
        <w:t xml:space="preserve"> </w:t>
      </w:r>
      <w:r>
        <w:rPr>
          <w:iCs/>
          <w:i/>
        </w:rPr>
        <w:t xml:space="preserve">Environ Microbiol</w:t>
      </w:r>
      <w:r>
        <w:t xml:space="preserve"> </w:t>
      </w:r>
      <w:r>
        <w:t xml:space="preserve">7 (4): 459–71.</w:t>
      </w:r>
    </w:p>
    <w:bookmarkEnd w:id="78"/>
    <w:bookmarkStart w:id="79" w:name="ref-LeBerre2006"/>
    <w:p>
      <w:pPr>
        <w:pStyle w:val="Bibliography"/>
      </w:pPr>
      <w:r>
        <w:t xml:space="preserve">Le Berre, R, K Faure, S Nguyen, M Pierre, F Ader, and B Guery. 2006.</w:t>
      </w:r>
      <w:r>
        <w:t xml:space="preserve"> </w:t>
      </w:r>
      <w:r>
        <w:t xml:space="preserve">“[Quorum Sensing: A New Clinical Target for</w:t>
      </w:r>
      <w:r>
        <w:t xml:space="preserve"> </w:t>
      </w:r>
      <w:r>
        <w:rPr>
          <w:iCs/>
          <w:i/>
        </w:rPr>
        <w:t xml:space="preserve">Pseudomonas Aeruginosa</w:t>
      </w:r>
      <w:r>
        <w:t xml:space="preserve">?].”</w:t>
      </w:r>
      <w:r>
        <w:t xml:space="preserve"> </w:t>
      </w:r>
      <w:r>
        <w:rPr>
          <w:iCs/>
          <w:i/>
        </w:rPr>
        <w:t xml:space="preserve">Med Mal Infect</w:t>
      </w:r>
      <w:r>
        <w:t xml:space="preserve"> </w:t>
      </w:r>
      <w:r>
        <w:t xml:space="preserve">36 (7): 349–57.</w:t>
      </w:r>
    </w:p>
    <w:bookmarkEnd w:id="79"/>
    <w:bookmarkStart w:id="80" w:name="ref-Papaioannou2013"/>
    <w:p>
      <w:pPr>
        <w:pStyle w:val="Bibliography"/>
      </w:pPr>
      <w:r>
        <w:t xml:space="preserve">Papaioannou, E, PD Utari, and WJ Quax. 2013.</w:t>
      </w:r>
      <w:r>
        <w:t xml:space="preserve"> </w:t>
      </w:r>
      <w:r>
        <w:t xml:space="preserve">“Choosing an Appropriate Infection Model to Study Quorum Sensing Inhibition in</w:t>
      </w:r>
      <w:r>
        <w:t xml:space="preserve"> </w:t>
      </w:r>
      <w:r>
        <w:rPr>
          <w:iCs/>
          <w:i/>
        </w:rPr>
        <w:t xml:space="preserve">Pseudomonas</w:t>
      </w:r>
      <w:r>
        <w:t xml:space="preserve"> </w:t>
      </w:r>
      <w:r>
        <w:t xml:space="preserve">Infections.”</w:t>
      </w:r>
      <w:r>
        <w:t xml:space="preserve"> </w:t>
      </w:r>
      <w:r>
        <w:rPr>
          <w:iCs/>
          <w:i/>
        </w:rPr>
        <w:t xml:space="preserve">Int J Mol Sci</w:t>
      </w:r>
      <w:r>
        <w:t xml:space="preserve"> </w:t>
      </w:r>
      <w:r>
        <w:t xml:space="preserve">14 (9): 19309–40.</w:t>
      </w:r>
    </w:p>
    <w:bookmarkEnd w:id="80"/>
    <w:bookmarkStart w:id="81" w:name="ref-Proctor2020"/>
    <w:p>
      <w:pPr>
        <w:pStyle w:val="Bibliography"/>
      </w:pPr>
      <w:r>
        <w:t xml:space="preserve">Proctor, CR, PA McCarron, and NG Ternan. 2020.</w:t>
      </w:r>
      <w:r>
        <w:t xml:space="preserve"> </w:t>
      </w:r>
      <w:r>
        <w:t xml:space="preserve">“Furanone Quorum-Sensing Inhibitors with Potential as Novel Therapeutics Against</w:t>
      </w:r>
      <w:r>
        <w:t xml:space="preserve"> </w:t>
      </w:r>
      <w:r>
        <w:rPr>
          <w:iCs/>
          <w:i/>
        </w:rPr>
        <w:t xml:space="preserve">Pseudomonas Aeruginosa.</w:t>
      </w:r>
      <w:r>
        <w:t xml:space="preserve">”</w:t>
      </w:r>
      <w:r>
        <w:t xml:space="preserve"> </w:t>
      </w:r>
      <w:r>
        <w:rPr>
          <w:iCs/>
          <w:i/>
        </w:rPr>
        <w:t xml:space="preserve">J Med Microbiol</w:t>
      </w:r>
      <w:r>
        <w:t xml:space="preserve"> </w:t>
      </w:r>
      <w:r>
        <w:t xml:space="preserve">69 (2): 195–206.</w:t>
      </w:r>
    </w:p>
    <w:bookmarkEnd w:id="81"/>
    <w:bookmarkStart w:id="82" w:name="ref-Rattray2022"/>
    <w:p>
      <w:pPr>
        <w:pStyle w:val="Bibliography"/>
      </w:pPr>
      <w:r>
        <w:t xml:space="preserve">Rattray, JB, SA Thomas, Y Wang, E Molotkova, J Gurney, JJ Varga, and SP Brown. 2022.</w:t>
      </w:r>
      <w:r>
        <w:t xml:space="preserve"> </w:t>
      </w:r>
      <w:r>
        <w:t xml:space="preserve">“Bacterial Quorum Sensing Allows Graded and Bimodal Cellular Responses to Variations in Population Density.”</w:t>
      </w:r>
      <w:r>
        <w:t xml:space="preserve"> </w:t>
      </w:r>
      <w:r>
        <w:rPr>
          <w:iCs/>
          <w:i/>
        </w:rPr>
        <w:t xml:space="preserve">mBio</w:t>
      </w:r>
      <w:r>
        <w:t xml:space="preserve"> </w:t>
      </w:r>
      <w:r>
        <w:t xml:space="preserve">13 (3): e0074522.</w:t>
      </w:r>
    </w:p>
    <w:bookmarkEnd w:id="82"/>
    <w:bookmarkStart w:id="83" w:name="ref-Reuter2016"/>
    <w:p>
      <w:pPr>
        <w:pStyle w:val="Bibliography"/>
      </w:pPr>
      <w:r>
        <w:t xml:space="preserve">Reuter, K, A Steinbach, and V Helms. 2016.</w:t>
      </w:r>
      <w:r>
        <w:t xml:space="preserve"> </w:t>
      </w:r>
      <w:r>
        <w:t xml:space="preserve">“Interfering with Bacterial Quorum Sensing.”</w:t>
      </w:r>
      <w:r>
        <w:t xml:space="preserve"> </w:t>
      </w:r>
      <w:r>
        <w:rPr>
          <w:iCs/>
          <w:i/>
        </w:rPr>
        <w:t xml:space="preserve">Perspect Medicin Chem</w:t>
      </w:r>
      <w:r>
        <w:t xml:space="preserve"> </w:t>
      </w:r>
      <w:r>
        <w:t xml:space="preserve">8: 1–15.</w:t>
      </w:r>
    </w:p>
    <w:bookmarkEnd w:id="83"/>
    <w:bookmarkStart w:id="84" w:name="ref-Roy2011"/>
    <w:p>
      <w:pPr>
        <w:pStyle w:val="Bibliography"/>
      </w:pPr>
      <w:r>
        <w:t xml:space="preserve">Roy, V, BL Adams, and WE Bentley. 2011.</w:t>
      </w:r>
      <w:r>
        <w:t xml:space="preserve"> </w:t>
      </w:r>
      <w:r>
        <w:t xml:space="preserve">“Developing Next Generation Antimicrobials by Intercepting AI-2 Mediated Quorum Sensing.”</w:t>
      </w:r>
      <w:r>
        <w:t xml:space="preserve"> </w:t>
      </w:r>
      <w:r>
        <w:rPr>
          <w:iCs/>
          <w:i/>
        </w:rPr>
        <w:t xml:space="preserve">Enzyme Microb Technol</w:t>
      </w:r>
      <w:r>
        <w:t xml:space="preserve"> </w:t>
      </w:r>
      <w:r>
        <w:t xml:space="preserve">49 (2): 113–23.</w:t>
      </w:r>
    </w:p>
    <w:bookmarkEnd w:id="84"/>
    <w:bookmarkStart w:id="85" w:name="ref-Rutherford2012"/>
    <w:p>
      <w:pPr>
        <w:pStyle w:val="Bibliography"/>
      </w:pPr>
      <w:r>
        <w:t xml:space="preserve">Rutherford, ST, and BL Bassler. 2012.</w:t>
      </w:r>
      <w:r>
        <w:t xml:space="preserve"> </w:t>
      </w:r>
      <w:r>
        <w:t xml:space="preserve">“Bacterial Quorum Sensing: Its Role in Virulence and Possibilities for Its Control.”</w:t>
      </w:r>
      <w:r>
        <w:t xml:space="preserve"> </w:t>
      </w:r>
      <w:r>
        <w:rPr>
          <w:iCs/>
          <w:i/>
        </w:rPr>
        <w:t xml:space="preserve">Cold Spring Harb Perspect Med</w:t>
      </w:r>
      <w:r>
        <w:t xml:space="preserve"> </w:t>
      </w:r>
      <w:r>
        <w:t xml:space="preserve">2 (11): a012427.</w:t>
      </w:r>
    </w:p>
    <w:bookmarkEnd w:id="85"/>
    <w:bookmarkStart w:id="86" w:name="ref-Schuster2013"/>
    <w:p>
      <w:pPr>
        <w:pStyle w:val="Bibliography"/>
      </w:pPr>
      <w:r>
        <w:t xml:space="preserve">Schuster, M, DJ Sexton, SP Diggle, and EP Greenberg. 2013.</w:t>
      </w:r>
      <w:r>
        <w:t xml:space="preserve"> </w:t>
      </w:r>
      <w:r>
        <w:t xml:space="preserve">“Acyl-Homoserine Lactone Quorum Sensing: From Evolution to Application.”</w:t>
      </w:r>
      <w:r>
        <w:t xml:space="preserve"> </w:t>
      </w:r>
      <w:r>
        <w:rPr>
          <w:iCs/>
          <w:i/>
        </w:rPr>
        <w:t xml:space="preserve">Annu Rev Microbiol</w:t>
      </w:r>
      <w:r>
        <w:t xml:space="preserve"> </w:t>
      </w:r>
      <w:r>
        <w:t xml:space="preserve">67: 43–63.</w:t>
      </w:r>
    </w:p>
    <w:bookmarkEnd w:id="86"/>
    <w:bookmarkStart w:id="87" w:name="ref-Soukarieh2018"/>
    <w:p>
      <w:pPr>
        <w:pStyle w:val="Bibliography"/>
      </w:pPr>
      <w:r>
        <w:t xml:space="preserve">Soukarieh, F, P Williams, MJ Stocks, and M Cámara. 2018.</w:t>
      </w:r>
      <w:r>
        <w:t xml:space="preserve"> </w:t>
      </w:r>
      <w:r>
        <w:t xml:space="preserve">“</w:t>
      </w:r>
      <w:r>
        <w:rPr>
          <w:iCs/>
          <w:i/>
        </w:rPr>
        <w:t xml:space="preserve">Pseudomonas Aeruginosa</w:t>
      </w:r>
      <w:r>
        <w:t xml:space="preserve"> </w:t>
      </w:r>
      <w:r>
        <w:t xml:space="preserve">Quorum Sensing Systems as Drug Discovery Targets: Current Position and Future Perspectives.”</w:t>
      </w:r>
      <w:r>
        <w:t xml:space="preserve"> </w:t>
      </w:r>
      <w:r>
        <w:rPr>
          <w:iCs/>
          <w:i/>
        </w:rPr>
        <w:t xml:space="preserve">J Med Chem</w:t>
      </w:r>
      <w:r>
        <w:t xml:space="preserve"> </w:t>
      </w:r>
      <w:r>
        <w:t xml:space="preserve">61 (23): 10385–402.</w:t>
      </w:r>
    </w:p>
    <w:bookmarkEnd w:id="87"/>
    <w:bookmarkStart w:id="88" w:name="ref-Tateda2005"/>
    <w:p>
      <w:pPr>
        <w:pStyle w:val="Bibliography"/>
      </w:pPr>
      <w:r>
        <w:t xml:space="preserve">Tateda, K. 2005.</w:t>
      </w:r>
      <w:r>
        <w:t xml:space="preserve"> </w:t>
      </w:r>
      <w:r>
        <w:t xml:space="preserve">“[</w:t>
      </w:r>
      <w:r>
        <w:rPr>
          <w:iCs/>
          <w:i/>
        </w:rPr>
        <w:t xml:space="preserve">Pseudomonas Aeruginosa</w:t>
      </w:r>
      <w:r>
        <w:t xml:space="preserve"> </w:t>
      </w:r>
      <w:r>
        <w:t xml:space="preserve">Infection and the Quorum-Sensing Mechanism].”</w:t>
      </w:r>
      <w:r>
        <w:t xml:space="preserve"> </w:t>
      </w:r>
      <w:r>
        <w:rPr>
          <w:iCs/>
          <w:i/>
        </w:rPr>
        <w:t xml:space="preserve">Nihon Naika Gakkai Zasshi</w:t>
      </w:r>
      <w:r>
        <w:t xml:space="preserve"> </w:t>
      </w:r>
      <w:r>
        <w:t xml:space="preserve">94 (5): 999–1004.</w:t>
      </w:r>
    </w:p>
    <w:bookmarkEnd w:id="88"/>
    <w:bookmarkStart w:id="89" w:name="ref-Welsh2016"/>
    <w:p>
      <w:pPr>
        <w:pStyle w:val="Bibliography"/>
      </w:pPr>
      <w:r>
        <w:t xml:space="preserve">Welsh, MA, and HE Blackwell. 2016.</w:t>
      </w:r>
      <w:r>
        <w:t xml:space="preserve"> </w:t>
      </w:r>
      <w:r>
        <w:t xml:space="preserve">“Chemical Probes of Quorum Sensing: From Compound Development to Biological Discovery.”</w:t>
      </w:r>
      <w:r>
        <w:t xml:space="preserve"> </w:t>
      </w:r>
      <w:r>
        <w:rPr>
          <w:iCs/>
          <w:i/>
        </w:rPr>
        <w:t xml:space="preserve">FEMS Microbiol Rev</w:t>
      </w:r>
      <w:r>
        <w:t xml:space="preserve"> </w:t>
      </w:r>
      <w:r>
        <w:t xml:space="preserve">40 (5): 774–94.</w:t>
      </w:r>
    </w:p>
    <w:bookmarkEnd w:id="89"/>
    <w:bookmarkStart w:id="90" w:name="ref-Williams2007"/>
    <w:p>
      <w:pPr>
        <w:pStyle w:val="Bibliography"/>
      </w:pPr>
      <w:r>
        <w:t xml:space="preserve">Williams, P, K Winzer, WC Chan, and M Cámara. 2007.</w:t>
      </w:r>
      <w:r>
        <w:t xml:space="preserve"> </w:t>
      </w:r>
      <w:r>
        <w:t xml:space="preserve">“Look Who’s Talking: Communication and Quorum Sensing in the Bacterial World.”</w:t>
      </w:r>
      <w:r>
        <w:t xml:space="preserve"> </w:t>
      </w:r>
      <w:r>
        <w:rPr>
          <w:iCs/>
          <w:i/>
        </w:rPr>
        <w:t xml:space="preserve">Philos Trans R Soc Lond B Biol Sci</w:t>
      </w:r>
      <w:r>
        <w:t xml:space="preserve"> </w:t>
      </w:r>
      <w:r>
        <w:t xml:space="preserve">362 (1483): 1119–34.</w:t>
      </w:r>
    </w:p>
    <w:bookmarkEnd w:id="90"/>
    <w:bookmarkStart w:id="91" w:name="ref-Winzer2001"/>
    <w:p>
      <w:pPr>
        <w:pStyle w:val="Bibliography"/>
      </w:pPr>
      <w:r>
        <w:t xml:space="preserve">Winzer, K, and P Williams. 2001.</w:t>
      </w:r>
      <w:r>
        <w:t xml:space="preserve"> </w:t>
      </w:r>
      <w:r>
        <w:t xml:space="preserve">“Quorum Sensing and the Regulation of Virulence Gene Expression in Pathogenic Bacteria.”</w:t>
      </w:r>
      <w:r>
        <w:t xml:space="preserve"> </w:t>
      </w:r>
      <w:r>
        <w:rPr>
          <w:iCs/>
          <w:i/>
        </w:rPr>
        <w:t xml:space="preserve">Int J Med Microbiol</w:t>
      </w:r>
      <w:r>
        <w:t xml:space="preserve"> </w:t>
      </w:r>
      <w:r>
        <w:t xml:space="preserve">291 (2): 131–43.</w:t>
      </w:r>
    </w:p>
    <w:bookmarkEnd w:id="91"/>
    <w:bookmarkStart w:id="92" w:name="ref-Yong2013"/>
    <w:p>
      <w:pPr>
        <w:pStyle w:val="Bibliography"/>
      </w:pPr>
      <w:r>
        <w:t xml:space="preserve">Yong, YC, and JJ Zhong. 2013.</w:t>
      </w:r>
      <w:r>
        <w:t xml:space="preserve"> </w:t>
      </w:r>
      <w:r>
        <w:t xml:space="preserve">“Impacts of Quorum Sensing on Microbial Metabolism and Human Health.”</w:t>
      </w:r>
      <w:r>
        <w:t xml:space="preserve"> </w:t>
      </w:r>
      <w:r>
        <w:rPr>
          <w:iCs/>
          <w:i/>
        </w:rPr>
        <w:t xml:space="preserve">Adv Biochem Eng Biotechnol</w:t>
      </w:r>
      <w:r>
        <w:t xml:space="preserve"> </w:t>
      </w:r>
      <w:r>
        <w:t xml:space="preserve">131: 25–61.</w:t>
      </w:r>
    </w:p>
    <w:bookmarkEnd w:id="92"/>
    <w:bookmarkEnd w:id="93"/>
    <w:bookmarkEnd w:id="94"/>
    <w:bookmarkEnd w:id="95"/>
    <w:sectPr w:rsidR="00D220F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49E405A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72322912"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0020F"/>
    <w:rPr>
      <w:rFonts w:ascii="Times New Roman" w:hAnsi="Times New Roman"/>
    </w:rPr>
  </w:style>
  <w:style w:styleId="Heading1" w:type="paragraph">
    <w:name w:val="heading 1"/>
    <w:basedOn w:val="Normal"/>
    <w:next w:val="BodyText"/>
    <w:uiPriority w:val="9"/>
    <w:qFormat/>
    <w:rsid w:val="0000020F"/>
    <w:pPr>
      <w:keepNext/>
      <w:keepLines/>
      <w:spacing w:after="0" w:before="480"/>
      <w:outlineLvl w:val="0"/>
    </w:pPr>
    <w:rPr>
      <w:rFonts w:ascii="Arial" w:cstheme="majorBidi" w:eastAsiaTheme="majorEastAsia" w:hAnsi="Arial"/>
      <w:b/>
      <w:bCs/>
      <w:color w:themeColor="text1" w:val="000000"/>
      <w:sz w:val="32"/>
      <w:szCs w:val="32"/>
    </w:rPr>
  </w:style>
  <w:style w:styleId="Heading2" w:type="paragraph">
    <w:name w:val="heading 2"/>
    <w:basedOn w:val="Normal"/>
    <w:next w:val="BodyText"/>
    <w:uiPriority w:val="9"/>
    <w:unhideWhenUsed/>
    <w:qFormat/>
    <w:rsid w:val="0000020F"/>
    <w:pPr>
      <w:keepNext/>
      <w:keepLines/>
      <w:spacing w:after="0" w:before="200"/>
      <w:outlineLvl w:val="1"/>
    </w:pPr>
    <w:rPr>
      <w:rFonts w:ascii="Arial" w:cstheme="majorBidi" w:eastAsiaTheme="majorEastAsia" w:hAnsi="Arial"/>
      <w:b/>
      <w:bCs/>
      <w:color w:themeColor="text1" w:val="000000"/>
      <w:sz w:val="28"/>
      <w:szCs w:val="28"/>
    </w:rPr>
  </w:style>
  <w:style w:styleId="Heading3" w:type="paragraph">
    <w:name w:val="heading 3"/>
    <w:basedOn w:val="Normal"/>
    <w:next w:val="BodyText"/>
    <w:uiPriority w:val="9"/>
    <w:unhideWhenUsed/>
    <w:qFormat/>
    <w:rsid w:val="0000020F"/>
    <w:pPr>
      <w:keepNext/>
      <w:keepLines/>
      <w:spacing w:after="0" w:before="200"/>
      <w:outlineLvl w:val="2"/>
    </w:pPr>
    <w:rPr>
      <w:rFonts w:ascii="Arial" w:cstheme="majorBidi" w:eastAsiaTheme="majorEastAsia" w:hAnsi="Arial"/>
      <w:b/>
      <w:bCs/>
      <w:color w:themeColor="text1" w:val="000000"/>
    </w:rPr>
  </w:style>
  <w:style w:styleId="Heading4" w:type="paragraph">
    <w:name w:val="heading 4"/>
    <w:basedOn w:val="Normal"/>
    <w:next w:val="BodyText"/>
    <w:uiPriority w:val="9"/>
    <w:unhideWhenUsed/>
    <w:qFormat/>
    <w:rsid w:val="0000020F"/>
    <w:pPr>
      <w:keepNext/>
      <w:keepLines/>
      <w:spacing w:after="0" w:before="200"/>
      <w:outlineLvl w:val="3"/>
    </w:pPr>
    <w:rPr>
      <w:rFonts w:ascii="Arial" w:cstheme="majorBidi" w:eastAsiaTheme="majorEastAsia" w:hAnsi="Arial"/>
      <w:bCs/>
      <w:i/>
      <w:color w:themeColor="text1" w:val="000000"/>
    </w:rPr>
  </w:style>
  <w:style w:styleId="Heading5" w:type="paragraph">
    <w:name w:val="heading 5"/>
    <w:basedOn w:val="Normal"/>
    <w:next w:val="BodyText"/>
    <w:uiPriority w:val="9"/>
    <w:unhideWhenUsed/>
    <w:qFormat/>
    <w:rsid w:val="0000020F"/>
    <w:pPr>
      <w:keepNext/>
      <w:keepLines/>
      <w:spacing w:after="0" w:before="200"/>
      <w:outlineLvl w:val="4"/>
    </w:pPr>
    <w:rPr>
      <w:rFonts w:ascii="Arial" w:cstheme="majorBidi" w:eastAsiaTheme="majorEastAsia" w:hAnsi="Arial"/>
      <w:iCs/>
      <w:color w:themeColor="text1" w:val="000000"/>
    </w:rPr>
  </w:style>
  <w:style w:styleId="Heading6" w:type="paragraph">
    <w:name w:val="heading 6"/>
    <w:basedOn w:val="Normal"/>
    <w:next w:val="BodyText"/>
    <w:uiPriority w:val="9"/>
    <w:unhideWhenUsed/>
    <w:qFormat/>
    <w:rsid w:val="0000020F"/>
    <w:pPr>
      <w:keepNext/>
      <w:keepLines/>
      <w:spacing w:after="0" w:before="200"/>
      <w:outlineLvl w:val="5"/>
    </w:pPr>
    <w:rPr>
      <w:rFonts w:ascii="Arial" w:cstheme="majorBidi" w:eastAsiaTheme="majorEastAsia" w:hAnsi="Arial"/>
      <w:color w:themeColor="text1" w:val="000000"/>
    </w:rPr>
  </w:style>
  <w:style w:styleId="Heading7" w:type="paragraph">
    <w:name w:val="heading 7"/>
    <w:basedOn w:val="Normal"/>
    <w:next w:val="BodyText"/>
    <w:uiPriority w:val="9"/>
    <w:unhideWhenUsed/>
    <w:qFormat/>
    <w:rsid w:val="0000020F"/>
    <w:pPr>
      <w:keepNext/>
      <w:keepLines/>
      <w:spacing w:after="0" w:before="200"/>
      <w:outlineLvl w:val="6"/>
    </w:pPr>
    <w:rPr>
      <w:rFonts w:ascii="Arial" w:cstheme="majorBidi" w:eastAsiaTheme="majorEastAsia" w:hAnsi="Arial"/>
      <w:color w:themeColor="text1" w:val="000000"/>
    </w:rPr>
  </w:style>
  <w:style w:styleId="Heading8" w:type="paragraph">
    <w:name w:val="heading 8"/>
    <w:basedOn w:val="Normal"/>
    <w:next w:val="BodyText"/>
    <w:uiPriority w:val="9"/>
    <w:unhideWhenUsed/>
    <w:qFormat/>
    <w:rsid w:val="0000020F"/>
    <w:pPr>
      <w:keepNext/>
      <w:keepLines/>
      <w:spacing w:after="0" w:before="200"/>
      <w:outlineLvl w:val="7"/>
    </w:pPr>
    <w:rPr>
      <w:rFonts w:ascii="Arial" w:cstheme="majorBidi" w:eastAsiaTheme="majorEastAsia" w:hAnsi="Arial"/>
      <w:color w:themeColor="text1" w:val="000000"/>
    </w:rPr>
  </w:style>
  <w:style w:styleId="Heading9" w:type="paragraph">
    <w:name w:val="heading 9"/>
    <w:basedOn w:val="Normal"/>
    <w:next w:val="BodyText"/>
    <w:uiPriority w:val="9"/>
    <w:unhideWhenUsed/>
    <w:qFormat/>
    <w:rsid w:val="0000020F"/>
    <w:pPr>
      <w:keepNext/>
      <w:keepLines/>
      <w:spacing w:after="0" w:before="200"/>
      <w:outlineLvl w:val="8"/>
    </w:pPr>
    <w:rPr>
      <w:rFonts w:ascii="Arial" w:cstheme="majorBidi" w:eastAsiaTheme="majorEastAsia" w:hAnsi="Arial"/>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0020F"/>
    <w:pPr>
      <w:keepNext/>
      <w:keepLines/>
      <w:spacing w:after="240" w:before="480"/>
      <w:jc w:val="center"/>
    </w:pPr>
    <w:rPr>
      <w:rFonts w:ascii="Arial" w:cstheme="majorBidi" w:eastAsiaTheme="majorEastAsia" w:hAnsi="Arial"/>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00020F"/>
    <w:pPr>
      <w:keepNext/>
      <w:keepLines/>
      <w:jc w:val="center"/>
    </w:pPr>
    <w:rPr>
      <w:rFonts w:ascii="Times New Roman" w:hAnsi="Times New Roman"/>
    </w:rPr>
  </w:style>
  <w:style w:styleId="Date" w:type="paragraph">
    <w:name w:val="Date"/>
    <w:next w:val="BodyText"/>
    <w:qFormat/>
    <w:rsid w:val="0000020F"/>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44B3A"/>
    <w:pPr>
      <w:spacing w:after="120" w:before="240"/>
    </w:pPr>
    <w:rPr>
      <w:i/>
    </w:rPr>
  </w:style>
  <w:style w:customStyle="1" w:styleId="TableCaption" w:type="paragraph">
    <w:name w:val="Table Caption"/>
    <w:basedOn w:val="Caption"/>
    <w:pPr>
      <w:keepNext/>
    </w:pPr>
  </w:style>
  <w:style w:customStyle="1" w:styleId="ImageCaption" w:type="paragraph">
    <w:name w:val="Image Caption"/>
    <w:basedOn w:val="Caption"/>
    <w:rsid w:val="00144B3A"/>
    <w:pPr>
      <w:spacing w:before="0"/>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44B3A"/>
    <w:rPr>
      <w:rFonts w:ascii="Times New Roman" w:hAnsi="Times New Roman"/>
      <w:i/>
    </w:rPr>
  </w:style>
  <w:style w:customStyle="1" w:styleId="VerbatimChar" w:type="character">
    <w:name w:val="Verbatim Char"/>
    <w:basedOn w:val="CaptionChar"/>
    <w:rsid w:val="007D0AF9"/>
    <w:rPr>
      <w:rFonts w:ascii="Courier New" w:hAnsi="Courier New"/>
      <w:i/>
      <w:sz w:val="22"/>
    </w:rPr>
  </w:style>
  <w:style w:customStyle="1" w:styleId="SectionNumber" w:type="character">
    <w:name w:val="Section Number"/>
    <w:basedOn w:val="CaptionChar"/>
    <w:rPr>
      <w:rFonts w:ascii="Times New Roman" w:hAnsi="Times New Roman"/>
      <w:i/>
    </w:rPr>
  </w:style>
  <w:style w:styleId="FootnoteReference" w:type="character">
    <w:name w:val="footnote reference"/>
    <w:basedOn w:val="CaptionChar"/>
    <w:rPr>
      <w:rFonts w:ascii="Times New Roman" w:hAnsi="Times New Roman"/>
      <w:i/>
      <w:vertAlign w:val="superscript"/>
    </w:rPr>
  </w:style>
  <w:style w:styleId="Hyperlink" w:type="character">
    <w:name w:val="Hyperlink"/>
    <w:basedOn w:val="CaptionChar"/>
    <w:rsid w:val="007D0AF9"/>
    <w:rPr>
      <w:rFonts w:ascii="Times New Roman" w:hAnsi="Times New Roman"/>
      <w:i/>
      <w:color w:themeColor="text2" w:val="1F497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svg" /><Relationship Type="http://schemas.openxmlformats.org/officeDocument/2006/relationships/image" Id="rId43" Target="media/rId43.svg" /><Relationship Type="http://schemas.openxmlformats.org/officeDocument/2006/relationships/image" Id="rId64" Target="media/rId64.svg" /><Relationship Type="http://schemas.openxmlformats.org/officeDocument/2006/relationships/image" Id="rId56" Target="media/rId56.svg" /><Relationship Type="http://schemas.openxmlformats.org/officeDocument/2006/relationships/image" Id="rId60" Target="media/rId60.svg" /><Relationship Type="http://schemas.openxmlformats.org/officeDocument/2006/relationships/image" Id="rId47" Target="media/rId47.sv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hyperlink" Id="rId36" Target="https://pubmed.ncbi.nlm.nih.gov/11437336/" TargetMode="External" /><Relationship Type="http://schemas.openxmlformats.org/officeDocument/2006/relationships/hyperlink" Id="rId31" Target="https://pubmed.ncbi.nlm.nih.gov/12799145/" TargetMode="External" /><Relationship Type="http://schemas.openxmlformats.org/officeDocument/2006/relationships/hyperlink" Id="rId30" Target="https://pubmed.ncbi.nlm.nih.gov/15816912/" TargetMode="External" /><Relationship Type="http://schemas.openxmlformats.org/officeDocument/2006/relationships/hyperlink" Id="rId26" Target="https://pubmed.ncbi.nlm.nih.gov/15926474/" TargetMode="External" /><Relationship Type="http://schemas.openxmlformats.org/officeDocument/2006/relationships/hyperlink" Id="rId28" Target="https://pubmed.ncbi.nlm.nih.gov/16503417/" TargetMode="External" /><Relationship Type="http://schemas.openxmlformats.org/officeDocument/2006/relationships/hyperlink" Id="rId29" Target="https://pubmed.ncbi.nlm.nih.gov/16631332/" TargetMode="External" /><Relationship Type="http://schemas.openxmlformats.org/officeDocument/2006/relationships/hyperlink" Id="rId27" Target="https://pubmed.ncbi.nlm.nih.gov/19249239/" TargetMode="External" /><Relationship Type="http://schemas.openxmlformats.org/officeDocument/2006/relationships/hyperlink" Id="rId35" Target="https://pubmed.ncbi.nlm.nih.gov/19845041/" TargetMode="External" /><Relationship Type="http://schemas.openxmlformats.org/officeDocument/2006/relationships/hyperlink" Id="rId39" Target="https://pubmed.ncbi.nlm.nih.gov/22112397/" TargetMode="External" /><Relationship Type="http://schemas.openxmlformats.org/officeDocument/2006/relationships/hyperlink" Id="rId33" Target="https://pubmed.ncbi.nlm.nih.gov/22767136/" TargetMode="External" /><Relationship Type="http://schemas.openxmlformats.org/officeDocument/2006/relationships/hyperlink" Id="rId22" Target="https://pubmed.ncbi.nlm.nih.gov/23125205/" TargetMode="External" /><Relationship Type="http://schemas.openxmlformats.org/officeDocument/2006/relationships/hyperlink" Id="rId37" Target="https://pubmed.ncbi.nlm.nih.gov/23682605/" TargetMode="External" /><Relationship Type="http://schemas.openxmlformats.org/officeDocument/2006/relationships/hyperlink" Id="rId24" Target="https://pubmed.ncbi.nlm.nih.gov/23841636/" TargetMode="External" /><Relationship Type="http://schemas.openxmlformats.org/officeDocument/2006/relationships/hyperlink" Id="rId38" Target="https://pubmed.ncbi.nlm.nih.gov/24065108/" TargetMode="External" /><Relationship Type="http://schemas.openxmlformats.org/officeDocument/2006/relationships/hyperlink" Id="rId32" Target="https://pubmed.ncbi.nlm.nih.gov/26819549/" TargetMode="External" /><Relationship Type="http://schemas.openxmlformats.org/officeDocument/2006/relationships/hyperlink" Id="rId34" Target="https://pubmed.ncbi.nlm.nih.gov/27268906/" TargetMode="External" /><Relationship Type="http://schemas.openxmlformats.org/officeDocument/2006/relationships/hyperlink" Id="rId25" Target="https://pubmed.ncbi.nlm.nih.gov/29999316/" TargetMode="External" /><Relationship Type="http://schemas.openxmlformats.org/officeDocument/2006/relationships/hyperlink" Id="rId21" Target="https://pubmed.ncbi.nlm.nih.gov/31794380/" TargetMode="External" /><Relationship Type="http://schemas.openxmlformats.org/officeDocument/2006/relationships/hyperlink" Id="rId23" Target="https://pubmed.ncbi.nlm.nih.gov/31971503/" TargetMode="External" /><Relationship Type="http://schemas.openxmlformats.org/officeDocument/2006/relationships/hyperlink" Id="rId20" Target="https://pubmed.ncbi.nlm.nih.gov/?term=%28%22review%22%5BTitle%2FAbstract%5D+OR+%22review%22%5BPublication+Type%5D%29+AND+%22quorum+sensing%22%5BTitle%5D+AND+%22pseudomonas+aeruginosa%22%5BTitle%2FAbstract%5D&amp;sort=" TargetMode="External" /></Relationships>
</file>

<file path=word/_rels/footnotes.xml.rels><?xml version="1.0" encoding="UTF-8"?><Relationships xmlns="http://schemas.openxmlformats.org/package/2006/relationships"><Relationship Type="http://schemas.openxmlformats.org/officeDocument/2006/relationships/hyperlink" Id="rId36" Target="https://pubmed.ncbi.nlm.nih.gov/11437336/" TargetMode="External" /><Relationship Type="http://schemas.openxmlformats.org/officeDocument/2006/relationships/hyperlink" Id="rId31" Target="https://pubmed.ncbi.nlm.nih.gov/12799145/" TargetMode="External" /><Relationship Type="http://schemas.openxmlformats.org/officeDocument/2006/relationships/hyperlink" Id="rId30" Target="https://pubmed.ncbi.nlm.nih.gov/15816912/" TargetMode="External" /><Relationship Type="http://schemas.openxmlformats.org/officeDocument/2006/relationships/hyperlink" Id="rId26" Target="https://pubmed.ncbi.nlm.nih.gov/15926474/" TargetMode="External" /><Relationship Type="http://schemas.openxmlformats.org/officeDocument/2006/relationships/hyperlink" Id="rId28" Target="https://pubmed.ncbi.nlm.nih.gov/16503417/" TargetMode="External" /><Relationship Type="http://schemas.openxmlformats.org/officeDocument/2006/relationships/hyperlink" Id="rId29" Target="https://pubmed.ncbi.nlm.nih.gov/16631332/" TargetMode="External" /><Relationship Type="http://schemas.openxmlformats.org/officeDocument/2006/relationships/hyperlink" Id="rId27" Target="https://pubmed.ncbi.nlm.nih.gov/19249239/" TargetMode="External" /><Relationship Type="http://schemas.openxmlformats.org/officeDocument/2006/relationships/hyperlink" Id="rId35" Target="https://pubmed.ncbi.nlm.nih.gov/19845041/" TargetMode="External" /><Relationship Type="http://schemas.openxmlformats.org/officeDocument/2006/relationships/hyperlink" Id="rId39" Target="https://pubmed.ncbi.nlm.nih.gov/22112397/" TargetMode="External" /><Relationship Type="http://schemas.openxmlformats.org/officeDocument/2006/relationships/hyperlink" Id="rId33" Target="https://pubmed.ncbi.nlm.nih.gov/22767136/" TargetMode="External" /><Relationship Type="http://schemas.openxmlformats.org/officeDocument/2006/relationships/hyperlink" Id="rId22" Target="https://pubmed.ncbi.nlm.nih.gov/23125205/" TargetMode="External" /><Relationship Type="http://schemas.openxmlformats.org/officeDocument/2006/relationships/hyperlink" Id="rId37" Target="https://pubmed.ncbi.nlm.nih.gov/23682605/" TargetMode="External" /><Relationship Type="http://schemas.openxmlformats.org/officeDocument/2006/relationships/hyperlink" Id="rId24" Target="https://pubmed.ncbi.nlm.nih.gov/23841636/" TargetMode="External" /><Relationship Type="http://schemas.openxmlformats.org/officeDocument/2006/relationships/hyperlink" Id="rId38" Target="https://pubmed.ncbi.nlm.nih.gov/24065108/" TargetMode="External" /><Relationship Type="http://schemas.openxmlformats.org/officeDocument/2006/relationships/hyperlink" Id="rId32" Target="https://pubmed.ncbi.nlm.nih.gov/26819549/" TargetMode="External" /><Relationship Type="http://schemas.openxmlformats.org/officeDocument/2006/relationships/hyperlink" Id="rId34" Target="https://pubmed.ncbi.nlm.nih.gov/27268906/" TargetMode="External" /><Relationship Type="http://schemas.openxmlformats.org/officeDocument/2006/relationships/hyperlink" Id="rId25" Target="https://pubmed.ncbi.nlm.nih.gov/29999316/" TargetMode="External" /><Relationship Type="http://schemas.openxmlformats.org/officeDocument/2006/relationships/hyperlink" Id="rId21" Target="https://pubmed.ncbi.nlm.nih.gov/31794380/" TargetMode="External" /><Relationship Type="http://schemas.openxmlformats.org/officeDocument/2006/relationships/hyperlink" Id="rId23" Target="https://pubmed.ncbi.nlm.nih.gov/31971503/" TargetMode="External" /><Relationship Type="http://schemas.openxmlformats.org/officeDocument/2006/relationships/hyperlink" Id="rId20" Target="https://pubmed.ncbi.nlm.nih.gov/?term=%28%22review%22%5BTitle%2FAbstract%5D+OR+%22review%22%5BPublication+Type%5D%29+AND+%22quorum+sensing%22%5BTitle%5D+AND+%22pseudomonas+aeruginosa%22%5BTitle%2FAbstract%5D&amp;s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2023-12-30T13:54:24Z</dcterms:created>
  <dcterms:modified xsi:type="dcterms:W3CDTF">2023-12-30T13:54:24Z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Supporting (BibTeX).bib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temTitleDelim">
    <vt:lpwstr>.</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ItemTemplate">
    <vt:lpwstr>lofItemTitleilistItemTitleDelimt </vt:lpwstr>
  </property>
  <property fmtid="{D5CDD505-2E9C-101B-9397-08002B2CF9AE}" pid="34" name="lofItemTitle">
    <vt:lpwstr/>
  </property>
  <property fmtid="{D5CDD505-2E9C-101B-9397-08002B2CF9AE}" pid="35" name="lofTitle">
    <vt:lpwstr>List of Figures</vt:lpwstr>
  </property>
  <property fmtid="{D5CDD505-2E9C-101B-9397-08002B2CF9AE}" pid="36" name="lolItemTemplate">
    <vt:lpwstr>lolItemTitleilistItemTitleDelimt </vt:lpwstr>
  </property>
  <property fmtid="{D5CDD505-2E9C-101B-9397-08002B2CF9AE}" pid="37" name="lolItemTitle">
    <vt:lpwstr/>
  </property>
  <property fmtid="{D5CDD505-2E9C-101B-9397-08002B2CF9AE}" pid="38" name="lolTitle">
    <vt:lpwstr>List of Listings</vt:lpwstr>
  </property>
  <property fmtid="{D5CDD505-2E9C-101B-9397-08002B2CF9AE}" pid="39" name="lotItemTemplate">
    <vt:lpwstr>lotItemTitleilistItemTitleDelimt </vt:lpwstr>
  </property>
  <property fmtid="{D5CDD505-2E9C-101B-9397-08002B2CF9AE}" pid="40" name="lotItemTitle">
    <vt:lpwstr/>
  </property>
  <property fmtid="{D5CDD505-2E9C-101B-9397-08002B2CF9AE}" pid="41" name="lotTitle">
    <vt:lpwstr>List of Tables</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nameInLink">
    <vt:lpwstr>False</vt:lpwstr>
  </property>
  <property fmtid="{D5CDD505-2E9C-101B-9397-08002B2CF9AE}" pid="46" name="numberSections">
    <vt:lpwstr>False</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