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58A" w:rsidRDefault="00000000">
      <w:pPr>
        <w:pStyle w:val="Heading1"/>
      </w:pPr>
      <w:bookmarkStart w:id="0" w:name="X8139f648c2c7efb23755ff2898a18bf694b33ca"/>
      <w:r>
        <w:t xml:space="preserve">The </w:t>
      </w:r>
      <w:r>
        <w:rPr>
          <w:i/>
          <w:iCs/>
        </w:rPr>
        <w:t>las</w:t>
      </w:r>
      <w:r>
        <w:t xml:space="preserve"> and </w:t>
      </w:r>
      <w:r>
        <w:rPr>
          <w:i/>
          <w:iCs/>
        </w:rPr>
        <w:t>rhl</w:t>
      </w:r>
      <w:r>
        <w:t xml:space="preserve"> Quorum Sensing Systems in </w:t>
      </w:r>
      <w:r>
        <w:rPr>
          <w:i/>
          <w:iCs/>
        </w:rPr>
        <w:t>Pseudomonas aeruginosa</w:t>
      </w:r>
      <w:r>
        <w:t xml:space="preserve"> Form a Multi-Signal Reciprocal Network Which Can Tune Reactivity to Variations in Physical and Social Environments</w:t>
      </w:r>
    </w:p>
    <w:p w:rsidR="0067358A" w:rsidRDefault="00000000">
      <w:pPr>
        <w:pStyle w:val="Heading2"/>
      </w:pPr>
      <w:bookmarkStart w:id="1" w:name="supporting-information"/>
      <w:r>
        <w:t>Supporting Information</w:t>
      </w:r>
    </w:p>
    <w:p w:rsidR="0067358A" w:rsidRDefault="00000000">
      <w:pPr>
        <w:pStyle w:val="Heading3"/>
      </w:pPr>
      <w:bookmarkStart w:id="2" w:name="structured-literature-search"/>
      <w:r>
        <w:t>Structured Literature Search</w:t>
      </w:r>
    </w:p>
    <w:p w:rsidR="0067358A" w:rsidRDefault="00000000" w:rsidP="004C7B73">
      <w:pPr>
        <w:pStyle w:val="FirstParagraph"/>
      </w:pPr>
      <w:r>
        <w:t xml:space="preserve">The PubMed database of the US National Institutes of Health was queried on 20 July 2021 using the query </w:t>
      </w:r>
      <w:hyperlink r:id="rId7">
        <w:r>
          <w:rPr>
            <w:rStyle w:val="VerbatimChar"/>
          </w:rPr>
          <w:t>PubMed Search ("review"[Title/Abstract] OR "review"[Publication Type]) AND "quorum sensing"[Title] AND "pseudomonas aeruginosa"[Title/Abstract]</w:t>
        </w:r>
      </w:hyperlink>
      <w:r>
        <w:t xml:space="preserve">, resulting in 76 results with publication dates from 1996 to 2021. Papers that incluced a daigram of the gene transcription networks for the </w:t>
      </w:r>
      <w:r>
        <w:rPr>
          <w:i/>
          <w:iCs/>
        </w:rPr>
        <w:t>las</w:t>
      </w:r>
      <w:r>
        <w:t xml:space="preserve"> and </w:t>
      </w:r>
      <w:r>
        <w:rPr>
          <w:i/>
          <w:iCs/>
        </w:rPr>
        <w:t>rhl</w:t>
      </w:r>
      <w:r>
        <w:t xml:space="preserve"> quorum sensing systems were further analyzed to show the interactions present on those diagrams. Tables S.1 and S.2 show the results. Of the papers analyzed, all show the </w:t>
      </w:r>
      <w:r>
        <w:rPr>
          <w:i/>
          <w:iCs/>
        </w:rPr>
        <w:t>las</w:t>
      </w:r>
      <w:r>
        <w:t xml:space="preserve"> system positively activating the </w:t>
      </w:r>
      <w:r>
        <w:rPr>
          <w:i/>
          <w:iCs/>
        </w:rPr>
        <w:t>rhl</w:t>
      </w:r>
      <w:r>
        <w:t xml:space="preserve"> system, and none show the </w:t>
      </w:r>
      <w:r>
        <w:rPr>
          <w:i/>
          <w:iCs/>
        </w:rPr>
        <w:t>rhl</w:t>
      </w:r>
      <w:r>
        <w:t xml:space="preserve"> system postively activating the </w:t>
      </w:r>
      <w:r>
        <w:rPr>
          <w:i/>
          <w:iCs/>
        </w:rPr>
        <w:t>las</w:t>
      </w:r>
      <w:r>
        <w:t xml:space="preserve"> system.</w:t>
      </w:r>
      <w:bookmarkStart w:id="3" w:name="tbl:lasr"/>
    </w:p>
    <w:tbl>
      <w:tblPr>
        <w:tblStyle w:val="Table"/>
        <w:tblW w:w="0" w:type="auto"/>
        <w:tblLook w:val="0020" w:firstRow="1" w:lastRow="0" w:firstColumn="0" w:lastColumn="0" w:noHBand="0" w:noVBand="0"/>
        <w:tblCaption w:val="Table 1: _las_r"/>
      </w:tblPr>
      <w:tblGrid>
        <w:gridCol w:w="3799"/>
        <w:gridCol w:w="1176"/>
        <w:gridCol w:w="816"/>
        <w:gridCol w:w="883"/>
        <w:gridCol w:w="816"/>
        <w:gridCol w:w="883"/>
        <w:gridCol w:w="1203"/>
      </w:tblGrid>
      <w:tr w:rsidR="0067358A" w:rsidTr="004C7B73">
        <w:trPr>
          <w:cnfStyle w:val="100000000000" w:firstRow="1" w:lastRow="0" w:firstColumn="0" w:lastColumn="0" w:oddVBand="0" w:evenVBand="0" w:oddHBand="0" w:evenHBand="0" w:firstRowFirstColumn="0" w:firstRowLastColumn="0" w:lastRowFirstColumn="0" w:lastRowLastColumn="0"/>
          <w:tblHeader/>
        </w:trPr>
        <w:tc>
          <w:tcPr>
            <w:tcW w:w="0" w:type="auto"/>
          </w:tcPr>
          <w:p w:rsidR="0067358A" w:rsidRDefault="00000000">
            <w:pPr>
              <w:pStyle w:val="Compact"/>
            </w:pPr>
            <w:r>
              <w:t>Paper</w:t>
            </w:r>
          </w:p>
        </w:tc>
        <w:tc>
          <w:tcPr>
            <w:tcW w:w="0" w:type="auto"/>
          </w:tcPr>
          <w:p w:rsidR="0067358A" w:rsidRDefault="00000000">
            <w:pPr>
              <w:pStyle w:val="Compact"/>
              <w:jc w:val="center"/>
            </w:pPr>
            <w:r>
              <w:t>PMID</w:t>
            </w:r>
          </w:p>
        </w:tc>
        <w:tc>
          <w:tcPr>
            <w:tcW w:w="0" w:type="auto"/>
          </w:tcPr>
          <w:p w:rsidR="0067358A" w:rsidRDefault="00000000">
            <w:pPr>
              <w:pStyle w:val="Compact"/>
              <w:jc w:val="center"/>
            </w:pPr>
            <w:r>
              <w:t>→</w:t>
            </w:r>
            <w:r>
              <w:rPr>
                <w:i/>
                <w:iCs/>
              </w:rPr>
              <w:t>lasI</w:t>
            </w:r>
          </w:p>
        </w:tc>
        <w:tc>
          <w:tcPr>
            <w:tcW w:w="0" w:type="auto"/>
          </w:tcPr>
          <w:p w:rsidR="0067358A" w:rsidRDefault="00000000">
            <w:pPr>
              <w:pStyle w:val="Compact"/>
              <w:jc w:val="center"/>
            </w:pPr>
            <w:r>
              <w:t>→</w:t>
            </w:r>
            <w:r>
              <w:rPr>
                <w:i/>
                <w:iCs/>
              </w:rPr>
              <w:t>lasR</w:t>
            </w:r>
          </w:p>
        </w:tc>
        <w:tc>
          <w:tcPr>
            <w:tcW w:w="0" w:type="auto"/>
          </w:tcPr>
          <w:p w:rsidR="0067358A" w:rsidRDefault="00000000">
            <w:pPr>
              <w:pStyle w:val="Compact"/>
              <w:jc w:val="center"/>
            </w:pPr>
            <w:r>
              <w:t>→</w:t>
            </w:r>
            <w:r>
              <w:rPr>
                <w:i/>
                <w:iCs/>
              </w:rPr>
              <w:t>rhlI</w:t>
            </w:r>
          </w:p>
        </w:tc>
        <w:tc>
          <w:tcPr>
            <w:tcW w:w="0" w:type="auto"/>
          </w:tcPr>
          <w:p w:rsidR="0067358A" w:rsidRDefault="00000000">
            <w:pPr>
              <w:pStyle w:val="Compact"/>
              <w:jc w:val="center"/>
            </w:pPr>
            <w:r>
              <w:t>→</w:t>
            </w:r>
            <w:r>
              <w:rPr>
                <w:i/>
                <w:iCs/>
              </w:rPr>
              <w:t>rhlR</w:t>
            </w:r>
          </w:p>
        </w:tc>
        <w:tc>
          <w:tcPr>
            <w:tcW w:w="0" w:type="auto"/>
          </w:tcPr>
          <w:p w:rsidR="0067358A" w:rsidRDefault="00000000">
            <w:pPr>
              <w:pStyle w:val="Compact"/>
              <w:jc w:val="center"/>
            </w:pPr>
            <w:r>
              <w:t>→elastase</w:t>
            </w:r>
          </w:p>
        </w:tc>
      </w:tr>
      <w:tr w:rsidR="0067358A" w:rsidTr="004C7B73">
        <w:tc>
          <w:tcPr>
            <w:tcW w:w="0" w:type="auto"/>
          </w:tcPr>
          <w:p w:rsidR="0067358A" w:rsidRDefault="00000000">
            <w:pPr>
              <w:pStyle w:val="Compact"/>
            </w:pPr>
            <w:r>
              <w:t>(García-Reyes, Soberón-Chávez, and Cocotl-Yanez 2020)</w:t>
            </w:r>
          </w:p>
        </w:tc>
        <w:tc>
          <w:tcPr>
            <w:tcW w:w="0" w:type="auto"/>
          </w:tcPr>
          <w:p w:rsidR="0067358A" w:rsidRDefault="00000000">
            <w:pPr>
              <w:pStyle w:val="Compact"/>
              <w:jc w:val="center"/>
            </w:pPr>
            <w:hyperlink r:id="rId8">
              <w:r>
                <w:rPr>
                  <w:rStyle w:val="Hyperlink"/>
                </w:rPr>
                <w:t>31794380</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(Rutherford and Bassler 2012)</w:t>
            </w:r>
          </w:p>
        </w:tc>
        <w:tc>
          <w:tcPr>
            <w:tcW w:w="0" w:type="auto"/>
          </w:tcPr>
          <w:p w:rsidR="0067358A" w:rsidRDefault="00000000">
            <w:pPr>
              <w:pStyle w:val="Compact"/>
              <w:jc w:val="center"/>
            </w:pPr>
            <w:hyperlink r:id="rId9">
              <w:r>
                <w:rPr>
                  <w:rStyle w:val="Hyperlink"/>
                </w:rPr>
                <w:t>23125205</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(Proctor, McCarron, and Ternan 2020)</w:t>
            </w:r>
          </w:p>
        </w:tc>
        <w:tc>
          <w:tcPr>
            <w:tcW w:w="0" w:type="auto"/>
          </w:tcPr>
          <w:p w:rsidR="0067358A" w:rsidRDefault="00000000">
            <w:pPr>
              <w:pStyle w:val="Compact"/>
              <w:jc w:val="center"/>
            </w:pPr>
            <w:hyperlink r:id="rId10">
              <w:r>
                <w:rPr>
                  <w:rStyle w:val="Hyperlink"/>
                </w:rPr>
                <w:t>31971503</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(Jakobsen et al. 2013)</w:t>
            </w:r>
          </w:p>
        </w:tc>
        <w:tc>
          <w:tcPr>
            <w:tcW w:w="0" w:type="auto"/>
          </w:tcPr>
          <w:p w:rsidR="0067358A" w:rsidRDefault="00000000">
            <w:pPr>
              <w:pStyle w:val="Compact"/>
              <w:jc w:val="center"/>
            </w:pPr>
            <w:hyperlink r:id="rId11">
              <w:r>
                <w:rPr>
                  <w:rStyle w:val="Hyperlink"/>
                </w:rPr>
                <w:t>23841636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(Soukarieh et al. 2018)</w:t>
            </w:r>
          </w:p>
        </w:tc>
        <w:tc>
          <w:tcPr>
            <w:tcW w:w="0" w:type="auto"/>
          </w:tcPr>
          <w:p w:rsidR="0067358A" w:rsidRDefault="00000000">
            <w:pPr>
              <w:pStyle w:val="Compact"/>
              <w:jc w:val="center"/>
            </w:pPr>
            <w:hyperlink r:id="rId12">
              <w:r>
                <w:rPr>
                  <w:rStyle w:val="Hyperlink"/>
                </w:rPr>
                <w:t>29999316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(Tateda 2005)</w:t>
            </w:r>
          </w:p>
        </w:tc>
        <w:tc>
          <w:tcPr>
            <w:tcW w:w="0" w:type="auto"/>
          </w:tcPr>
          <w:p w:rsidR="0067358A" w:rsidRDefault="00000000">
            <w:pPr>
              <w:pStyle w:val="Compact"/>
              <w:jc w:val="center"/>
            </w:pPr>
            <w:hyperlink r:id="rId13">
              <w:r>
                <w:rPr>
                  <w:rStyle w:val="Hyperlink"/>
                </w:rPr>
                <w:t>15926474</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(Williams et al. 2007)</w:t>
            </w:r>
          </w:p>
        </w:tc>
        <w:tc>
          <w:tcPr>
            <w:tcW w:w="0" w:type="auto"/>
          </w:tcPr>
          <w:p w:rsidR="0067358A" w:rsidRDefault="00000000">
            <w:pPr>
              <w:pStyle w:val="Compact"/>
              <w:jc w:val="center"/>
            </w:pPr>
            <w:hyperlink r:id="rId14">
              <w:r>
                <w:rPr>
                  <w:rStyle w:val="Hyperlink"/>
                </w:rPr>
                <w:t>19249239</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(Heurlier, Dénervaud, and Haas 2006)</w:t>
            </w:r>
          </w:p>
        </w:tc>
        <w:tc>
          <w:tcPr>
            <w:tcW w:w="0" w:type="auto"/>
          </w:tcPr>
          <w:p w:rsidR="0067358A" w:rsidRDefault="00000000">
            <w:pPr>
              <w:pStyle w:val="Compact"/>
              <w:jc w:val="center"/>
            </w:pPr>
            <w:hyperlink r:id="rId15">
              <w:r>
                <w:rPr>
                  <w:rStyle w:val="Hyperlink"/>
                </w:rPr>
                <w:t>16503417</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(Le Berre et al. 2006)</w:t>
            </w:r>
          </w:p>
        </w:tc>
        <w:tc>
          <w:tcPr>
            <w:tcW w:w="0" w:type="auto"/>
          </w:tcPr>
          <w:p w:rsidR="0067358A" w:rsidRDefault="00000000">
            <w:pPr>
              <w:pStyle w:val="Compact"/>
              <w:jc w:val="center"/>
            </w:pPr>
            <w:hyperlink r:id="rId16">
              <w:r>
                <w:rPr>
                  <w:rStyle w:val="Hyperlink"/>
                </w:rPr>
                <w:t>16631332</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(Juhas, Eberl, and Tümmler 2005)</w:t>
            </w:r>
          </w:p>
        </w:tc>
        <w:tc>
          <w:tcPr>
            <w:tcW w:w="0" w:type="auto"/>
          </w:tcPr>
          <w:p w:rsidR="0067358A" w:rsidRDefault="00000000">
            <w:pPr>
              <w:pStyle w:val="Compact"/>
              <w:jc w:val="center"/>
            </w:pPr>
            <w:hyperlink r:id="rId17">
              <w:r>
                <w:rPr>
                  <w:rStyle w:val="Hyperlink"/>
                </w:rPr>
                <w:t>15816912</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(Donabedian 2003)</w:t>
            </w:r>
          </w:p>
        </w:tc>
        <w:tc>
          <w:tcPr>
            <w:tcW w:w="0" w:type="auto"/>
          </w:tcPr>
          <w:p w:rsidR="0067358A" w:rsidRDefault="00000000">
            <w:pPr>
              <w:pStyle w:val="Compact"/>
              <w:jc w:val="center"/>
            </w:pPr>
            <w:hyperlink r:id="rId18">
              <w:r>
                <w:rPr>
                  <w:rStyle w:val="Hyperlink"/>
                </w:rPr>
                <w:t>12799145</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(Reuter, Steinbach, and Helms 2016)</w:t>
            </w:r>
          </w:p>
        </w:tc>
        <w:tc>
          <w:tcPr>
            <w:tcW w:w="0" w:type="auto"/>
          </w:tcPr>
          <w:p w:rsidR="0067358A" w:rsidRDefault="00000000">
            <w:pPr>
              <w:pStyle w:val="Compact"/>
              <w:jc w:val="center"/>
            </w:pPr>
            <w:hyperlink r:id="rId19">
              <w:r>
                <w:rPr>
                  <w:rStyle w:val="Hyperlink"/>
                </w:rPr>
                <w:t>26819549</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(Yong and Zhong 2013)</w:t>
            </w:r>
          </w:p>
        </w:tc>
        <w:tc>
          <w:tcPr>
            <w:tcW w:w="0" w:type="auto"/>
          </w:tcPr>
          <w:p w:rsidR="0067358A" w:rsidRDefault="00000000">
            <w:pPr>
              <w:pStyle w:val="Compact"/>
              <w:jc w:val="center"/>
            </w:pPr>
            <w:hyperlink r:id="rId20">
              <w:r>
                <w:rPr>
                  <w:rStyle w:val="Hyperlink"/>
                </w:rPr>
                <w:t>22767136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(Welsh and Blackwell 2016)</w:t>
            </w:r>
          </w:p>
        </w:tc>
        <w:tc>
          <w:tcPr>
            <w:tcW w:w="0" w:type="auto"/>
          </w:tcPr>
          <w:p w:rsidR="0067358A" w:rsidRDefault="00000000">
            <w:pPr>
              <w:pStyle w:val="Compact"/>
              <w:jc w:val="center"/>
            </w:pPr>
            <w:hyperlink r:id="rId21">
              <w:r>
                <w:rPr>
                  <w:rStyle w:val="Hyperlink"/>
                </w:rPr>
                <w:t>27268906</w:t>
              </w:r>
            </w:hyperlink>
          </w:p>
        </w:tc>
        <w:tc>
          <w:tcPr>
            <w:tcW w:w="0" w:type="auto"/>
          </w:tcPr>
          <w:p w:rsidR="0067358A" w:rsidRDefault="0067358A">
            <w:pPr>
              <w:pStyle w:val="Compact"/>
            </w:pPr>
          </w:p>
        </w:tc>
        <w:tc>
          <w:tcPr>
            <w:tcW w:w="0" w:type="auto"/>
          </w:tcPr>
          <w:p w:rsidR="0067358A" w:rsidRDefault="0067358A">
            <w:pPr>
              <w:pStyle w:val="Compact"/>
            </w:pP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(De Sordi and Mühlschlegel 2009)</w:t>
            </w:r>
          </w:p>
        </w:tc>
        <w:tc>
          <w:tcPr>
            <w:tcW w:w="0" w:type="auto"/>
          </w:tcPr>
          <w:p w:rsidR="0067358A" w:rsidRDefault="00000000">
            <w:pPr>
              <w:pStyle w:val="Compact"/>
              <w:jc w:val="center"/>
            </w:pPr>
            <w:hyperlink r:id="rId22">
              <w:r>
                <w:rPr>
                  <w:rStyle w:val="Hyperlink"/>
                </w:rPr>
                <w:t>19845041</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(Winzer and Williams 2001)</w:t>
            </w:r>
          </w:p>
        </w:tc>
        <w:tc>
          <w:tcPr>
            <w:tcW w:w="0" w:type="auto"/>
          </w:tcPr>
          <w:p w:rsidR="0067358A" w:rsidRDefault="00000000">
            <w:pPr>
              <w:pStyle w:val="Compact"/>
              <w:jc w:val="center"/>
            </w:pPr>
            <w:hyperlink r:id="rId23">
              <w:r>
                <w:rPr>
                  <w:rStyle w:val="Hyperlink"/>
                </w:rPr>
                <w:t>11437336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(Schuster et al. 2013)</w:t>
            </w:r>
          </w:p>
        </w:tc>
        <w:tc>
          <w:tcPr>
            <w:tcW w:w="0" w:type="auto"/>
          </w:tcPr>
          <w:p w:rsidR="0067358A" w:rsidRDefault="00000000">
            <w:pPr>
              <w:pStyle w:val="Compact"/>
              <w:jc w:val="center"/>
            </w:pPr>
            <w:hyperlink r:id="rId24">
              <w:r>
                <w:rPr>
                  <w:rStyle w:val="Hyperlink"/>
                </w:rPr>
                <w:t>23682605</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lastRenderedPageBreak/>
              <w:t>(Papaioannou, Utari, and Quax 2013)</w:t>
            </w:r>
          </w:p>
        </w:tc>
        <w:tc>
          <w:tcPr>
            <w:tcW w:w="0" w:type="auto"/>
          </w:tcPr>
          <w:p w:rsidR="0067358A" w:rsidRDefault="00000000">
            <w:pPr>
              <w:pStyle w:val="Compact"/>
              <w:jc w:val="center"/>
            </w:pPr>
            <w:hyperlink r:id="rId25">
              <w:r>
                <w:rPr>
                  <w:rStyle w:val="Hyperlink"/>
                </w:rPr>
                <w:t>24065108</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(Roy, Adams, and Bentley 2011)</w:t>
            </w:r>
          </w:p>
        </w:tc>
        <w:tc>
          <w:tcPr>
            <w:tcW w:w="0" w:type="auto"/>
          </w:tcPr>
          <w:p w:rsidR="0067358A" w:rsidRDefault="00000000">
            <w:pPr>
              <w:pStyle w:val="Compact"/>
              <w:jc w:val="center"/>
            </w:pPr>
            <w:hyperlink r:id="rId26">
              <w:r>
                <w:rPr>
                  <w:rStyle w:val="Hyperlink"/>
                </w:rPr>
                <w:t>22112397</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bl>
    <w:bookmarkEnd w:id="3"/>
    <w:p w:rsidR="0067358A" w:rsidRDefault="00000000" w:rsidP="004C7B73">
      <w:pPr>
        <w:pStyle w:val="Caption"/>
      </w:pPr>
      <w:r>
        <w:rPr>
          <w:b/>
          <w:bCs/>
        </w:rPr>
        <w:t>Table S.1.</w:t>
      </w:r>
      <w:r>
        <w:t xml:space="preserve"> Activation of QS genes by LasR/3‑oxo‑C</w:t>
      </w:r>
      <w:r>
        <w:rPr>
          <w:vertAlign w:val="subscript"/>
        </w:rPr>
        <w:t>12</w:t>
      </w:r>
      <w:r>
        <w:t>‑HSL in review of published literature. Solid dots indicate positive activation in the paper’s diagram of gene transcription, while hollow dots indicate that the diagram shows no effect. No diagrams indicated repression. Note that some papers made no attempt to indicate particular interactions; several, for example, concentrated strictly on the QS genes themselves and did not show the effect on downstream genes such as those for elastase.</w:t>
      </w:r>
      <w:bookmarkStart w:id="4" w:name="tbl:rhlr"/>
    </w:p>
    <w:tbl>
      <w:tblPr>
        <w:tblStyle w:val="Table"/>
        <w:tblW w:w="0" w:type="auto"/>
        <w:tblLook w:val="0020" w:firstRow="1" w:lastRow="0" w:firstColumn="0" w:lastColumn="0" w:noHBand="0" w:noVBand="0"/>
        <w:tblCaption w:val="Table 2: _rhl_r"/>
      </w:tblPr>
      <w:tblGrid>
        <w:gridCol w:w="3799"/>
        <w:gridCol w:w="1176"/>
        <w:gridCol w:w="816"/>
        <w:gridCol w:w="883"/>
        <w:gridCol w:w="816"/>
        <w:gridCol w:w="883"/>
        <w:gridCol w:w="1203"/>
      </w:tblGrid>
      <w:tr w:rsidR="0067358A" w:rsidTr="004C7B73">
        <w:trPr>
          <w:cnfStyle w:val="100000000000" w:firstRow="1" w:lastRow="0" w:firstColumn="0" w:lastColumn="0" w:oddVBand="0" w:evenVBand="0" w:oddHBand="0" w:evenHBand="0" w:firstRowFirstColumn="0" w:firstRowLastColumn="0" w:lastRowFirstColumn="0" w:lastRowLastColumn="0"/>
          <w:tblHeader/>
        </w:trPr>
        <w:tc>
          <w:tcPr>
            <w:tcW w:w="0" w:type="auto"/>
          </w:tcPr>
          <w:p w:rsidR="0067358A" w:rsidRDefault="00000000">
            <w:pPr>
              <w:pStyle w:val="Compact"/>
            </w:pPr>
            <w:r>
              <w:t>Paper</w:t>
            </w:r>
          </w:p>
        </w:tc>
        <w:tc>
          <w:tcPr>
            <w:tcW w:w="0" w:type="auto"/>
          </w:tcPr>
          <w:p w:rsidR="0067358A" w:rsidRDefault="00000000">
            <w:pPr>
              <w:pStyle w:val="Compact"/>
              <w:jc w:val="center"/>
            </w:pPr>
            <w:r>
              <w:t>PMID</w:t>
            </w:r>
          </w:p>
        </w:tc>
        <w:tc>
          <w:tcPr>
            <w:tcW w:w="0" w:type="auto"/>
          </w:tcPr>
          <w:p w:rsidR="0067358A" w:rsidRDefault="00000000">
            <w:pPr>
              <w:pStyle w:val="Compact"/>
              <w:jc w:val="center"/>
            </w:pPr>
            <w:r>
              <w:t>→</w:t>
            </w:r>
            <w:r>
              <w:rPr>
                <w:i/>
                <w:iCs/>
              </w:rPr>
              <w:t>lasI</w:t>
            </w:r>
          </w:p>
        </w:tc>
        <w:tc>
          <w:tcPr>
            <w:tcW w:w="0" w:type="auto"/>
          </w:tcPr>
          <w:p w:rsidR="0067358A" w:rsidRDefault="00000000">
            <w:pPr>
              <w:pStyle w:val="Compact"/>
              <w:jc w:val="center"/>
            </w:pPr>
            <w:r>
              <w:t>→</w:t>
            </w:r>
            <w:r>
              <w:rPr>
                <w:i/>
                <w:iCs/>
              </w:rPr>
              <w:t>lasR</w:t>
            </w:r>
          </w:p>
        </w:tc>
        <w:tc>
          <w:tcPr>
            <w:tcW w:w="0" w:type="auto"/>
          </w:tcPr>
          <w:p w:rsidR="0067358A" w:rsidRDefault="00000000">
            <w:pPr>
              <w:pStyle w:val="Compact"/>
              <w:jc w:val="center"/>
            </w:pPr>
            <w:r>
              <w:t>→</w:t>
            </w:r>
            <w:r>
              <w:rPr>
                <w:i/>
                <w:iCs/>
              </w:rPr>
              <w:t>rhlI</w:t>
            </w:r>
          </w:p>
        </w:tc>
        <w:tc>
          <w:tcPr>
            <w:tcW w:w="0" w:type="auto"/>
          </w:tcPr>
          <w:p w:rsidR="0067358A" w:rsidRDefault="00000000">
            <w:pPr>
              <w:pStyle w:val="Compact"/>
              <w:jc w:val="center"/>
            </w:pPr>
            <w:r>
              <w:t>→</w:t>
            </w:r>
            <w:r>
              <w:rPr>
                <w:i/>
                <w:iCs/>
              </w:rPr>
              <w:t>rhlR</w:t>
            </w:r>
          </w:p>
        </w:tc>
        <w:tc>
          <w:tcPr>
            <w:tcW w:w="0" w:type="auto"/>
          </w:tcPr>
          <w:p w:rsidR="0067358A" w:rsidRDefault="00000000">
            <w:pPr>
              <w:pStyle w:val="Compact"/>
              <w:jc w:val="center"/>
            </w:pPr>
            <w:r>
              <w:t>→elastase</w:t>
            </w:r>
          </w:p>
        </w:tc>
      </w:tr>
      <w:tr w:rsidR="0067358A" w:rsidTr="004C7B73">
        <w:tc>
          <w:tcPr>
            <w:tcW w:w="0" w:type="auto"/>
          </w:tcPr>
          <w:p w:rsidR="0067358A" w:rsidRDefault="00000000">
            <w:pPr>
              <w:pStyle w:val="Compact"/>
            </w:pPr>
            <w:r>
              <w:t>(García-Reyes, Soberón-Chávez, and Cocotl-Yanez 2020)</w:t>
            </w:r>
          </w:p>
        </w:tc>
        <w:tc>
          <w:tcPr>
            <w:tcW w:w="0" w:type="auto"/>
          </w:tcPr>
          <w:p w:rsidR="0067358A" w:rsidRDefault="00000000">
            <w:pPr>
              <w:pStyle w:val="Compact"/>
              <w:jc w:val="center"/>
            </w:pPr>
            <w:hyperlink r:id="rId27">
              <w:r>
                <w:rPr>
                  <w:rStyle w:val="Hyperlink"/>
                </w:rPr>
                <w:t>31794380</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(Rutherford and Bassler 2012)</w:t>
            </w:r>
          </w:p>
        </w:tc>
        <w:tc>
          <w:tcPr>
            <w:tcW w:w="0" w:type="auto"/>
          </w:tcPr>
          <w:p w:rsidR="0067358A" w:rsidRDefault="00000000">
            <w:pPr>
              <w:pStyle w:val="Compact"/>
              <w:jc w:val="center"/>
            </w:pPr>
            <w:hyperlink r:id="rId28">
              <w:r>
                <w:rPr>
                  <w:rStyle w:val="Hyperlink"/>
                </w:rPr>
                <w:t>23125205</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(Proctor, McCarron, and Ternan 2020)</w:t>
            </w:r>
          </w:p>
        </w:tc>
        <w:tc>
          <w:tcPr>
            <w:tcW w:w="0" w:type="auto"/>
          </w:tcPr>
          <w:p w:rsidR="0067358A" w:rsidRDefault="00000000">
            <w:pPr>
              <w:pStyle w:val="Compact"/>
              <w:jc w:val="center"/>
            </w:pPr>
            <w:hyperlink r:id="rId29">
              <w:r>
                <w:rPr>
                  <w:rStyle w:val="Hyperlink"/>
                </w:rPr>
                <w:t>31971503</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(Jakobsen et al. 2013)</w:t>
            </w:r>
          </w:p>
        </w:tc>
        <w:tc>
          <w:tcPr>
            <w:tcW w:w="0" w:type="auto"/>
          </w:tcPr>
          <w:p w:rsidR="0067358A" w:rsidRDefault="00000000">
            <w:pPr>
              <w:pStyle w:val="Compact"/>
              <w:jc w:val="center"/>
            </w:pPr>
            <w:hyperlink r:id="rId30">
              <w:r>
                <w:rPr>
                  <w:rStyle w:val="Hyperlink"/>
                </w:rPr>
                <w:t>23841636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(Soukarieh et al. 2018)</w:t>
            </w:r>
          </w:p>
        </w:tc>
        <w:tc>
          <w:tcPr>
            <w:tcW w:w="0" w:type="auto"/>
          </w:tcPr>
          <w:p w:rsidR="0067358A" w:rsidRDefault="00000000">
            <w:pPr>
              <w:pStyle w:val="Compact"/>
              <w:jc w:val="center"/>
            </w:pPr>
            <w:hyperlink r:id="rId31">
              <w:r>
                <w:rPr>
                  <w:rStyle w:val="Hyperlink"/>
                </w:rPr>
                <w:t>29999316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(Tateda 2005)</w:t>
            </w:r>
          </w:p>
        </w:tc>
        <w:tc>
          <w:tcPr>
            <w:tcW w:w="0" w:type="auto"/>
          </w:tcPr>
          <w:p w:rsidR="0067358A" w:rsidRDefault="00000000">
            <w:pPr>
              <w:pStyle w:val="Compact"/>
              <w:jc w:val="center"/>
            </w:pPr>
            <w:hyperlink r:id="rId32">
              <w:r>
                <w:rPr>
                  <w:rStyle w:val="Hyperlink"/>
                </w:rPr>
                <w:t>15926474</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(Williams et al. 2007)</w:t>
            </w:r>
          </w:p>
        </w:tc>
        <w:tc>
          <w:tcPr>
            <w:tcW w:w="0" w:type="auto"/>
          </w:tcPr>
          <w:p w:rsidR="0067358A" w:rsidRDefault="00000000">
            <w:pPr>
              <w:pStyle w:val="Compact"/>
              <w:jc w:val="center"/>
            </w:pPr>
            <w:hyperlink r:id="rId33">
              <w:r>
                <w:rPr>
                  <w:rStyle w:val="Hyperlink"/>
                </w:rPr>
                <w:t>19249239</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(Heurlier, Dénervaud, and Haas 2006)</w:t>
            </w:r>
          </w:p>
        </w:tc>
        <w:tc>
          <w:tcPr>
            <w:tcW w:w="0" w:type="auto"/>
          </w:tcPr>
          <w:p w:rsidR="0067358A" w:rsidRDefault="00000000">
            <w:pPr>
              <w:pStyle w:val="Compact"/>
              <w:jc w:val="center"/>
            </w:pPr>
            <w:hyperlink r:id="rId34">
              <w:r>
                <w:rPr>
                  <w:rStyle w:val="Hyperlink"/>
                </w:rPr>
                <w:t>16503417</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(Le Berre et al. 2006)</w:t>
            </w:r>
          </w:p>
        </w:tc>
        <w:tc>
          <w:tcPr>
            <w:tcW w:w="0" w:type="auto"/>
          </w:tcPr>
          <w:p w:rsidR="0067358A" w:rsidRDefault="00000000">
            <w:pPr>
              <w:pStyle w:val="Compact"/>
              <w:jc w:val="center"/>
            </w:pPr>
            <w:hyperlink r:id="rId35">
              <w:r>
                <w:rPr>
                  <w:rStyle w:val="Hyperlink"/>
                </w:rPr>
                <w:t>16631332</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(Juhas, Eberl, and Tümmler 2005)</w:t>
            </w:r>
          </w:p>
        </w:tc>
        <w:tc>
          <w:tcPr>
            <w:tcW w:w="0" w:type="auto"/>
          </w:tcPr>
          <w:p w:rsidR="0067358A" w:rsidRDefault="00000000">
            <w:pPr>
              <w:pStyle w:val="Compact"/>
              <w:jc w:val="center"/>
            </w:pPr>
            <w:hyperlink r:id="rId36">
              <w:r>
                <w:rPr>
                  <w:rStyle w:val="Hyperlink"/>
                </w:rPr>
                <w:t>15816912</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(Donabedian 2003)</w:t>
            </w:r>
          </w:p>
        </w:tc>
        <w:tc>
          <w:tcPr>
            <w:tcW w:w="0" w:type="auto"/>
          </w:tcPr>
          <w:p w:rsidR="0067358A" w:rsidRDefault="00000000">
            <w:pPr>
              <w:pStyle w:val="Compact"/>
              <w:jc w:val="center"/>
            </w:pPr>
            <w:hyperlink r:id="rId37">
              <w:r>
                <w:rPr>
                  <w:rStyle w:val="Hyperlink"/>
                </w:rPr>
                <w:t>12799145</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(Reuter, Steinbach, and Helms 2016)</w:t>
            </w:r>
          </w:p>
        </w:tc>
        <w:tc>
          <w:tcPr>
            <w:tcW w:w="0" w:type="auto"/>
          </w:tcPr>
          <w:p w:rsidR="0067358A" w:rsidRDefault="00000000">
            <w:pPr>
              <w:pStyle w:val="Compact"/>
              <w:jc w:val="center"/>
            </w:pPr>
            <w:hyperlink r:id="rId38">
              <w:r>
                <w:rPr>
                  <w:rStyle w:val="Hyperlink"/>
                </w:rPr>
                <w:t>26819549</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(Yong and Zhong 2013)</w:t>
            </w:r>
          </w:p>
        </w:tc>
        <w:tc>
          <w:tcPr>
            <w:tcW w:w="0" w:type="auto"/>
          </w:tcPr>
          <w:p w:rsidR="0067358A" w:rsidRDefault="00000000">
            <w:pPr>
              <w:pStyle w:val="Compact"/>
              <w:jc w:val="center"/>
            </w:pPr>
            <w:hyperlink r:id="rId39">
              <w:r>
                <w:rPr>
                  <w:rStyle w:val="Hyperlink"/>
                </w:rPr>
                <w:t>22767136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(Welsh and Blackwell 2016)</w:t>
            </w:r>
          </w:p>
        </w:tc>
        <w:tc>
          <w:tcPr>
            <w:tcW w:w="0" w:type="auto"/>
          </w:tcPr>
          <w:p w:rsidR="0067358A" w:rsidRDefault="00000000">
            <w:pPr>
              <w:pStyle w:val="Compact"/>
              <w:jc w:val="center"/>
            </w:pPr>
            <w:hyperlink r:id="rId40">
              <w:r>
                <w:rPr>
                  <w:rStyle w:val="Hyperlink"/>
                </w:rPr>
                <w:t>27268906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c>
          <w:tcPr>
            <w:tcW w:w="0" w:type="auto"/>
          </w:tcPr>
          <w:p w:rsidR="0067358A" w:rsidRDefault="0067358A">
            <w:pPr>
              <w:pStyle w:val="Compact"/>
            </w:pP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(De Sordi and Mühlschlegel 2009)</w:t>
            </w:r>
          </w:p>
        </w:tc>
        <w:tc>
          <w:tcPr>
            <w:tcW w:w="0" w:type="auto"/>
          </w:tcPr>
          <w:p w:rsidR="0067358A" w:rsidRDefault="00000000">
            <w:pPr>
              <w:pStyle w:val="Compact"/>
              <w:jc w:val="center"/>
            </w:pPr>
            <w:hyperlink r:id="rId41">
              <w:r>
                <w:rPr>
                  <w:rStyle w:val="Hyperlink"/>
                </w:rPr>
                <w:t>19845041</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(Winzer and Williams 2001)</w:t>
            </w:r>
          </w:p>
        </w:tc>
        <w:tc>
          <w:tcPr>
            <w:tcW w:w="0" w:type="auto"/>
          </w:tcPr>
          <w:p w:rsidR="0067358A" w:rsidRDefault="00000000">
            <w:pPr>
              <w:pStyle w:val="Compact"/>
              <w:jc w:val="center"/>
            </w:pPr>
            <w:hyperlink r:id="rId42">
              <w:r>
                <w:rPr>
                  <w:rStyle w:val="Hyperlink"/>
                </w:rPr>
                <w:t>11437336</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(Schuster et al. 2013)</w:t>
            </w:r>
          </w:p>
        </w:tc>
        <w:tc>
          <w:tcPr>
            <w:tcW w:w="0" w:type="auto"/>
          </w:tcPr>
          <w:p w:rsidR="0067358A" w:rsidRDefault="00000000">
            <w:pPr>
              <w:pStyle w:val="Compact"/>
              <w:jc w:val="center"/>
            </w:pPr>
            <w:hyperlink r:id="rId43">
              <w:r>
                <w:rPr>
                  <w:rStyle w:val="Hyperlink"/>
                </w:rPr>
                <w:t>23682605</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r w:rsidR="0067358A" w:rsidTr="004C7B73">
        <w:tc>
          <w:tcPr>
            <w:tcW w:w="0" w:type="auto"/>
          </w:tcPr>
          <w:p w:rsidR="0067358A" w:rsidRDefault="00000000">
            <w:pPr>
              <w:pStyle w:val="Compact"/>
            </w:pPr>
            <w:r>
              <w:t>(Papaioannou, Utari, and Quax 2013)</w:t>
            </w:r>
          </w:p>
        </w:tc>
        <w:tc>
          <w:tcPr>
            <w:tcW w:w="0" w:type="auto"/>
          </w:tcPr>
          <w:p w:rsidR="0067358A" w:rsidRDefault="00000000">
            <w:pPr>
              <w:pStyle w:val="Compact"/>
              <w:jc w:val="center"/>
            </w:pPr>
            <w:hyperlink r:id="rId44">
              <w:r>
                <w:rPr>
                  <w:rStyle w:val="Hyperlink"/>
                </w:rPr>
                <w:t>24065108</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r>
      <w:tr w:rsidR="0067358A" w:rsidTr="004C7B73">
        <w:tc>
          <w:tcPr>
            <w:tcW w:w="0" w:type="auto"/>
          </w:tcPr>
          <w:p w:rsidR="0067358A" w:rsidRDefault="00000000">
            <w:pPr>
              <w:pStyle w:val="Compact"/>
            </w:pPr>
            <w:r>
              <w:t>(Roy, Adams, and Bentley 2011)</w:t>
            </w:r>
          </w:p>
        </w:tc>
        <w:tc>
          <w:tcPr>
            <w:tcW w:w="0" w:type="auto"/>
          </w:tcPr>
          <w:p w:rsidR="0067358A" w:rsidRDefault="00000000">
            <w:pPr>
              <w:pStyle w:val="Compact"/>
              <w:jc w:val="center"/>
            </w:pPr>
            <w:hyperlink r:id="rId45">
              <w:r>
                <w:rPr>
                  <w:rStyle w:val="Hyperlink"/>
                </w:rPr>
                <w:t>22112397</w:t>
              </w:r>
            </w:hyperlink>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000000">
            <w:pPr>
              <w:pStyle w:val="Compact"/>
              <w:jc w:val="center"/>
            </w:pPr>
            <w:r>
              <w:t>○</w:t>
            </w:r>
          </w:p>
        </w:tc>
        <w:tc>
          <w:tcPr>
            <w:tcW w:w="0" w:type="auto"/>
          </w:tcPr>
          <w:p w:rsidR="0067358A" w:rsidRDefault="0067358A">
            <w:pPr>
              <w:pStyle w:val="Compact"/>
            </w:pPr>
          </w:p>
        </w:tc>
      </w:tr>
    </w:tbl>
    <w:bookmarkEnd w:id="4"/>
    <w:p w:rsidR="0067358A" w:rsidRDefault="00000000">
      <w:pPr>
        <w:pStyle w:val="Caption"/>
      </w:pPr>
      <w:r>
        <w:rPr>
          <w:b/>
          <w:bCs/>
        </w:rPr>
        <w:t>Table S.2.</w:t>
      </w:r>
      <w:r>
        <w:t xml:space="preserve"> Activation of QS genes by RhlR/C</w:t>
      </w:r>
      <w:r>
        <w:rPr>
          <w:vertAlign w:val="subscript"/>
        </w:rPr>
        <w:t>4</w:t>
      </w:r>
      <w:r>
        <w:t>‑HSL in review of published literature. Same notation as previous table.</w:t>
      </w:r>
    </w:p>
    <w:p w:rsidR="0067358A" w:rsidRDefault="00000000">
      <w:pPr>
        <w:pStyle w:val="Heading2"/>
      </w:pPr>
      <w:bookmarkStart w:id="5" w:name="references"/>
      <w:bookmarkEnd w:id="1"/>
      <w:bookmarkEnd w:id="2"/>
      <w:r>
        <w:lastRenderedPageBreak/>
        <w:t>References</w:t>
      </w:r>
    </w:p>
    <w:p w:rsidR="0067358A" w:rsidRDefault="00000000">
      <w:pPr>
        <w:pStyle w:val="Bibliography"/>
      </w:pPr>
      <w:bookmarkStart w:id="6" w:name="ref-DeSordi2009"/>
      <w:bookmarkStart w:id="7" w:name="refs"/>
      <w:r>
        <w:t xml:space="preserve">De Sordi, L, and FA Mühlschlegel. 2009. “Quorum Sensing and Fungal-Bacterial Interactions in </w:t>
      </w:r>
      <w:r>
        <w:rPr>
          <w:i/>
          <w:iCs/>
        </w:rPr>
        <w:t>Candida Albicans:</w:t>
      </w:r>
      <w:r>
        <w:t xml:space="preserve"> A Communicative Network Regulating Microbial Coexistence and Virulence.” </w:t>
      </w:r>
      <w:r>
        <w:rPr>
          <w:i/>
          <w:iCs/>
        </w:rPr>
        <w:t>FEMS Yeast Res</w:t>
      </w:r>
      <w:r>
        <w:t xml:space="preserve"> 9 (7): 990–99.</w:t>
      </w:r>
    </w:p>
    <w:p w:rsidR="0067358A" w:rsidRDefault="00000000">
      <w:pPr>
        <w:pStyle w:val="Bibliography"/>
      </w:pPr>
      <w:bookmarkStart w:id="8" w:name="ref-Donabedian2003"/>
      <w:bookmarkEnd w:id="6"/>
      <w:r>
        <w:t xml:space="preserve">Donabedian, H. 2003. “Quorum Sensing and Its Relevance to Infectious Diseases.” </w:t>
      </w:r>
      <w:r>
        <w:rPr>
          <w:i/>
          <w:iCs/>
        </w:rPr>
        <w:t>J Infect</w:t>
      </w:r>
      <w:r>
        <w:t xml:space="preserve"> 46 (4): 207–14.</w:t>
      </w:r>
    </w:p>
    <w:p w:rsidR="0067358A" w:rsidRDefault="00000000">
      <w:pPr>
        <w:pStyle w:val="Bibliography"/>
      </w:pPr>
      <w:bookmarkStart w:id="9" w:name="ref-GarcíaReyes2020"/>
      <w:bookmarkEnd w:id="8"/>
      <w:r>
        <w:t xml:space="preserve">García-Reyes, S, G Soberón-Chávez, and M Cocotl-Yanez. 2020. “The Third Quorum-Sensing System of </w:t>
      </w:r>
      <w:r>
        <w:rPr>
          <w:i/>
          <w:iCs/>
        </w:rPr>
        <w:t>Pseudomonas Aeruginosa:</w:t>
      </w:r>
      <w:r>
        <w:t xml:space="preserve"> Pseudomonas Quinolone Signal and the Enigmatic PqsE Protein.” </w:t>
      </w:r>
      <w:r>
        <w:rPr>
          <w:i/>
          <w:iCs/>
        </w:rPr>
        <w:t>J Med Microbiol</w:t>
      </w:r>
      <w:r>
        <w:t xml:space="preserve"> 69 (1): 25–34.</w:t>
      </w:r>
    </w:p>
    <w:p w:rsidR="0067358A" w:rsidRDefault="00000000">
      <w:pPr>
        <w:pStyle w:val="Bibliography"/>
      </w:pPr>
      <w:bookmarkStart w:id="10" w:name="ref-Heurlier2006"/>
      <w:bookmarkEnd w:id="9"/>
      <w:r>
        <w:t xml:space="preserve">Heurlier, K, V Dénervaud, and D Haas. 2006. “Impact of Quorum Sensing on Fitness of </w:t>
      </w:r>
      <w:r>
        <w:rPr>
          <w:i/>
          <w:iCs/>
        </w:rPr>
        <w:t>Pseudomonas Aeruginosa.</w:t>
      </w:r>
      <w:r>
        <w:t xml:space="preserve">” </w:t>
      </w:r>
      <w:r>
        <w:rPr>
          <w:i/>
          <w:iCs/>
        </w:rPr>
        <w:t>Int J Med Microbiol</w:t>
      </w:r>
      <w:r>
        <w:t xml:space="preserve"> 296 (2-3): 93–102.</w:t>
      </w:r>
    </w:p>
    <w:p w:rsidR="0067358A" w:rsidRDefault="00000000">
      <w:pPr>
        <w:pStyle w:val="Bibliography"/>
      </w:pPr>
      <w:bookmarkStart w:id="11" w:name="ref-Jakobsen2013"/>
      <w:bookmarkEnd w:id="10"/>
      <w:r>
        <w:t xml:space="preserve">Jakobsen, TH, T Bjarnsholt, PØ Jensen, M Givskov, and N Høiby. 2013. “Targeting Quorum Sensing in </w:t>
      </w:r>
      <w:r>
        <w:rPr>
          <w:i/>
          <w:iCs/>
        </w:rPr>
        <w:t>Pseudomonas Aeruginosa</w:t>
      </w:r>
      <w:r>
        <w:t xml:space="preserve"> Biofilms: Current and Emerging Inhibitors.” </w:t>
      </w:r>
      <w:r>
        <w:rPr>
          <w:i/>
          <w:iCs/>
        </w:rPr>
        <w:t>Future Microbiol</w:t>
      </w:r>
      <w:r>
        <w:t xml:space="preserve"> 8 (7): 901–21.</w:t>
      </w:r>
    </w:p>
    <w:p w:rsidR="0067358A" w:rsidRDefault="00000000">
      <w:pPr>
        <w:pStyle w:val="Bibliography"/>
      </w:pPr>
      <w:bookmarkStart w:id="12" w:name="ref-Juhas2005"/>
      <w:bookmarkEnd w:id="11"/>
      <w:r>
        <w:t xml:space="preserve">Juhas, M, L Eberl, and B Tümmler. 2005. “Quorum Sensing: The Power of Cooperation in the World of </w:t>
      </w:r>
      <w:r>
        <w:rPr>
          <w:i/>
          <w:iCs/>
        </w:rPr>
        <w:t>Pseudomonas.</w:t>
      </w:r>
      <w:r>
        <w:t xml:space="preserve">” </w:t>
      </w:r>
      <w:r>
        <w:rPr>
          <w:i/>
          <w:iCs/>
        </w:rPr>
        <w:t>Environ Microbiol</w:t>
      </w:r>
      <w:r>
        <w:t xml:space="preserve"> 7 (4): 459–71.</w:t>
      </w:r>
    </w:p>
    <w:p w:rsidR="0067358A" w:rsidRDefault="00000000">
      <w:pPr>
        <w:pStyle w:val="Bibliography"/>
      </w:pPr>
      <w:bookmarkStart w:id="13" w:name="ref-LeBerre2006"/>
      <w:bookmarkEnd w:id="12"/>
      <w:r>
        <w:t xml:space="preserve">Le Berre, R, K Faure, S Nguyen, M Pierre, F Ader, and B Guery. 2006. “[Quorum Sensing: A New Clinical Target for </w:t>
      </w:r>
      <w:r>
        <w:rPr>
          <w:i/>
          <w:iCs/>
        </w:rPr>
        <w:t>Pseudomonas Aeruginosa</w:t>
      </w:r>
      <w:r>
        <w:t xml:space="preserve">?].” </w:t>
      </w:r>
      <w:r>
        <w:rPr>
          <w:i/>
          <w:iCs/>
        </w:rPr>
        <w:t>Med Mal Infect</w:t>
      </w:r>
      <w:r>
        <w:t xml:space="preserve"> 36 (7): 349–57.</w:t>
      </w:r>
    </w:p>
    <w:p w:rsidR="0067358A" w:rsidRDefault="00000000">
      <w:pPr>
        <w:pStyle w:val="Bibliography"/>
      </w:pPr>
      <w:bookmarkStart w:id="14" w:name="ref-Papaioannou2013"/>
      <w:bookmarkEnd w:id="13"/>
      <w:r>
        <w:t xml:space="preserve">Papaioannou, E, PD Utari, and WJ Quax. 2013. “Choosing an Appropriate Infection Model to Study Quorum Sensing Inhibition in </w:t>
      </w:r>
      <w:r>
        <w:rPr>
          <w:i/>
          <w:iCs/>
        </w:rPr>
        <w:t>Pseudomonas</w:t>
      </w:r>
      <w:r>
        <w:t xml:space="preserve"> Infections.” </w:t>
      </w:r>
      <w:r>
        <w:rPr>
          <w:i/>
          <w:iCs/>
        </w:rPr>
        <w:t>Int J Mol Sci</w:t>
      </w:r>
      <w:r>
        <w:t xml:space="preserve"> 14 (9): 19309–40.</w:t>
      </w:r>
    </w:p>
    <w:p w:rsidR="0067358A" w:rsidRDefault="00000000">
      <w:pPr>
        <w:pStyle w:val="Bibliography"/>
      </w:pPr>
      <w:bookmarkStart w:id="15" w:name="ref-Proctor2020"/>
      <w:bookmarkEnd w:id="14"/>
      <w:r>
        <w:t xml:space="preserve">Proctor, CR, PA McCarron, and NG Ternan. 2020. “Furanone Quorum-Sensing Inhibitors with Potential as Novel Therapeutics Against </w:t>
      </w:r>
      <w:r>
        <w:rPr>
          <w:i/>
          <w:iCs/>
        </w:rPr>
        <w:t>Pseudomonas Aeruginosa.</w:t>
      </w:r>
      <w:r>
        <w:t xml:space="preserve">” </w:t>
      </w:r>
      <w:r>
        <w:rPr>
          <w:i/>
          <w:iCs/>
        </w:rPr>
        <w:t>J Med Microbiol</w:t>
      </w:r>
      <w:r>
        <w:t xml:space="preserve"> 69 (2): 195–206.</w:t>
      </w:r>
    </w:p>
    <w:p w:rsidR="0067358A" w:rsidRDefault="00000000">
      <w:pPr>
        <w:pStyle w:val="Bibliography"/>
      </w:pPr>
      <w:bookmarkStart w:id="16" w:name="ref-Reuter2016"/>
      <w:bookmarkEnd w:id="15"/>
      <w:r>
        <w:t xml:space="preserve">Reuter, K, A Steinbach, and V Helms. 2016. “Interfering with Bacterial Quorum Sensing.” </w:t>
      </w:r>
      <w:r>
        <w:rPr>
          <w:i/>
          <w:iCs/>
        </w:rPr>
        <w:t>Perspect Medicin Chem</w:t>
      </w:r>
      <w:r>
        <w:t xml:space="preserve"> 8: 1–15.</w:t>
      </w:r>
    </w:p>
    <w:p w:rsidR="0067358A" w:rsidRDefault="00000000">
      <w:pPr>
        <w:pStyle w:val="Bibliography"/>
      </w:pPr>
      <w:bookmarkStart w:id="17" w:name="ref-Roy2011"/>
      <w:bookmarkEnd w:id="16"/>
      <w:r>
        <w:t xml:space="preserve">Roy, V, BL Adams, and WE Bentley. 2011. “Developing Next Generation Antimicrobials by Intercepting AI-2 Mediated Quorum Sensing.” </w:t>
      </w:r>
      <w:r>
        <w:rPr>
          <w:i/>
          <w:iCs/>
        </w:rPr>
        <w:t>Enzyme Microb Technol</w:t>
      </w:r>
      <w:r>
        <w:t xml:space="preserve"> 49 (2): 113–23.</w:t>
      </w:r>
    </w:p>
    <w:p w:rsidR="0067358A" w:rsidRDefault="00000000">
      <w:pPr>
        <w:pStyle w:val="Bibliography"/>
      </w:pPr>
      <w:bookmarkStart w:id="18" w:name="ref-Rutherford2012"/>
      <w:bookmarkEnd w:id="17"/>
      <w:r>
        <w:t xml:space="preserve">Rutherford, ST, and BL Bassler. 2012. “Bacterial Quorum Sensing: Its Role in Virulence and Possibilities for Its Control.” </w:t>
      </w:r>
      <w:r>
        <w:rPr>
          <w:i/>
          <w:iCs/>
        </w:rPr>
        <w:t>Cold Spring Harb Perspect Med</w:t>
      </w:r>
      <w:r>
        <w:t xml:space="preserve"> 2 (11): a012427.</w:t>
      </w:r>
    </w:p>
    <w:p w:rsidR="0067358A" w:rsidRDefault="00000000">
      <w:pPr>
        <w:pStyle w:val="Bibliography"/>
      </w:pPr>
      <w:bookmarkStart w:id="19" w:name="ref-Schuster2013"/>
      <w:bookmarkEnd w:id="18"/>
      <w:r>
        <w:t xml:space="preserve">Schuster, M, DJ Sexton, SP Diggle, and EP Greenberg. 2013. “Acyl-Homoserine Lactone Quorum Sensing: From Evolution to Application.” </w:t>
      </w:r>
      <w:r>
        <w:rPr>
          <w:i/>
          <w:iCs/>
        </w:rPr>
        <w:t>Annu Rev Microbiol</w:t>
      </w:r>
      <w:r>
        <w:t xml:space="preserve"> 67: 43–63.</w:t>
      </w:r>
    </w:p>
    <w:p w:rsidR="0067358A" w:rsidRDefault="00000000">
      <w:pPr>
        <w:pStyle w:val="Bibliography"/>
      </w:pPr>
      <w:bookmarkStart w:id="20" w:name="ref-Soukarieh2018"/>
      <w:bookmarkEnd w:id="19"/>
      <w:r>
        <w:t>Soukarieh, F, P Williams, MJ Stocks, and M Cámara. 2018. “</w:t>
      </w:r>
      <w:r>
        <w:rPr>
          <w:i/>
          <w:iCs/>
        </w:rPr>
        <w:t>Pseudomonas Aeruginosa</w:t>
      </w:r>
      <w:r>
        <w:t xml:space="preserve"> Quorum Sensing Systems as Drug Discovery Targets: Current Position and Future Perspectives.” </w:t>
      </w:r>
      <w:r>
        <w:rPr>
          <w:i/>
          <w:iCs/>
        </w:rPr>
        <w:t>J Med Chem</w:t>
      </w:r>
      <w:r>
        <w:t xml:space="preserve"> 61 (23): 10385–402.</w:t>
      </w:r>
    </w:p>
    <w:p w:rsidR="0067358A" w:rsidRDefault="00000000">
      <w:pPr>
        <w:pStyle w:val="Bibliography"/>
      </w:pPr>
      <w:bookmarkStart w:id="21" w:name="ref-Tateda2005"/>
      <w:bookmarkEnd w:id="20"/>
      <w:r>
        <w:t>Tateda, K. 2005. “[</w:t>
      </w:r>
      <w:r>
        <w:rPr>
          <w:i/>
          <w:iCs/>
        </w:rPr>
        <w:t>Pseudomonas Aeruginosa</w:t>
      </w:r>
      <w:r>
        <w:t xml:space="preserve"> Infection and the Quorum-Sensing Mechanism].” </w:t>
      </w:r>
      <w:r>
        <w:rPr>
          <w:i/>
          <w:iCs/>
        </w:rPr>
        <w:t>Nihon Naika Gakkai Zasshi</w:t>
      </w:r>
      <w:r>
        <w:t xml:space="preserve"> 94 (5): 999–1004.</w:t>
      </w:r>
    </w:p>
    <w:p w:rsidR="0067358A" w:rsidRDefault="00000000">
      <w:pPr>
        <w:pStyle w:val="Bibliography"/>
      </w:pPr>
      <w:bookmarkStart w:id="22" w:name="ref-Welsh2016"/>
      <w:bookmarkEnd w:id="21"/>
      <w:r>
        <w:lastRenderedPageBreak/>
        <w:t xml:space="preserve">Welsh, MA, and HE Blackwell. 2016. “Chemical Probes of Quorum Sensing: From Compound Development to Biological Discovery.” </w:t>
      </w:r>
      <w:r>
        <w:rPr>
          <w:i/>
          <w:iCs/>
        </w:rPr>
        <w:t>FEMS Microbiol Rev</w:t>
      </w:r>
      <w:r>
        <w:t xml:space="preserve"> 40 (5): 774–94.</w:t>
      </w:r>
    </w:p>
    <w:p w:rsidR="0067358A" w:rsidRDefault="00000000">
      <w:pPr>
        <w:pStyle w:val="Bibliography"/>
      </w:pPr>
      <w:bookmarkStart w:id="23" w:name="ref-Williams2007"/>
      <w:bookmarkEnd w:id="22"/>
      <w:r>
        <w:t xml:space="preserve">Williams, P, K Winzer, WC Chan, and M Cámara. 2007. “Look Who’s Talking: Communication and Quorum Sensing in the Bacterial World.” </w:t>
      </w:r>
      <w:r>
        <w:rPr>
          <w:i/>
          <w:iCs/>
        </w:rPr>
        <w:t>Philos Trans R Soc Lond B Biol Sci</w:t>
      </w:r>
      <w:r>
        <w:t xml:space="preserve"> 362 (1483): 1119–34.</w:t>
      </w:r>
    </w:p>
    <w:p w:rsidR="0067358A" w:rsidRDefault="00000000">
      <w:pPr>
        <w:pStyle w:val="Bibliography"/>
      </w:pPr>
      <w:bookmarkStart w:id="24" w:name="ref-Winzer2001"/>
      <w:bookmarkEnd w:id="23"/>
      <w:r>
        <w:t xml:space="preserve">Winzer, K, and P Williams. 2001. “Quorum Sensing and the Regulation of Virulence Gene Expression in Pathogenic Bacteria.” </w:t>
      </w:r>
      <w:r>
        <w:rPr>
          <w:i/>
          <w:iCs/>
        </w:rPr>
        <w:t>Int J Med Microbiol</w:t>
      </w:r>
      <w:r>
        <w:t xml:space="preserve"> 291 (2): 131–43.</w:t>
      </w:r>
    </w:p>
    <w:p w:rsidR="0067358A" w:rsidRDefault="00000000">
      <w:pPr>
        <w:pStyle w:val="Bibliography"/>
      </w:pPr>
      <w:bookmarkStart w:id="25" w:name="ref-Yong2013"/>
      <w:bookmarkEnd w:id="24"/>
      <w:r>
        <w:t xml:space="preserve">Yong, YC, and JJ Zhong. 2013. “Impacts of Quorum Sensing on Microbial Metabolism and Human Health.” </w:t>
      </w:r>
      <w:r>
        <w:rPr>
          <w:i/>
          <w:iCs/>
        </w:rPr>
        <w:t>Adv Biochem Eng Biotechnol</w:t>
      </w:r>
      <w:r>
        <w:t xml:space="preserve"> 131: 25–61.</w:t>
      </w:r>
      <w:bookmarkEnd w:id="0"/>
      <w:bookmarkEnd w:id="5"/>
      <w:bookmarkEnd w:id="7"/>
      <w:bookmarkEnd w:id="25"/>
    </w:p>
    <w:sectPr w:rsidR="006735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17F" w:rsidRDefault="00F7217F">
      <w:pPr>
        <w:spacing w:after="0"/>
      </w:pPr>
      <w:r>
        <w:separator/>
      </w:r>
    </w:p>
  </w:endnote>
  <w:endnote w:type="continuationSeparator" w:id="0">
    <w:p w:rsidR="00F7217F" w:rsidRDefault="00F72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17F" w:rsidRDefault="00F7217F">
      <w:r>
        <w:separator/>
      </w:r>
    </w:p>
  </w:footnote>
  <w:footnote w:type="continuationSeparator" w:id="0">
    <w:p w:rsidR="00F7217F" w:rsidRDefault="00F72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706D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49E40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2322912">
    <w:abstractNumId w:val="1"/>
  </w:num>
  <w:num w:numId="2" w16cid:durableId="23389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358A"/>
    <w:rsid w:val="004C7B73"/>
    <w:rsid w:val="0067358A"/>
    <w:rsid w:val="00F721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14C81"/>
  <w15:docId w15:val="{C8E7FA1A-DDA7-FF4F-9884-2783C9DC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20F"/>
    <w:rPr>
      <w:rFonts w:ascii="Times New Roman" w:hAnsi="Times New Roman"/>
    </w:rPr>
  </w:style>
  <w:style w:type="paragraph" w:styleId="Heading1">
    <w:name w:val="heading 1"/>
    <w:basedOn w:val="Normal"/>
    <w:next w:val="BodyText"/>
    <w:uiPriority w:val="9"/>
    <w:qFormat/>
    <w:rsid w:val="0000020F"/>
    <w:pPr>
      <w:keepNext/>
      <w:keepLines/>
      <w:spacing w:before="480" w:after="0"/>
      <w:outlineLvl w:val="0"/>
    </w:pPr>
    <w:rPr>
      <w:rFonts w:ascii="Arial" w:eastAsiaTheme="majorEastAsia" w:hAnsi="Arial" w:cstheme="majorBidi"/>
      <w:b/>
      <w:bCs/>
      <w:color w:val="000000" w:themeColor="text1"/>
      <w:sz w:val="32"/>
      <w:szCs w:val="32"/>
    </w:rPr>
  </w:style>
  <w:style w:type="paragraph" w:styleId="Heading2">
    <w:name w:val="heading 2"/>
    <w:basedOn w:val="Normal"/>
    <w:next w:val="BodyText"/>
    <w:uiPriority w:val="9"/>
    <w:unhideWhenUsed/>
    <w:qFormat/>
    <w:rsid w:val="0000020F"/>
    <w:pPr>
      <w:keepNext/>
      <w:keepLines/>
      <w:spacing w:before="20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BodyText"/>
    <w:uiPriority w:val="9"/>
    <w:unhideWhenUsed/>
    <w:qFormat/>
    <w:rsid w:val="0000020F"/>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BodyText"/>
    <w:uiPriority w:val="9"/>
    <w:unhideWhenUsed/>
    <w:qFormat/>
    <w:rsid w:val="0000020F"/>
    <w:pPr>
      <w:keepNext/>
      <w:keepLines/>
      <w:spacing w:before="200" w:after="0"/>
      <w:outlineLvl w:val="3"/>
    </w:pPr>
    <w:rPr>
      <w:rFonts w:ascii="Arial" w:eastAsiaTheme="majorEastAsia" w:hAnsi="Arial" w:cstheme="majorBidi"/>
      <w:bCs/>
      <w:i/>
      <w:color w:val="000000" w:themeColor="text1"/>
    </w:rPr>
  </w:style>
  <w:style w:type="paragraph" w:styleId="Heading5">
    <w:name w:val="heading 5"/>
    <w:basedOn w:val="Normal"/>
    <w:next w:val="BodyText"/>
    <w:uiPriority w:val="9"/>
    <w:unhideWhenUsed/>
    <w:qFormat/>
    <w:rsid w:val="0000020F"/>
    <w:pPr>
      <w:keepNext/>
      <w:keepLines/>
      <w:spacing w:before="200" w:after="0"/>
      <w:outlineLvl w:val="4"/>
    </w:pPr>
    <w:rPr>
      <w:rFonts w:ascii="Arial" w:eastAsiaTheme="majorEastAsia" w:hAnsi="Arial" w:cstheme="majorBidi"/>
      <w:iCs/>
      <w:color w:val="000000" w:themeColor="text1"/>
    </w:rPr>
  </w:style>
  <w:style w:type="paragraph" w:styleId="Heading6">
    <w:name w:val="heading 6"/>
    <w:basedOn w:val="Normal"/>
    <w:next w:val="BodyText"/>
    <w:uiPriority w:val="9"/>
    <w:unhideWhenUsed/>
    <w:qFormat/>
    <w:rsid w:val="0000020F"/>
    <w:pPr>
      <w:keepNext/>
      <w:keepLines/>
      <w:spacing w:before="200" w:after="0"/>
      <w:outlineLvl w:val="5"/>
    </w:pPr>
    <w:rPr>
      <w:rFonts w:ascii="Arial" w:eastAsiaTheme="majorEastAsia" w:hAnsi="Arial" w:cstheme="majorBidi"/>
      <w:color w:val="000000" w:themeColor="text1"/>
    </w:rPr>
  </w:style>
  <w:style w:type="paragraph" w:styleId="Heading7">
    <w:name w:val="heading 7"/>
    <w:basedOn w:val="Normal"/>
    <w:next w:val="BodyText"/>
    <w:uiPriority w:val="9"/>
    <w:unhideWhenUsed/>
    <w:qFormat/>
    <w:rsid w:val="0000020F"/>
    <w:pPr>
      <w:keepNext/>
      <w:keepLines/>
      <w:spacing w:before="200" w:after="0"/>
      <w:outlineLvl w:val="6"/>
    </w:pPr>
    <w:rPr>
      <w:rFonts w:ascii="Arial" w:eastAsiaTheme="majorEastAsia" w:hAnsi="Arial" w:cstheme="majorBidi"/>
      <w:color w:val="000000" w:themeColor="text1"/>
    </w:rPr>
  </w:style>
  <w:style w:type="paragraph" w:styleId="Heading8">
    <w:name w:val="heading 8"/>
    <w:basedOn w:val="Normal"/>
    <w:next w:val="BodyText"/>
    <w:uiPriority w:val="9"/>
    <w:unhideWhenUsed/>
    <w:qFormat/>
    <w:rsid w:val="0000020F"/>
    <w:pPr>
      <w:keepNext/>
      <w:keepLines/>
      <w:spacing w:before="200" w:after="0"/>
      <w:outlineLvl w:val="7"/>
    </w:pPr>
    <w:rPr>
      <w:rFonts w:ascii="Arial" w:eastAsiaTheme="majorEastAsia" w:hAnsi="Arial" w:cstheme="majorBidi"/>
      <w:color w:val="000000" w:themeColor="text1"/>
    </w:rPr>
  </w:style>
  <w:style w:type="paragraph" w:styleId="Heading9">
    <w:name w:val="heading 9"/>
    <w:basedOn w:val="Normal"/>
    <w:next w:val="BodyText"/>
    <w:uiPriority w:val="9"/>
    <w:unhideWhenUsed/>
    <w:qFormat/>
    <w:rsid w:val="0000020F"/>
    <w:pPr>
      <w:keepNext/>
      <w:keepLines/>
      <w:spacing w:before="200" w:after="0"/>
      <w:outlineLvl w:val="8"/>
    </w:pPr>
    <w:rPr>
      <w:rFonts w:ascii="Arial" w:eastAsiaTheme="majorEastAsia" w:hAnsi="Arial"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0020F"/>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0020F"/>
    <w:pPr>
      <w:keepNext/>
      <w:keepLines/>
      <w:jc w:val="center"/>
    </w:pPr>
    <w:rPr>
      <w:rFonts w:ascii="Times New Roman" w:hAnsi="Times New Roman"/>
    </w:rPr>
  </w:style>
  <w:style w:type="paragraph" w:styleId="Date">
    <w:name w:val="Date"/>
    <w:next w:val="BodyText"/>
    <w:qFormat/>
    <w:rsid w:val="0000020F"/>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144B3A"/>
    <w:pPr>
      <w:spacing w:before="240"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44B3A"/>
    <w:pPr>
      <w:spacing w:before="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144B3A"/>
    <w:rPr>
      <w:rFonts w:ascii="Times New Roman" w:hAnsi="Times New Roman"/>
      <w:i/>
    </w:rPr>
  </w:style>
  <w:style w:type="character" w:customStyle="1" w:styleId="VerbatimChar">
    <w:name w:val="Verbatim Char"/>
    <w:basedOn w:val="CaptionChar"/>
    <w:link w:val="SourceCode"/>
    <w:rsid w:val="007D0AF9"/>
    <w:rPr>
      <w:rFonts w:ascii="Courier New" w:hAnsi="Courier New"/>
      <w:i/>
      <w:sz w:val="22"/>
    </w:rPr>
  </w:style>
  <w:style w:type="character" w:customStyle="1" w:styleId="SectionNumber">
    <w:name w:val="Section Number"/>
    <w:basedOn w:val="CaptionChar"/>
    <w:rPr>
      <w:rFonts w:ascii="Times New Roman" w:hAnsi="Times New Roman"/>
      <w:i/>
    </w:rPr>
  </w:style>
  <w:style w:type="character" w:styleId="FootnoteReference">
    <w:name w:val="footnote reference"/>
    <w:basedOn w:val="CaptionChar"/>
    <w:rPr>
      <w:rFonts w:ascii="Times New Roman" w:hAnsi="Times New Roman"/>
      <w:i/>
      <w:vertAlign w:val="superscript"/>
    </w:rPr>
  </w:style>
  <w:style w:type="character" w:styleId="Hyperlink">
    <w:name w:val="Hyperlink"/>
    <w:basedOn w:val="CaptionChar"/>
    <w:rsid w:val="007D0AF9"/>
    <w:rPr>
      <w:rFonts w:ascii="Times New Roman" w:hAnsi="Times New Roman"/>
      <w:i/>
      <w:color w:val="1F497D" w:themeColor="text2"/>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color w:val="007020"/>
      <w:sz w:val="22"/>
    </w:rPr>
  </w:style>
  <w:style w:type="character" w:customStyle="1" w:styleId="DataTypeTok">
    <w:name w:val="DataTypeTok"/>
    <w:basedOn w:val="VerbatimChar"/>
    <w:rPr>
      <w:rFonts w:ascii="Courier New" w:hAnsi="Courier New"/>
      <w:i/>
      <w:color w:val="902000"/>
      <w:sz w:val="22"/>
    </w:rPr>
  </w:style>
  <w:style w:type="character" w:customStyle="1" w:styleId="DecValTok">
    <w:name w:val="DecValTok"/>
    <w:basedOn w:val="VerbatimChar"/>
    <w:rPr>
      <w:rFonts w:ascii="Courier New" w:hAnsi="Courier New"/>
      <w:i/>
      <w:color w:val="40A070"/>
      <w:sz w:val="22"/>
    </w:rPr>
  </w:style>
  <w:style w:type="character" w:customStyle="1" w:styleId="BaseNTok">
    <w:name w:val="BaseNTok"/>
    <w:basedOn w:val="VerbatimChar"/>
    <w:rPr>
      <w:rFonts w:ascii="Courier New" w:hAnsi="Courier New"/>
      <w:i/>
      <w:color w:val="40A070"/>
      <w:sz w:val="22"/>
    </w:rPr>
  </w:style>
  <w:style w:type="character" w:customStyle="1" w:styleId="FloatTok">
    <w:name w:val="FloatTok"/>
    <w:basedOn w:val="VerbatimChar"/>
    <w:rPr>
      <w:rFonts w:ascii="Courier New" w:hAnsi="Courier New"/>
      <w:i/>
      <w:color w:val="40A070"/>
      <w:sz w:val="22"/>
    </w:rPr>
  </w:style>
  <w:style w:type="character" w:customStyle="1" w:styleId="ConstantTok">
    <w:name w:val="ConstantTok"/>
    <w:basedOn w:val="VerbatimChar"/>
    <w:rPr>
      <w:rFonts w:ascii="Courier New" w:hAnsi="Courier New"/>
      <w:i/>
      <w:color w:val="880000"/>
      <w:sz w:val="22"/>
    </w:rPr>
  </w:style>
  <w:style w:type="character" w:customStyle="1" w:styleId="CharTok">
    <w:name w:val="CharTok"/>
    <w:basedOn w:val="VerbatimChar"/>
    <w:rPr>
      <w:rFonts w:ascii="Courier New" w:hAnsi="Courier New"/>
      <w:i/>
      <w:color w:val="4070A0"/>
      <w:sz w:val="22"/>
    </w:rPr>
  </w:style>
  <w:style w:type="character" w:customStyle="1" w:styleId="SpecialCharTok">
    <w:name w:val="SpecialCharTok"/>
    <w:basedOn w:val="VerbatimChar"/>
    <w:rPr>
      <w:rFonts w:ascii="Courier New" w:hAnsi="Courier New"/>
      <w:i/>
      <w:color w:val="4070A0"/>
      <w:sz w:val="22"/>
    </w:rPr>
  </w:style>
  <w:style w:type="character" w:customStyle="1" w:styleId="StringTok">
    <w:name w:val="StringTok"/>
    <w:basedOn w:val="VerbatimChar"/>
    <w:rPr>
      <w:rFonts w:ascii="Courier New" w:hAnsi="Courier New"/>
      <w:i/>
      <w:color w:val="4070A0"/>
      <w:sz w:val="22"/>
    </w:rPr>
  </w:style>
  <w:style w:type="character" w:customStyle="1" w:styleId="VerbatimStringTok">
    <w:name w:val="VerbatimStringTok"/>
    <w:basedOn w:val="VerbatimChar"/>
    <w:rPr>
      <w:rFonts w:ascii="Courier New" w:hAnsi="Courier New"/>
      <w:i/>
      <w:color w:val="4070A0"/>
      <w:sz w:val="22"/>
    </w:rPr>
  </w:style>
  <w:style w:type="character" w:customStyle="1" w:styleId="SpecialStringTok">
    <w:name w:val="SpecialStringTok"/>
    <w:basedOn w:val="VerbatimChar"/>
    <w:rPr>
      <w:rFonts w:ascii="Courier New" w:hAnsi="Courier New"/>
      <w:i/>
      <w:color w:val="BB6688"/>
      <w:sz w:val="22"/>
    </w:rPr>
  </w:style>
  <w:style w:type="character" w:customStyle="1" w:styleId="ImportTok">
    <w:name w:val="ImportTok"/>
    <w:basedOn w:val="VerbatimChar"/>
    <w:rPr>
      <w:rFonts w:ascii="Courier New" w:hAnsi="Courier New"/>
      <w:b/>
      <w:i/>
      <w:color w:val="00800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color w:val="007020"/>
      <w:sz w:val="22"/>
    </w:rPr>
  </w:style>
  <w:style w:type="character" w:customStyle="1" w:styleId="FunctionTok">
    <w:name w:val="FunctionTok"/>
    <w:basedOn w:val="VerbatimChar"/>
    <w:rPr>
      <w:rFonts w:ascii="Courier New" w:hAnsi="Courier New"/>
      <w:i/>
      <w:color w:val="06287E"/>
      <w:sz w:val="22"/>
    </w:rPr>
  </w:style>
  <w:style w:type="character" w:customStyle="1" w:styleId="VariableTok">
    <w:name w:val="VariableTok"/>
    <w:basedOn w:val="VerbatimChar"/>
    <w:rPr>
      <w:rFonts w:ascii="Courier New" w:hAnsi="Courier New"/>
      <w:i/>
      <w:color w:val="19177C"/>
      <w:sz w:val="22"/>
    </w:rPr>
  </w:style>
  <w:style w:type="character" w:customStyle="1" w:styleId="ControlFlowTok">
    <w:name w:val="ControlFlowTok"/>
    <w:basedOn w:val="VerbatimChar"/>
    <w:rPr>
      <w:rFonts w:ascii="Courier New" w:hAnsi="Courier New"/>
      <w:b/>
      <w:i/>
      <w:color w:val="007020"/>
      <w:sz w:val="22"/>
    </w:rPr>
  </w:style>
  <w:style w:type="character" w:customStyle="1" w:styleId="OperatorTok">
    <w:name w:val="OperatorTok"/>
    <w:basedOn w:val="VerbatimChar"/>
    <w:rPr>
      <w:rFonts w:ascii="Courier New" w:hAnsi="Courier New"/>
      <w:i/>
      <w:color w:val="666666"/>
      <w:sz w:val="22"/>
    </w:rPr>
  </w:style>
  <w:style w:type="character" w:customStyle="1" w:styleId="BuiltInTok">
    <w:name w:val="BuiltInTok"/>
    <w:basedOn w:val="VerbatimChar"/>
    <w:rPr>
      <w:rFonts w:ascii="Courier New" w:hAnsi="Courier New"/>
      <w:i/>
      <w:color w:val="008000"/>
      <w:sz w:val="22"/>
    </w:rPr>
  </w:style>
  <w:style w:type="character" w:customStyle="1" w:styleId="ExtensionTok">
    <w:name w:val="ExtensionTok"/>
    <w:basedOn w:val="VerbatimChar"/>
    <w:rPr>
      <w:rFonts w:ascii="Courier New" w:hAnsi="Courier New"/>
      <w:i/>
      <w:sz w:val="22"/>
    </w:rPr>
  </w:style>
  <w:style w:type="character" w:customStyle="1" w:styleId="PreprocessorTok">
    <w:name w:val="PreprocessorTok"/>
    <w:basedOn w:val="VerbatimChar"/>
    <w:rPr>
      <w:rFonts w:ascii="Courier New" w:hAnsi="Courier New"/>
      <w:i/>
      <w:color w:val="BC7A00"/>
      <w:sz w:val="22"/>
    </w:rPr>
  </w:style>
  <w:style w:type="character" w:customStyle="1" w:styleId="AttributeTok">
    <w:name w:val="AttributeTok"/>
    <w:basedOn w:val="VerbatimChar"/>
    <w:rPr>
      <w:rFonts w:ascii="Courier New" w:hAnsi="Courier New"/>
      <w:i/>
      <w:color w:val="7D9029"/>
      <w:sz w:val="22"/>
    </w:rPr>
  </w:style>
  <w:style w:type="character" w:customStyle="1" w:styleId="RegionMarkerTok">
    <w:name w:val="RegionMarkerTok"/>
    <w:basedOn w:val="VerbatimChar"/>
    <w:rPr>
      <w:rFonts w:ascii="Courier New" w:hAnsi="Courier New"/>
      <w:i/>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color w:val="FF0000"/>
      <w:sz w:val="22"/>
    </w:rPr>
  </w:style>
  <w:style w:type="character" w:customStyle="1" w:styleId="ErrorTok">
    <w:name w:val="ErrorTok"/>
    <w:basedOn w:val="VerbatimChar"/>
    <w:rPr>
      <w:rFonts w:ascii="Courier New" w:hAnsi="Courier New"/>
      <w:b/>
      <w:i/>
      <w:color w:val="FF0000"/>
      <w:sz w:val="22"/>
    </w:rPr>
  </w:style>
  <w:style w:type="character" w:customStyle="1" w:styleId="NormalTok">
    <w:name w:val="NormalTok"/>
    <w:basedOn w:val="VerbatimChar"/>
    <w:rPr>
      <w:rFonts w:ascii="Courier New" w:hAnsi="Courier New"/>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5926474/" TargetMode="External"/><Relationship Id="rId18" Type="http://schemas.openxmlformats.org/officeDocument/2006/relationships/hyperlink" Target="https://pubmed.ncbi.nlm.nih.gov/12799145/" TargetMode="External"/><Relationship Id="rId26" Type="http://schemas.openxmlformats.org/officeDocument/2006/relationships/hyperlink" Target="https://pubmed.ncbi.nlm.nih.gov/22112397/" TargetMode="External"/><Relationship Id="rId39" Type="http://schemas.openxmlformats.org/officeDocument/2006/relationships/hyperlink" Target="https://pubmed.ncbi.nlm.nih.gov/22767136/" TargetMode="External"/><Relationship Id="rId21" Type="http://schemas.openxmlformats.org/officeDocument/2006/relationships/hyperlink" Target="https://pubmed.ncbi.nlm.nih.gov/27268906/" TargetMode="External"/><Relationship Id="rId34" Type="http://schemas.openxmlformats.org/officeDocument/2006/relationships/hyperlink" Target="https://pubmed.ncbi.nlm.nih.gov/16503417/" TargetMode="External"/><Relationship Id="rId42" Type="http://schemas.openxmlformats.org/officeDocument/2006/relationships/hyperlink" Target="https://pubmed.ncbi.nlm.nih.gov/11437336/" TargetMode="External"/><Relationship Id="rId47" Type="http://schemas.openxmlformats.org/officeDocument/2006/relationships/theme" Target="theme/theme1.xml"/><Relationship Id="rId7" Type="http://schemas.openxmlformats.org/officeDocument/2006/relationships/hyperlink" Target="https://pubmed.ncbi.nlm.nih.gov/?term=%28%22review%22%5BTitle%2FAbstract%5D+OR+%22review%22%5BPublication+Type%5D%29+AND+%22quorum+sensing%22%5BTitle%5D+AND+%22pseudomonas+aeruginosa%22%5BTitle%2FAbstract%5D&amp;sort=" TargetMode="External"/><Relationship Id="rId2" Type="http://schemas.openxmlformats.org/officeDocument/2006/relationships/styles" Target="styles.xml"/><Relationship Id="rId16" Type="http://schemas.openxmlformats.org/officeDocument/2006/relationships/hyperlink" Target="https://pubmed.ncbi.nlm.nih.gov/16631332/" TargetMode="External"/><Relationship Id="rId29" Type="http://schemas.openxmlformats.org/officeDocument/2006/relationships/hyperlink" Target="https://pubmed.ncbi.nlm.nih.gov/319715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23841636/" TargetMode="External"/><Relationship Id="rId24" Type="http://schemas.openxmlformats.org/officeDocument/2006/relationships/hyperlink" Target="https://pubmed.ncbi.nlm.nih.gov/23682605/" TargetMode="External"/><Relationship Id="rId32" Type="http://schemas.openxmlformats.org/officeDocument/2006/relationships/hyperlink" Target="https://pubmed.ncbi.nlm.nih.gov/15926474/" TargetMode="External"/><Relationship Id="rId37" Type="http://schemas.openxmlformats.org/officeDocument/2006/relationships/hyperlink" Target="https://pubmed.ncbi.nlm.nih.gov/12799145/" TargetMode="External"/><Relationship Id="rId40" Type="http://schemas.openxmlformats.org/officeDocument/2006/relationships/hyperlink" Target="https://pubmed.ncbi.nlm.nih.gov/27268906/" TargetMode="External"/><Relationship Id="rId45" Type="http://schemas.openxmlformats.org/officeDocument/2006/relationships/hyperlink" Target="https://pubmed.ncbi.nlm.nih.gov/22112397/" TargetMode="External"/><Relationship Id="rId5" Type="http://schemas.openxmlformats.org/officeDocument/2006/relationships/footnotes" Target="footnotes.xml"/><Relationship Id="rId15" Type="http://schemas.openxmlformats.org/officeDocument/2006/relationships/hyperlink" Target="https://pubmed.ncbi.nlm.nih.gov/16503417/" TargetMode="External"/><Relationship Id="rId23" Type="http://schemas.openxmlformats.org/officeDocument/2006/relationships/hyperlink" Target="https://pubmed.ncbi.nlm.nih.gov/11437336/" TargetMode="External"/><Relationship Id="rId28" Type="http://schemas.openxmlformats.org/officeDocument/2006/relationships/hyperlink" Target="https://pubmed.ncbi.nlm.nih.gov/23125205/" TargetMode="External"/><Relationship Id="rId36" Type="http://schemas.openxmlformats.org/officeDocument/2006/relationships/hyperlink" Target="https://pubmed.ncbi.nlm.nih.gov/15816912/" TargetMode="External"/><Relationship Id="rId10" Type="http://schemas.openxmlformats.org/officeDocument/2006/relationships/hyperlink" Target="https://pubmed.ncbi.nlm.nih.gov/31971503/" TargetMode="External"/><Relationship Id="rId19" Type="http://schemas.openxmlformats.org/officeDocument/2006/relationships/hyperlink" Target="https://pubmed.ncbi.nlm.nih.gov/26819549/" TargetMode="External"/><Relationship Id="rId31" Type="http://schemas.openxmlformats.org/officeDocument/2006/relationships/hyperlink" Target="https://pubmed.ncbi.nlm.nih.gov/29999316/" TargetMode="External"/><Relationship Id="rId44" Type="http://schemas.openxmlformats.org/officeDocument/2006/relationships/hyperlink" Target="https://pubmed.ncbi.nlm.nih.gov/24065108/" TargetMode="External"/><Relationship Id="rId4" Type="http://schemas.openxmlformats.org/officeDocument/2006/relationships/webSettings" Target="webSettings.xml"/><Relationship Id="rId9" Type="http://schemas.openxmlformats.org/officeDocument/2006/relationships/hyperlink" Target="https://pubmed.ncbi.nlm.nih.gov/23125205/" TargetMode="External"/><Relationship Id="rId14" Type="http://schemas.openxmlformats.org/officeDocument/2006/relationships/hyperlink" Target="https://pubmed.ncbi.nlm.nih.gov/19249239/" TargetMode="External"/><Relationship Id="rId22" Type="http://schemas.openxmlformats.org/officeDocument/2006/relationships/hyperlink" Target="https://pubmed.ncbi.nlm.nih.gov/19845041/" TargetMode="External"/><Relationship Id="rId27" Type="http://schemas.openxmlformats.org/officeDocument/2006/relationships/hyperlink" Target="https://pubmed.ncbi.nlm.nih.gov/31794380/" TargetMode="External"/><Relationship Id="rId30" Type="http://schemas.openxmlformats.org/officeDocument/2006/relationships/hyperlink" Target="https://pubmed.ncbi.nlm.nih.gov/23841636/" TargetMode="External"/><Relationship Id="rId35" Type="http://schemas.openxmlformats.org/officeDocument/2006/relationships/hyperlink" Target="https://pubmed.ncbi.nlm.nih.gov/16631332/" TargetMode="External"/><Relationship Id="rId43" Type="http://schemas.openxmlformats.org/officeDocument/2006/relationships/hyperlink" Target="https://pubmed.ncbi.nlm.nih.gov/23682605/" TargetMode="External"/><Relationship Id="rId8" Type="http://schemas.openxmlformats.org/officeDocument/2006/relationships/hyperlink" Target="https://pubmed.ncbi.nlm.nih.gov/31794380/" TargetMode="External"/><Relationship Id="rId3" Type="http://schemas.openxmlformats.org/officeDocument/2006/relationships/settings" Target="settings.xml"/><Relationship Id="rId12" Type="http://schemas.openxmlformats.org/officeDocument/2006/relationships/hyperlink" Target="https://pubmed.ncbi.nlm.nih.gov/29999316/" TargetMode="External"/><Relationship Id="rId17" Type="http://schemas.openxmlformats.org/officeDocument/2006/relationships/hyperlink" Target="https://pubmed.ncbi.nlm.nih.gov/15816912/" TargetMode="External"/><Relationship Id="rId25" Type="http://schemas.openxmlformats.org/officeDocument/2006/relationships/hyperlink" Target="https://pubmed.ncbi.nlm.nih.gov/24065108/" TargetMode="External"/><Relationship Id="rId33" Type="http://schemas.openxmlformats.org/officeDocument/2006/relationships/hyperlink" Target="https://pubmed.ncbi.nlm.nih.gov/19249239/" TargetMode="External"/><Relationship Id="rId38" Type="http://schemas.openxmlformats.org/officeDocument/2006/relationships/hyperlink" Target="https://pubmed.ncbi.nlm.nih.gov/26819549/" TargetMode="External"/><Relationship Id="rId46" Type="http://schemas.openxmlformats.org/officeDocument/2006/relationships/fontTable" Target="fontTable.xml"/><Relationship Id="rId20" Type="http://schemas.openxmlformats.org/officeDocument/2006/relationships/hyperlink" Target="https://pubmed.ncbi.nlm.nih.gov/22767136/" TargetMode="External"/><Relationship Id="rId41" Type="http://schemas.openxmlformats.org/officeDocument/2006/relationships/hyperlink" Target="https://pubmed.ncbi.nlm.nih.gov/19845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Stephen Thomas</cp:lastModifiedBy>
  <cp:revision>2</cp:revision>
  <dcterms:created xsi:type="dcterms:W3CDTF">2023-12-21T14:32:00Z</dcterms:created>
  <dcterms:modified xsi:type="dcterms:W3CDTF">2023-12-21T14:33:00Z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Supporting (BibTeX).bib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