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Project Gutenberg eBook, The People's Palace and the Religious World,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A Layman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5q322ovv647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ranscribed from the [1853?] Arthur Hall, Virtue, &amp; Co. edition by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Price, email ccx074@pglaf.org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DISAGREEMENT with the object and dislike of the tone of the incipient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agitation for preventing the concession of a Royal Charter to the Crystal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Palace Company, except upon the condition of its gates being closed 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Sunday—a desire to vindicate the consistency of many religious people,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whose silence might be construed into sympathy with the movement—and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wish to offer a few thoughts on the impolicy, in a religious point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view, of such attacks on the pleasures of the poor:—are, in brief,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motives which have determined the printing of the following pages. 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Writer believes the ground traversed is firm and solid, though he 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unable to beguile the journey with those flowers of rhetoric and gleams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 warm fancy with which more gifted writers can brighten their course.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Though inexperience in book-making and pamphleteering is no excuse for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unsound conclusions, he hopes it may avail to disarm the severity 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criticism.  Convinced that for the advantage of true religion, as well 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its professors, the ideas he has broached require to be freely, closely,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sincerely discussed, he ventures to claim for them candid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unprejudiced consideration.  He hopes it is superfluous to state that 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has no pecuniary interest in, nor connexion with, the project 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PEOPLE’S PALACE,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_&amp;c._ _&amp;c._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SHALL the new Crystal Palace be open on Sunday?  This question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exciting a good deal of attention—especially in the religious world,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 likely to attract more, ere finally set at rest.  It is a question of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magnitude, and possibly of political importance.  It becomes, therefore,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duty of all who feel interested in its solution, to ascertain clearly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facts upon which it is based, the principles with which it is bound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up, and the consequences which will flow from its decision.  The occasion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seems to have been seized upon by what may be called the Sabbatarian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party, to make a determined stand on behalf of the principle for which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they have often fought and been vanquished—the right of the religious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world to impose their notions of Sabbath observance upon the community 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large.  The particular point at issue may be readily decided by any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unbiassed mind, on examination of the actual facts.  But the Sabbatarians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refuse to be bound down to the case as it stands.  They exaggerate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pervert the facts; and, under cover of the smoke and excitement thus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created, advance to a general assault upon what they term “Sabbath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desecration.”  The design of the next few pages is rather to point out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impolicy, danger, and hopelessness of any public movement to prevent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opening of this place of recreation on the Sunday, than to advocate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 defend that step.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Although the facts of the case are conveniently lost sight of by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agitators in question, they are really so important to a right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understanding of its merits as to admit of re-statement.  It appears,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then, that the New Crystal Palace at Sydenham is in the hands of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joint-stock company, and is to be conducted on the same commercial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principles as all speculations of a like character.  Their object 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familiar to every newspaper reader.  In brief, they propose to provide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the people recreation and instruction of a kind not now within their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reach.  If the programme be faithfully carried out, the project will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unquestionably tend to improve the health, enlarge the knowledge,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refine the taste of the public.  The Company have applied for a Royal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Charter of Incorporation, the effect of which, as is well known, is 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confine the liability of individual shareholders to the amount of their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shares.  In making their application to Lord Derby, the Directors, we 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told by the _Times_, communicated to his Lordship the terms upon which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they proposed to open the building and grounds on Sunday.  “They were of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opinion that until after one o’clock no trains should run from London,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the Crystal Palace itself should be strictly closed.  After that hour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they proposed to throw open the park and the winter-garden, but not 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exhibit those departments of the building which will partake exclusively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of a manufacturing and commercial character, the intention being 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devote a certain portion of the space to specimens of manufacture, &amp;c.,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which the public will be invited, upon certain conditions, to display.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the third place, the Directors undertook that on Sunday no spirituous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liquors should be sold in their grounds.”  After an interview with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Directors, Lord Derby acquiesced in the stipulations proffered by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Crystal Palace Company, suggested a few trifling variations, and promised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grant the required Charter.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announcement of this decision or promise—for it can scarcely be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regarded as a _fait accompli_—has excited not a little alarm amongst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section of the religious world.  The Lord’s Day Society have taken up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matter very warmly—publishing pamphlets and holding public meetings 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condemnation of the arrangement.  The Evangelical Alliance, a wide-spread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organization, at its recent Conference in Dublin, adopted 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strongly-worded resolution and memorial to the Prime Minister to the same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effect.  These acts of organized bodies have been vigorously followed up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by journals representing respectively the Evangelical clergy of the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Establishment, Wesleyans, Free Churchmen, and a portion of the Dissenting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community; who call upon their readers, in every capacity, and by every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means, to resist the proposed “wholesale violation of the Lord’s Day.”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{6}  The strength of this disapprobation and alarm may be gathered from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one or two quotations.  A widely-circulated religious magazine denounces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proposal as “sinful,” and calculated to “lead to sin on an extensive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alarming scale,” and calls “upon all religious and moral men,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throughout the United Kingdom, to lift up their voices like a trumpet,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 to cause them to be heard on this great and vital question.”  A very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influential newspaper in the North predicts that “the measure will have 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most fatal operation on the religious interests of the country,”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urges a general expression of public opinion “to prevent the Minister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persevering in his intention to grant a Charter containing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permission to open the Crystal Palace on Sunday.”  A Clapham clergyman,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a pamphlet very loosely put together, {7} says, “The projected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_aggression of pleasure_ in 1853, is to me a greater object of dread than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_aggression of Popery_ in 1850, because it falls in with the taste of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vast majority of mankind.”  A metropolitan Dissenting journal speaks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of the question as one involving a principle “that would speedily extend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itself to other institutions,” and expresses its belief that the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recognition by the State that the Sabbath ends at one o’clock, would be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“a far deeper stab to public morality, and afford a greater triumph 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Popery and Infidelity, than any act of the British Government since the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days of James II.”  Ministers of religion, of every denomination, are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therefore called upon to protest against the threatened evil, and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Sunday-school teachers to petition against a measure aiming a deadly blow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at those institutions.  Another London paper is even more emphatic, not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 say intemperate, upon the subject, describing “this new guild of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Sunday traders as craving, through the sign-manual of the Sovereign,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license to open a gorgeous temple of rampant pleasure, and to filch, by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Royal authority, both coin and conscience from every unit of the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beQGK43DPHeHyx3V6Jx+Zcik7Q==">CgMxLjAyDmguNXEzMjJvdnY2NDdoOAByITFubldVOW5jQUJ3aDlnVDFQb0R4YXJSOUpGYVdQRmJHNA==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2021-03-19T13:17:00Z</dcterms:created>
  <dc:creator>USER</dc:creator>
</cp:coreProperties>
</file>