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Project Gutenberg eBook, The People's Palace and the Religious World,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A Layman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hcq1reesg40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ranscribed from the [1853?] Arthur Hall, Virtue, &amp; Co. edition by David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Price, email ccx074@pglaf.org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INTRODUCTION.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DISAGREEMENT with the object and dislike of the tone of the incipient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agitation for preventing the concession of a Royal Charter to the Crystal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Palace Company, except upon the condition of its gates being closed 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Sunday—a desire to vindicate the consistency of many religious people,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whose silence might be construed into sympathy with the movement—and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wish to offer a few thoughts on the impolicy, in a religious point 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view, of such attacks on the pleasures of the poor:—are, in brief,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motives which have determined the printing of the following pages. 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Writer believes the ground traversed is firm and solid, though he 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unable to beguile the journey with those flowers of rhetoric and gleams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of warm fancy with which more gifted writers can brighten their course.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Though inexperience in book-making and pamphleteering is no excuse for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unsound conclusions, he hopes it may avail to disarm the severity of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criticism.  Convinced that for the advantage of true religion, as well 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its professors, the ideas he has broached require to be freely, closely,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sincerely discussed, he ventures to claim for them candid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unprejudiced consideration.  He hopes it is superfluous to state that 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has no pecuniary interest in, nor connexion with, the project 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PEOPLE’S PALACE,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_&amp;c._ _&amp;c._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SHALL the new Crystal Palace be open on Sunday?  This question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exciting a good deal of attention—especially in the religious world, 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is likely to attract more, ere finally set at rest.  It is a question of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magnitude, and possibly of political importance.  It becomes, therefore,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duty of all who feel interested in its solution, to ascertain clearly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facts upon which it is based, the principles with which it is bound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up, and the consequences which will flow from its decision.  The occasion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seems to have been seized upon by what may be called the Sabbatarian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party, to make a determined stand on behalf of the principle for which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they have often fought and been vanquished—the right of the religious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world to impose their notions of Sabbath observance upon the community 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large.  The particular point at issue may be readily decided by any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unbiassed mind, on examination of the actual facts.  But the Sabbatarians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refuse to be bound down to the case as it stands.  They exaggerate and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pervert the facts; and, under cover of the smoke and excitement thus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created, advance to a general assault upon what they term “Sabbath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desecration.”  The design of the next few pages is rather to point out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impolicy, danger, and hopelessness of any public movement to prevent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opening of this place of recreation on the Sunday, than to advocate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 defend that step.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Although the facts of the case are conveniently lost sight of by the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agitators in question, they are really so important to a right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understanding of its merits as to admit of re-statement.  It appears,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then, that the New Crystal Palace at Sydenham is in the hands of 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joint-stock company, and is to be conducted on the same commercial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principles as all speculations of a like character.  Their object is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familiar to every newspaper reader.  In brief, they propose to provide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the people recreation and instruction of a kind not now within their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reach.  If the programme be faithfully carried out, the project will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unquestionably tend to improve the health, enlarge the knowledge, 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refine the taste of the public.  The Company have applied for a Royal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Charter of Incorporation, the effect of which, as is well known, is 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confine the liability of individual shareholders to the amount of their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shares.  In making their application to Lord Derby, the Directors, we are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told by the _Times_, communicated to his Lordship the terms upon which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they proposed to open the building and grounds on Sunday.  “They were of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opinion that until after one o’clock no trains should run from London,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 the Crystal Palace itself should be strictly closed.  After that hour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they proposed to throw open the park and the winter-garden, but not 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exhibit those departments of the building which will partake exclusively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of a manufacturing and commercial character, the intention being 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devote a certain portion of the space to specimens of manufacture, &amp;c.,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which the public will be invited, upon certain conditions, to display.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 the third place, the Directors undertook that on Sunday no spirituous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liquors should be sold in their grounds.”  After an interview with the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Directors, Lord Derby acquiesced in the stipulations proffered by the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Crystal Palace Company, suggested a few trifling variations, and promised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 grant the required Charter.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announcement of this decision or promise—for it can scarcely be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regarded as a _fait accompli_—has excited not a little alarm amongst 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section of the religious world.  The Lord’s Day Society have taken up the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matter very warmly—publishing pamphlets and holding public meetings 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condemnation of the arrangement.  The Evangelical Alliance, a wide-spread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organization, at its recent Conference in Dublin, adopted 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strongly-worded resolution and memorial to the Prime Minister to the same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effect.  These acts of organized bodies have been vigorously followed up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by journals representing respectively the Evangelical clergy of the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Establishment, Wesleyans, Free Churchmen, and a portion of the Dissenting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community; who call upon their readers, in every capacity, and by every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means, to resist the proposed “wholesale violation of the Lord’s Day.”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{6}  The strength of this disapprobation and alarm may be gathered from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one or two quotations.  A widely-circulated religious magazine denounces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proposal as “sinful,” and calculated to “lead to sin on an extensive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and alarming scale,” and calls “upon all religious and moral men,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throughout the United Kingdom, to lift up their voices like a trumpet,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and to cause them to be heard on this great and vital question.”  A very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influential newspaper in the North predicts that “the measure will have 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most fatal operation on the religious interests of the country,” and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urges a general expression of public opinion “to prevent the Minister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persevering in his intention to grant a Charter containing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permission to open the Crystal Palace on Sunday.”  A Clapham clergyman,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 a pamphlet very loosely put together, {7} says, “The projected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_aggression of pleasure_ in 1853, is to me a greater object of dread than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_aggression of Popery_ in 1850, because it falls in with the taste of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vast majority of mankind.”  A metropolitan Dissenting journal speaks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of the question as one involving a principle “that would speedily extend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itself to other institutions,” and expresses its belief that the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recognition by the State that the Sabbath ends at one o’clock, would be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“a far deeper stab to public morality, and afford a greater triumph 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Popery and Infidelity, than any act of the British Government since the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days of James II.”  Ministers of religion, of every denomination, are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therefore called upon to protest against the threatened evil, and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Sunday-school teachers to petition against a measure aiming a deadly blow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at those institutions.  Another London paper is even more emphatic, not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 say intemperate, upon the subject, describing “this new guild of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Sunday traders as craving, through the sign-manual of the Sovereign,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license to open a gorgeous temple of rampant pleasure, and to filch, by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Royal authority, both coin and conscience from every unit of the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0nGMS26AqIzP8Y0sXSEfoU60VQ==">CgMxLjAyDmguaGNxMXJlZXNnNDA5OAByITFiY1d1dFVXb1NKYUJWMUd2UE9hdFUyYlNaaHBRb0NSTQ==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2021-03-19T13:17:00Z</dcterms:created>
  <dc:creator>USER</dc:creator>
</cp:coreProperties>
</file>