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910"/>
        <w:gridCol w:w="7166"/>
      </w:tblGrid>
      <w:tr w:rsidR="008823A8" w:rsidRPr="008823A8" w14:paraId="0D1C1699" w14:textId="77777777" w:rsidTr="003617AD">
        <w:trPr>
          <w:tblHeader/>
          <w:tblCellSpacing w:w="15" w:type="dxa"/>
        </w:trPr>
        <w:tc>
          <w:tcPr>
            <w:tcW w:w="1414" w:type="dxa"/>
            <w:vAlign w:val="center"/>
            <w:hideMark/>
          </w:tcPr>
          <w:p w14:paraId="0C70C5F4" w14:textId="77777777" w:rsidR="008823A8" w:rsidRPr="008823A8" w:rsidRDefault="008823A8" w:rsidP="003617AD">
            <w:r w:rsidRPr="008823A8">
              <w:t>Column Name</w:t>
            </w:r>
          </w:p>
        </w:tc>
        <w:tc>
          <w:tcPr>
            <w:tcW w:w="0" w:type="auto"/>
            <w:vAlign w:val="center"/>
            <w:hideMark/>
          </w:tcPr>
          <w:p w14:paraId="5D66C95A" w14:textId="77777777" w:rsidR="008823A8" w:rsidRPr="008823A8" w:rsidRDefault="008823A8" w:rsidP="003617AD">
            <w:r w:rsidRPr="008823A8">
              <w:t>Data Type</w:t>
            </w:r>
          </w:p>
        </w:tc>
        <w:tc>
          <w:tcPr>
            <w:tcW w:w="0" w:type="auto"/>
            <w:vAlign w:val="center"/>
            <w:hideMark/>
          </w:tcPr>
          <w:p w14:paraId="4B4765E0" w14:textId="77777777" w:rsidR="008823A8" w:rsidRPr="008823A8" w:rsidRDefault="008823A8" w:rsidP="003617AD">
            <w:r w:rsidRPr="008823A8">
              <w:t>Description</w:t>
            </w:r>
          </w:p>
        </w:tc>
      </w:tr>
      <w:tr w:rsidR="008823A8" w:rsidRPr="00652057" w14:paraId="7CE25FEC" w14:textId="77777777" w:rsidTr="003617AD">
        <w:trPr>
          <w:tblCellSpacing w:w="15" w:type="dxa"/>
        </w:trPr>
        <w:tc>
          <w:tcPr>
            <w:tcW w:w="1414" w:type="dxa"/>
            <w:vAlign w:val="center"/>
            <w:hideMark/>
          </w:tcPr>
          <w:p w14:paraId="099BA55B" w14:textId="77777777" w:rsidR="008823A8" w:rsidRPr="00652057" w:rsidRDefault="008823A8" w:rsidP="003617AD">
            <w:r w:rsidRPr="00652057">
              <w:t>Order ID</w:t>
            </w:r>
          </w:p>
        </w:tc>
        <w:tc>
          <w:tcPr>
            <w:tcW w:w="0" w:type="auto"/>
            <w:vAlign w:val="center"/>
            <w:hideMark/>
          </w:tcPr>
          <w:p w14:paraId="33234942" w14:textId="77777777" w:rsidR="008823A8" w:rsidRPr="00652057" w:rsidRDefault="008823A8" w:rsidP="003617AD">
            <w:r w:rsidRPr="00652057">
              <w:t>String</w:t>
            </w:r>
          </w:p>
        </w:tc>
        <w:tc>
          <w:tcPr>
            <w:tcW w:w="0" w:type="auto"/>
            <w:vAlign w:val="center"/>
            <w:hideMark/>
          </w:tcPr>
          <w:p w14:paraId="6BBE4177" w14:textId="77777777" w:rsidR="008823A8" w:rsidRPr="00652057" w:rsidRDefault="008823A8" w:rsidP="003617AD">
            <w:r w:rsidRPr="00652057">
              <w:t>A unique identifier for each order.</w:t>
            </w:r>
          </w:p>
        </w:tc>
      </w:tr>
      <w:tr w:rsidR="008823A8" w:rsidRPr="00652057" w14:paraId="27B50212" w14:textId="77777777" w:rsidTr="003617AD">
        <w:trPr>
          <w:tblCellSpacing w:w="15" w:type="dxa"/>
        </w:trPr>
        <w:tc>
          <w:tcPr>
            <w:tcW w:w="1414" w:type="dxa"/>
            <w:vAlign w:val="center"/>
            <w:hideMark/>
          </w:tcPr>
          <w:p w14:paraId="1386DDF1" w14:textId="77777777" w:rsidR="008823A8" w:rsidRPr="00652057" w:rsidRDefault="008823A8" w:rsidP="003617AD">
            <w:r w:rsidRPr="00652057">
              <w:t>Customer ID</w:t>
            </w:r>
          </w:p>
        </w:tc>
        <w:tc>
          <w:tcPr>
            <w:tcW w:w="0" w:type="auto"/>
            <w:vAlign w:val="center"/>
            <w:hideMark/>
          </w:tcPr>
          <w:p w14:paraId="37FD2E1C" w14:textId="77777777" w:rsidR="008823A8" w:rsidRPr="00652057" w:rsidRDefault="008823A8" w:rsidP="003617AD">
            <w:r w:rsidRPr="00652057">
              <w:t>String</w:t>
            </w:r>
          </w:p>
        </w:tc>
        <w:tc>
          <w:tcPr>
            <w:tcW w:w="0" w:type="auto"/>
            <w:vAlign w:val="center"/>
            <w:hideMark/>
          </w:tcPr>
          <w:p w14:paraId="06DEAD8F" w14:textId="77777777" w:rsidR="008823A8" w:rsidRPr="00652057" w:rsidRDefault="008823A8" w:rsidP="003617AD">
            <w:r w:rsidRPr="00652057">
              <w:t>A unique identifier for each customer.</w:t>
            </w:r>
          </w:p>
        </w:tc>
      </w:tr>
      <w:tr w:rsidR="008823A8" w:rsidRPr="00652057" w14:paraId="3C0C6C53" w14:textId="77777777" w:rsidTr="003617AD">
        <w:trPr>
          <w:tblCellSpacing w:w="15" w:type="dxa"/>
        </w:trPr>
        <w:tc>
          <w:tcPr>
            <w:tcW w:w="1414" w:type="dxa"/>
            <w:vAlign w:val="center"/>
            <w:hideMark/>
          </w:tcPr>
          <w:p w14:paraId="661D2C14" w14:textId="77777777" w:rsidR="008823A8" w:rsidRPr="00652057" w:rsidRDefault="008823A8" w:rsidP="003617AD">
            <w:r w:rsidRPr="00652057">
              <w:t>State</w:t>
            </w:r>
          </w:p>
        </w:tc>
        <w:tc>
          <w:tcPr>
            <w:tcW w:w="0" w:type="auto"/>
            <w:vAlign w:val="center"/>
            <w:hideMark/>
          </w:tcPr>
          <w:p w14:paraId="0830D64F" w14:textId="77777777" w:rsidR="008823A8" w:rsidRPr="00652057" w:rsidRDefault="008823A8" w:rsidP="003617AD">
            <w:r w:rsidRPr="00652057">
              <w:t>String</w:t>
            </w:r>
          </w:p>
        </w:tc>
        <w:tc>
          <w:tcPr>
            <w:tcW w:w="0" w:type="auto"/>
            <w:vAlign w:val="center"/>
            <w:hideMark/>
          </w:tcPr>
          <w:p w14:paraId="549A3C69" w14:textId="77777777" w:rsidR="008823A8" w:rsidRPr="00652057" w:rsidRDefault="008823A8" w:rsidP="003617AD">
            <w:r w:rsidRPr="00652057">
              <w:t>The state in which the order was placed.</w:t>
            </w:r>
          </w:p>
        </w:tc>
      </w:tr>
      <w:tr w:rsidR="008823A8" w:rsidRPr="00652057" w14:paraId="1210CA5B" w14:textId="77777777" w:rsidTr="003617AD">
        <w:trPr>
          <w:tblCellSpacing w:w="15" w:type="dxa"/>
        </w:trPr>
        <w:tc>
          <w:tcPr>
            <w:tcW w:w="1414" w:type="dxa"/>
            <w:vAlign w:val="center"/>
            <w:hideMark/>
          </w:tcPr>
          <w:p w14:paraId="43A4805F" w14:textId="77777777" w:rsidR="008823A8" w:rsidRPr="00652057" w:rsidRDefault="008823A8" w:rsidP="003617AD">
            <w:r w:rsidRPr="00652057">
              <w:t>City</w:t>
            </w:r>
          </w:p>
        </w:tc>
        <w:tc>
          <w:tcPr>
            <w:tcW w:w="0" w:type="auto"/>
            <w:vAlign w:val="center"/>
            <w:hideMark/>
          </w:tcPr>
          <w:p w14:paraId="18DD9CA6" w14:textId="77777777" w:rsidR="008823A8" w:rsidRPr="00652057" w:rsidRDefault="008823A8" w:rsidP="003617AD">
            <w:r w:rsidRPr="00652057">
              <w:t>String</w:t>
            </w:r>
          </w:p>
        </w:tc>
        <w:tc>
          <w:tcPr>
            <w:tcW w:w="0" w:type="auto"/>
            <w:vAlign w:val="center"/>
            <w:hideMark/>
          </w:tcPr>
          <w:p w14:paraId="08CF4182" w14:textId="77777777" w:rsidR="008823A8" w:rsidRPr="00652057" w:rsidRDefault="008823A8" w:rsidP="003617AD">
            <w:r w:rsidRPr="00652057">
              <w:t>The city in which the order was placed.</w:t>
            </w:r>
          </w:p>
        </w:tc>
      </w:tr>
      <w:tr w:rsidR="008823A8" w:rsidRPr="00652057" w14:paraId="5B30E402" w14:textId="77777777" w:rsidTr="003617AD">
        <w:trPr>
          <w:tblCellSpacing w:w="15" w:type="dxa"/>
        </w:trPr>
        <w:tc>
          <w:tcPr>
            <w:tcW w:w="1414" w:type="dxa"/>
            <w:vAlign w:val="center"/>
            <w:hideMark/>
          </w:tcPr>
          <w:p w14:paraId="292FCC64" w14:textId="77777777" w:rsidR="008823A8" w:rsidRPr="00652057" w:rsidRDefault="008823A8" w:rsidP="003617AD">
            <w:r w:rsidRPr="00652057">
              <w:t>Order Date</w:t>
            </w:r>
          </w:p>
        </w:tc>
        <w:tc>
          <w:tcPr>
            <w:tcW w:w="0" w:type="auto"/>
            <w:vAlign w:val="center"/>
            <w:hideMark/>
          </w:tcPr>
          <w:p w14:paraId="29C0EF2C" w14:textId="77777777" w:rsidR="008823A8" w:rsidRPr="00652057" w:rsidRDefault="008823A8" w:rsidP="003617AD">
            <w:r w:rsidRPr="00652057">
              <w:t>Date</w:t>
            </w:r>
          </w:p>
        </w:tc>
        <w:tc>
          <w:tcPr>
            <w:tcW w:w="0" w:type="auto"/>
            <w:vAlign w:val="center"/>
            <w:hideMark/>
          </w:tcPr>
          <w:p w14:paraId="69A43277" w14:textId="77777777" w:rsidR="008823A8" w:rsidRPr="00652057" w:rsidRDefault="008823A8" w:rsidP="003617AD">
            <w:r w:rsidRPr="00652057">
              <w:t>The date when the order was placed (format: dd/mm/</w:t>
            </w:r>
            <w:proofErr w:type="spellStart"/>
            <w:r w:rsidRPr="00652057">
              <w:t>yyyy</w:t>
            </w:r>
            <w:proofErr w:type="spellEnd"/>
            <w:r w:rsidRPr="00652057">
              <w:t>).</w:t>
            </w:r>
          </w:p>
        </w:tc>
      </w:tr>
      <w:tr w:rsidR="008823A8" w:rsidRPr="00652057" w14:paraId="5D897823" w14:textId="77777777" w:rsidTr="003617AD">
        <w:trPr>
          <w:tblCellSpacing w:w="15" w:type="dxa"/>
        </w:trPr>
        <w:tc>
          <w:tcPr>
            <w:tcW w:w="1414" w:type="dxa"/>
            <w:vAlign w:val="center"/>
            <w:hideMark/>
          </w:tcPr>
          <w:p w14:paraId="7DA80653" w14:textId="77777777" w:rsidR="008823A8" w:rsidRPr="00652057" w:rsidRDefault="008823A8" w:rsidP="003617AD">
            <w:r w:rsidRPr="00652057">
              <w:t>Ship Date</w:t>
            </w:r>
          </w:p>
        </w:tc>
        <w:tc>
          <w:tcPr>
            <w:tcW w:w="0" w:type="auto"/>
            <w:vAlign w:val="center"/>
            <w:hideMark/>
          </w:tcPr>
          <w:p w14:paraId="3207AA0B" w14:textId="77777777" w:rsidR="008823A8" w:rsidRPr="00652057" w:rsidRDefault="008823A8" w:rsidP="003617AD">
            <w:r w:rsidRPr="00652057">
              <w:t>Date</w:t>
            </w:r>
          </w:p>
        </w:tc>
        <w:tc>
          <w:tcPr>
            <w:tcW w:w="0" w:type="auto"/>
            <w:vAlign w:val="center"/>
            <w:hideMark/>
          </w:tcPr>
          <w:p w14:paraId="6B1346A1" w14:textId="77777777" w:rsidR="008823A8" w:rsidRPr="00652057" w:rsidRDefault="008823A8" w:rsidP="003617AD">
            <w:r w:rsidRPr="00652057">
              <w:t>The date when the order was shipped (format: dd/mm/</w:t>
            </w:r>
            <w:proofErr w:type="spellStart"/>
            <w:r w:rsidRPr="00652057">
              <w:t>yyyy</w:t>
            </w:r>
            <w:proofErr w:type="spellEnd"/>
            <w:r w:rsidRPr="00652057">
              <w:t>).</w:t>
            </w:r>
          </w:p>
        </w:tc>
      </w:tr>
      <w:tr w:rsidR="008823A8" w:rsidRPr="00652057" w14:paraId="582C2A48" w14:textId="77777777" w:rsidTr="003617AD">
        <w:trPr>
          <w:tblCellSpacing w:w="15" w:type="dxa"/>
        </w:trPr>
        <w:tc>
          <w:tcPr>
            <w:tcW w:w="1414" w:type="dxa"/>
            <w:vAlign w:val="center"/>
            <w:hideMark/>
          </w:tcPr>
          <w:p w14:paraId="7DD2B50C" w14:textId="77777777" w:rsidR="008823A8" w:rsidRPr="00652057" w:rsidRDefault="008823A8" w:rsidP="003617AD">
            <w:r w:rsidRPr="00652057">
              <w:t>Ship Mode</w:t>
            </w:r>
          </w:p>
        </w:tc>
        <w:tc>
          <w:tcPr>
            <w:tcW w:w="0" w:type="auto"/>
            <w:vAlign w:val="center"/>
            <w:hideMark/>
          </w:tcPr>
          <w:p w14:paraId="17788180" w14:textId="77777777" w:rsidR="008823A8" w:rsidRPr="00652057" w:rsidRDefault="008823A8" w:rsidP="003617AD">
            <w:r w:rsidRPr="00652057">
              <w:t>String</w:t>
            </w:r>
          </w:p>
        </w:tc>
        <w:tc>
          <w:tcPr>
            <w:tcW w:w="0" w:type="auto"/>
            <w:vAlign w:val="center"/>
            <w:hideMark/>
          </w:tcPr>
          <w:p w14:paraId="050CD3F6" w14:textId="77777777" w:rsidR="008823A8" w:rsidRPr="00652057" w:rsidRDefault="008823A8" w:rsidP="003617AD">
            <w:r w:rsidRPr="00652057">
              <w:t>The mode of shipping used for the order (e.g., Standard Class, Second Class, First Class, Same Day).</w:t>
            </w:r>
          </w:p>
        </w:tc>
      </w:tr>
      <w:tr w:rsidR="008823A8" w:rsidRPr="00652057" w14:paraId="5E2D8840" w14:textId="77777777" w:rsidTr="003617AD">
        <w:trPr>
          <w:tblCellSpacing w:w="15" w:type="dxa"/>
        </w:trPr>
        <w:tc>
          <w:tcPr>
            <w:tcW w:w="1414" w:type="dxa"/>
            <w:vAlign w:val="center"/>
            <w:hideMark/>
          </w:tcPr>
          <w:p w14:paraId="315EE28D" w14:textId="77777777" w:rsidR="008823A8" w:rsidRPr="00652057" w:rsidRDefault="008823A8" w:rsidP="003617AD">
            <w:r w:rsidRPr="00652057">
              <w:t>Segment</w:t>
            </w:r>
          </w:p>
        </w:tc>
        <w:tc>
          <w:tcPr>
            <w:tcW w:w="0" w:type="auto"/>
            <w:vAlign w:val="center"/>
            <w:hideMark/>
          </w:tcPr>
          <w:p w14:paraId="2025FF43" w14:textId="77777777" w:rsidR="008823A8" w:rsidRPr="00652057" w:rsidRDefault="008823A8" w:rsidP="003617AD">
            <w:r w:rsidRPr="00652057">
              <w:t>String</w:t>
            </w:r>
          </w:p>
        </w:tc>
        <w:tc>
          <w:tcPr>
            <w:tcW w:w="0" w:type="auto"/>
            <w:vAlign w:val="center"/>
            <w:hideMark/>
          </w:tcPr>
          <w:p w14:paraId="6CBE5E1E" w14:textId="77777777" w:rsidR="008823A8" w:rsidRPr="00652057" w:rsidRDefault="008823A8" w:rsidP="003617AD">
            <w:r w:rsidRPr="00652057">
              <w:t>The market segment the customer belongs to (e.g., Consumer, Corporate, Home Office).</w:t>
            </w:r>
          </w:p>
        </w:tc>
      </w:tr>
      <w:tr w:rsidR="008823A8" w:rsidRPr="00652057" w14:paraId="0FFA4A45" w14:textId="77777777" w:rsidTr="003617AD">
        <w:trPr>
          <w:tblCellSpacing w:w="15" w:type="dxa"/>
        </w:trPr>
        <w:tc>
          <w:tcPr>
            <w:tcW w:w="1414" w:type="dxa"/>
            <w:vAlign w:val="center"/>
            <w:hideMark/>
          </w:tcPr>
          <w:p w14:paraId="13D0FA0F" w14:textId="77777777" w:rsidR="008823A8" w:rsidRPr="00652057" w:rsidRDefault="008823A8" w:rsidP="003617AD">
            <w:r w:rsidRPr="00652057">
              <w:t>Category</w:t>
            </w:r>
          </w:p>
        </w:tc>
        <w:tc>
          <w:tcPr>
            <w:tcW w:w="0" w:type="auto"/>
            <w:vAlign w:val="center"/>
            <w:hideMark/>
          </w:tcPr>
          <w:p w14:paraId="5315E020" w14:textId="77777777" w:rsidR="008823A8" w:rsidRPr="00652057" w:rsidRDefault="008823A8" w:rsidP="003617AD">
            <w:r w:rsidRPr="00652057">
              <w:t>String</w:t>
            </w:r>
          </w:p>
        </w:tc>
        <w:tc>
          <w:tcPr>
            <w:tcW w:w="0" w:type="auto"/>
            <w:vAlign w:val="center"/>
            <w:hideMark/>
          </w:tcPr>
          <w:p w14:paraId="0943FAD4" w14:textId="77777777" w:rsidR="008823A8" w:rsidRPr="00652057" w:rsidRDefault="008823A8" w:rsidP="003617AD">
            <w:r w:rsidRPr="00652057">
              <w:t>The category of the product ordered (e.g., Phones, Accessories, Copiers, Machines).</w:t>
            </w:r>
          </w:p>
        </w:tc>
      </w:tr>
      <w:tr w:rsidR="008823A8" w:rsidRPr="00652057" w14:paraId="2A814B76" w14:textId="77777777" w:rsidTr="003617AD">
        <w:trPr>
          <w:tblCellSpacing w:w="15" w:type="dxa"/>
        </w:trPr>
        <w:tc>
          <w:tcPr>
            <w:tcW w:w="1414" w:type="dxa"/>
            <w:vAlign w:val="center"/>
            <w:hideMark/>
          </w:tcPr>
          <w:p w14:paraId="0FFFF5D6" w14:textId="77777777" w:rsidR="008823A8" w:rsidRPr="00652057" w:rsidRDefault="008823A8" w:rsidP="003617AD">
            <w:r w:rsidRPr="00652057">
              <w:t>Year</w:t>
            </w:r>
          </w:p>
        </w:tc>
        <w:tc>
          <w:tcPr>
            <w:tcW w:w="0" w:type="auto"/>
            <w:vAlign w:val="center"/>
            <w:hideMark/>
          </w:tcPr>
          <w:p w14:paraId="6986D221" w14:textId="77777777" w:rsidR="008823A8" w:rsidRPr="00652057" w:rsidRDefault="008823A8" w:rsidP="003617AD">
            <w:r w:rsidRPr="00652057">
              <w:t>Integer</w:t>
            </w:r>
          </w:p>
        </w:tc>
        <w:tc>
          <w:tcPr>
            <w:tcW w:w="0" w:type="auto"/>
            <w:vAlign w:val="center"/>
            <w:hideMark/>
          </w:tcPr>
          <w:p w14:paraId="74382F73" w14:textId="77777777" w:rsidR="008823A8" w:rsidRPr="00652057" w:rsidRDefault="008823A8" w:rsidP="003617AD">
            <w:r w:rsidRPr="00652057">
              <w:t>The year of the order.</w:t>
            </w:r>
          </w:p>
        </w:tc>
      </w:tr>
      <w:tr w:rsidR="008823A8" w:rsidRPr="00652057" w14:paraId="08053C47" w14:textId="77777777" w:rsidTr="003617AD">
        <w:trPr>
          <w:tblCellSpacing w:w="15" w:type="dxa"/>
        </w:trPr>
        <w:tc>
          <w:tcPr>
            <w:tcW w:w="1414" w:type="dxa"/>
            <w:vAlign w:val="center"/>
            <w:hideMark/>
          </w:tcPr>
          <w:p w14:paraId="3D38AAEF" w14:textId="77777777" w:rsidR="008823A8" w:rsidRPr="00652057" w:rsidRDefault="008823A8" w:rsidP="003617AD">
            <w:r w:rsidRPr="00652057">
              <w:t>Discount</w:t>
            </w:r>
          </w:p>
        </w:tc>
        <w:tc>
          <w:tcPr>
            <w:tcW w:w="0" w:type="auto"/>
            <w:vAlign w:val="center"/>
            <w:hideMark/>
          </w:tcPr>
          <w:p w14:paraId="42026E16" w14:textId="77777777" w:rsidR="008823A8" w:rsidRPr="00652057" w:rsidRDefault="008823A8" w:rsidP="003617AD">
            <w:r w:rsidRPr="00652057">
              <w:t>String</w:t>
            </w:r>
          </w:p>
        </w:tc>
        <w:tc>
          <w:tcPr>
            <w:tcW w:w="0" w:type="auto"/>
            <w:vAlign w:val="center"/>
            <w:hideMark/>
          </w:tcPr>
          <w:p w14:paraId="724624F8" w14:textId="77777777" w:rsidR="008823A8" w:rsidRPr="00652057" w:rsidRDefault="008823A8" w:rsidP="003617AD">
            <w:r w:rsidRPr="00652057">
              <w:t>The discount applied to the order (in percentage, e.g., 20%).</w:t>
            </w:r>
          </w:p>
        </w:tc>
      </w:tr>
      <w:tr w:rsidR="008823A8" w:rsidRPr="00652057" w14:paraId="253607C9" w14:textId="77777777" w:rsidTr="003617AD">
        <w:trPr>
          <w:tblCellSpacing w:w="15" w:type="dxa"/>
        </w:trPr>
        <w:tc>
          <w:tcPr>
            <w:tcW w:w="1414" w:type="dxa"/>
            <w:vAlign w:val="center"/>
            <w:hideMark/>
          </w:tcPr>
          <w:p w14:paraId="4BE61EC6" w14:textId="77777777" w:rsidR="008823A8" w:rsidRPr="00652057" w:rsidRDefault="008823A8" w:rsidP="003617AD">
            <w:r w:rsidRPr="00652057">
              <w:t>Profit</w:t>
            </w:r>
          </w:p>
        </w:tc>
        <w:tc>
          <w:tcPr>
            <w:tcW w:w="0" w:type="auto"/>
            <w:vAlign w:val="center"/>
            <w:hideMark/>
          </w:tcPr>
          <w:p w14:paraId="5637677F" w14:textId="77777777" w:rsidR="008823A8" w:rsidRPr="00652057" w:rsidRDefault="008823A8" w:rsidP="003617AD">
            <w:r w:rsidRPr="00652057">
              <w:t>Float</w:t>
            </w:r>
          </w:p>
        </w:tc>
        <w:tc>
          <w:tcPr>
            <w:tcW w:w="0" w:type="auto"/>
            <w:vAlign w:val="center"/>
            <w:hideMark/>
          </w:tcPr>
          <w:p w14:paraId="268A5D9D" w14:textId="77777777" w:rsidR="008823A8" w:rsidRPr="00652057" w:rsidRDefault="008823A8" w:rsidP="003617AD">
            <w:r w:rsidRPr="00652057">
              <w:t>The profit earned from the order (in currency).</w:t>
            </w:r>
          </w:p>
        </w:tc>
      </w:tr>
      <w:tr w:rsidR="008823A8" w:rsidRPr="00652057" w14:paraId="3086D5AE" w14:textId="77777777" w:rsidTr="003617AD">
        <w:trPr>
          <w:tblCellSpacing w:w="15" w:type="dxa"/>
        </w:trPr>
        <w:tc>
          <w:tcPr>
            <w:tcW w:w="1414" w:type="dxa"/>
            <w:vAlign w:val="center"/>
            <w:hideMark/>
          </w:tcPr>
          <w:p w14:paraId="24D562E4" w14:textId="77777777" w:rsidR="008823A8" w:rsidRPr="00652057" w:rsidRDefault="008823A8" w:rsidP="003617AD">
            <w:r w:rsidRPr="00652057">
              <w:t>Quantity</w:t>
            </w:r>
          </w:p>
        </w:tc>
        <w:tc>
          <w:tcPr>
            <w:tcW w:w="0" w:type="auto"/>
            <w:vAlign w:val="center"/>
            <w:hideMark/>
          </w:tcPr>
          <w:p w14:paraId="293F9980" w14:textId="77777777" w:rsidR="008823A8" w:rsidRPr="00652057" w:rsidRDefault="008823A8" w:rsidP="003617AD">
            <w:r w:rsidRPr="00652057">
              <w:t>Integer</w:t>
            </w:r>
          </w:p>
        </w:tc>
        <w:tc>
          <w:tcPr>
            <w:tcW w:w="0" w:type="auto"/>
            <w:vAlign w:val="center"/>
            <w:hideMark/>
          </w:tcPr>
          <w:p w14:paraId="07F080B8" w14:textId="77777777" w:rsidR="008823A8" w:rsidRPr="00652057" w:rsidRDefault="008823A8" w:rsidP="003617AD">
            <w:r w:rsidRPr="00652057">
              <w:t>The quantity of the product ordered.</w:t>
            </w:r>
          </w:p>
        </w:tc>
      </w:tr>
      <w:tr w:rsidR="008823A8" w:rsidRPr="00652057" w14:paraId="6A33AC49" w14:textId="77777777" w:rsidTr="003617AD">
        <w:trPr>
          <w:tblCellSpacing w:w="15" w:type="dxa"/>
        </w:trPr>
        <w:tc>
          <w:tcPr>
            <w:tcW w:w="1414" w:type="dxa"/>
            <w:vAlign w:val="center"/>
            <w:hideMark/>
          </w:tcPr>
          <w:p w14:paraId="3FC04EF3" w14:textId="77777777" w:rsidR="008823A8" w:rsidRPr="00652057" w:rsidRDefault="008823A8" w:rsidP="003617AD">
            <w:r w:rsidRPr="00652057">
              <w:t>Sales</w:t>
            </w:r>
          </w:p>
        </w:tc>
        <w:tc>
          <w:tcPr>
            <w:tcW w:w="0" w:type="auto"/>
            <w:vAlign w:val="center"/>
            <w:hideMark/>
          </w:tcPr>
          <w:p w14:paraId="4FA198D8" w14:textId="77777777" w:rsidR="008823A8" w:rsidRPr="00652057" w:rsidRDefault="008823A8" w:rsidP="003617AD">
            <w:r w:rsidRPr="00652057">
              <w:t>Float</w:t>
            </w:r>
          </w:p>
        </w:tc>
        <w:tc>
          <w:tcPr>
            <w:tcW w:w="0" w:type="auto"/>
            <w:vAlign w:val="center"/>
            <w:hideMark/>
          </w:tcPr>
          <w:p w14:paraId="057164C6" w14:textId="77777777" w:rsidR="008823A8" w:rsidRPr="00652057" w:rsidRDefault="008823A8" w:rsidP="003617AD">
            <w:r w:rsidRPr="00652057">
              <w:t>The total sales amount for the order (in currency).</w:t>
            </w:r>
          </w:p>
        </w:tc>
      </w:tr>
    </w:tbl>
    <w:p w14:paraId="62F6B07A" w14:textId="0C4650BE" w:rsidR="008823A8" w:rsidRPr="008823A8" w:rsidRDefault="008823A8">
      <w:pPr>
        <w:rPr>
          <w:b/>
          <w:bCs/>
          <w:sz w:val="28"/>
          <w:szCs w:val="28"/>
        </w:rPr>
      </w:pPr>
      <w:r>
        <w:t xml:space="preserve"> </w:t>
      </w:r>
      <w:r w:rsidRPr="008823A8">
        <w:rPr>
          <w:b/>
          <w:bCs/>
          <w:sz w:val="28"/>
          <w:szCs w:val="28"/>
        </w:rPr>
        <w:t xml:space="preserve">TASK-1.2: Tabular representation of the columns categorized into numerical and </w:t>
      </w:r>
      <w:r>
        <w:rPr>
          <w:b/>
          <w:bCs/>
          <w:sz w:val="28"/>
          <w:szCs w:val="28"/>
        </w:rPr>
        <w:t>categor</w:t>
      </w:r>
      <w:r w:rsidRPr="008823A8">
        <w:rPr>
          <w:b/>
          <w:bCs/>
          <w:sz w:val="28"/>
          <w:szCs w:val="28"/>
        </w:rPr>
        <w:t>ical data.</w:t>
      </w:r>
    </w:p>
    <w:p w14:paraId="599A4F2E" w14:textId="77777777" w:rsidR="008823A8" w:rsidRDefault="008823A8">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2191"/>
      </w:tblGrid>
      <w:tr w:rsidR="008823A8" w:rsidRPr="002D184B" w14:paraId="4D0A5C9C" w14:textId="77777777" w:rsidTr="003617AD">
        <w:trPr>
          <w:tblHeader/>
          <w:tblCellSpacing w:w="15" w:type="dxa"/>
        </w:trPr>
        <w:tc>
          <w:tcPr>
            <w:tcW w:w="0" w:type="auto"/>
            <w:vAlign w:val="center"/>
            <w:hideMark/>
          </w:tcPr>
          <w:p w14:paraId="0FDC8F00" w14:textId="77777777" w:rsidR="008823A8" w:rsidRPr="002D184B" w:rsidRDefault="008823A8" w:rsidP="003617AD">
            <w:pPr>
              <w:rPr>
                <w:b/>
                <w:bCs/>
              </w:rPr>
            </w:pPr>
            <w:r w:rsidRPr="002D184B">
              <w:rPr>
                <w:b/>
                <w:bCs/>
              </w:rPr>
              <w:t>Column Name</w:t>
            </w:r>
          </w:p>
        </w:tc>
        <w:tc>
          <w:tcPr>
            <w:tcW w:w="0" w:type="auto"/>
            <w:vAlign w:val="center"/>
            <w:hideMark/>
          </w:tcPr>
          <w:p w14:paraId="1B66AD12" w14:textId="77777777" w:rsidR="008823A8" w:rsidRPr="002D184B" w:rsidRDefault="008823A8" w:rsidP="003617AD">
            <w:pPr>
              <w:rPr>
                <w:b/>
                <w:bCs/>
              </w:rPr>
            </w:pPr>
            <w:r w:rsidRPr="002D184B">
              <w:rPr>
                <w:b/>
                <w:bCs/>
              </w:rPr>
              <w:t>Data Type</w:t>
            </w:r>
          </w:p>
        </w:tc>
      </w:tr>
      <w:tr w:rsidR="008823A8" w:rsidRPr="002D184B" w14:paraId="0FA756C6" w14:textId="77777777" w:rsidTr="003617AD">
        <w:trPr>
          <w:tblCellSpacing w:w="15" w:type="dxa"/>
        </w:trPr>
        <w:tc>
          <w:tcPr>
            <w:tcW w:w="0" w:type="auto"/>
            <w:vAlign w:val="center"/>
            <w:hideMark/>
          </w:tcPr>
          <w:p w14:paraId="218FBB0B" w14:textId="77777777" w:rsidR="008823A8" w:rsidRPr="002D184B" w:rsidRDefault="008823A8" w:rsidP="003617AD">
            <w:r w:rsidRPr="002D184B">
              <w:t>Order ID</w:t>
            </w:r>
          </w:p>
        </w:tc>
        <w:tc>
          <w:tcPr>
            <w:tcW w:w="0" w:type="auto"/>
            <w:vAlign w:val="center"/>
            <w:hideMark/>
          </w:tcPr>
          <w:p w14:paraId="22075DD4" w14:textId="77777777" w:rsidR="008823A8" w:rsidRPr="002D184B" w:rsidRDefault="008823A8" w:rsidP="003617AD">
            <w:r w:rsidRPr="002D184B">
              <w:t>Categorical</w:t>
            </w:r>
          </w:p>
        </w:tc>
      </w:tr>
      <w:tr w:rsidR="008823A8" w:rsidRPr="002D184B" w14:paraId="5B1EECA5" w14:textId="77777777" w:rsidTr="003617AD">
        <w:trPr>
          <w:tblCellSpacing w:w="15" w:type="dxa"/>
        </w:trPr>
        <w:tc>
          <w:tcPr>
            <w:tcW w:w="0" w:type="auto"/>
            <w:vAlign w:val="center"/>
            <w:hideMark/>
          </w:tcPr>
          <w:p w14:paraId="21B8ABB8" w14:textId="77777777" w:rsidR="008823A8" w:rsidRPr="002D184B" w:rsidRDefault="008823A8" w:rsidP="003617AD">
            <w:r w:rsidRPr="002D184B">
              <w:t>Customer ID</w:t>
            </w:r>
          </w:p>
        </w:tc>
        <w:tc>
          <w:tcPr>
            <w:tcW w:w="0" w:type="auto"/>
            <w:vAlign w:val="center"/>
            <w:hideMark/>
          </w:tcPr>
          <w:p w14:paraId="44A077C0" w14:textId="77777777" w:rsidR="008823A8" w:rsidRPr="002D184B" w:rsidRDefault="008823A8" w:rsidP="003617AD">
            <w:r w:rsidRPr="002D184B">
              <w:t>Categorical</w:t>
            </w:r>
          </w:p>
        </w:tc>
      </w:tr>
      <w:tr w:rsidR="008823A8" w:rsidRPr="002D184B" w14:paraId="11D9F96B" w14:textId="77777777" w:rsidTr="003617AD">
        <w:trPr>
          <w:tblCellSpacing w:w="15" w:type="dxa"/>
        </w:trPr>
        <w:tc>
          <w:tcPr>
            <w:tcW w:w="0" w:type="auto"/>
            <w:vAlign w:val="center"/>
            <w:hideMark/>
          </w:tcPr>
          <w:p w14:paraId="4C69655C" w14:textId="77777777" w:rsidR="008823A8" w:rsidRPr="002D184B" w:rsidRDefault="008823A8" w:rsidP="003617AD">
            <w:r w:rsidRPr="002D184B">
              <w:t>Order Date</w:t>
            </w:r>
          </w:p>
        </w:tc>
        <w:tc>
          <w:tcPr>
            <w:tcW w:w="0" w:type="auto"/>
            <w:vAlign w:val="center"/>
            <w:hideMark/>
          </w:tcPr>
          <w:p w14:paraId="02625816" w14:textId="77777777" w:rsidR="008823A8" w:rsidRPr="002D184B" w:rsidRDefault="008823A8" w:rsidP="003617AD">
            <w:r w:rsidRPr="002D184B">
              <w:t>Numerical / Categorical</w:t>
            </w:r>
          </w:p>
        </w:tc>
      </w:tr>
      <w:tr w:rsidR="008823A8" w:rsidRPr="002D184B" w14:paraId="69DF6EA9" w14:textId="77777777" w:rsidTr="003617AD">
        <w:trPr>
          <w:tblCellSpacing w:w="15" w:type="dxa"/>
        </w:trPr>
        <w:tc>
          <w:tcPr>
            <w:tcW w:w="0" w:type="auto"/>
            <w:vAlign w:val="center"/>
            <w:hideMark/>
          </w:tcPr>
          <w:p w14:paraId="724244E7" w14:textId="77777777" w:rsidR="008823A8" w:rsidRPr="002D184B" w:rsidRDefault="008823A8" w:rsidP="003617AD">
            <w:r w:rsidRPr="002D184B">
              <w:lastRenderedPageBreak/>
              <w:t>Ship Date</w:t>
            </w:r>
          </w:p>
        </w:tc>
        <w:tc>
          <w:tcPr>
            <w:tcW w:w="0" w:type="auto"/>
            <w:vAlign w:val="center"/>
            <w:hideMark/>
          </w:tcPr>
          <w:p w14:paraId="735A4A40" w14:textId="77777777" w:rsidR="008823A8" w:rsidRPr="002D184B" w:rsidRDefault="008823A8" w:rsidP="003617AD">
            <w:r w:rsidRPr="002D184B">
              <w:t>Numerical / Categorical</w:t>
            </w:r>
          </w:p>
        </w:tc>
      </w:tr>
      <w:tr w:rsidR="008823A8" w:rsidRPr="002D184B" w14:paraId="1C628790" w14:textId="77777777" w:rsidTr="003617AD">
        <w:trPr>
          <w:tblCellSpacing w:w="15" w:type="dxa"/>
        </w:trPr>
        <w:tc>
          <w:tcPr>
            <w:tcW w:w="0" w:type="auto"/>
            <w:vAlign w:val="center"/>
            <w:hideMark/>
          </w:tcPr>
          <w:p w14:paraId="3BA53B83" w14:textId="77777777" w:rsidR="008823A8" w:rsidRPr="002D184B" w:rsidRDefault="008823A8" w:rsidP="003617AD">
            <w:r w:rsidRPr="002D184B">
              <w:t>Ship Mode</w:t>
            </w:r>
          </w:p>
        </w:tc>
        <w:tc>
          <w:tcPr>
            <w:tcW w:w="0" w:type="auto"/>
            <w:vAlign w:val="center"/>
            <w:hideMark/>
          </w:tcPr>
          <w:p w14:paraId="4CE8DC91" w14:textId="77777777" w:rsidR="008823A8" w:rsidRPr="002D184B" w:rsidRDefault="008823A8" w:rsidP="003617AD">
            <w:r w:rsidRPr="002D184B">
              <w:t>Categorical</w:t>
            </w:r>
          </w:p>
        </w:tc>
      </w:tr>
      <w:tr w:rsidR="008823A8" w:rsidRPr="002D184B" w14:paraId="2B52513D" w14:textId="77777777" w:rsidTr="003617AD">
        <w:trPr>
          <w:tblCellSpacing w:w="15" w:type="dxa"/>
        </w:trPr>
        <w:tc>
          <w:tcPr>
            <w:tcW w:w="0" w:type="auto"/>
            <w:vAlign w:val="center"/>
            <w:hideMark/>
          </w:tcPr>
          <w:p w14:paraId="0AF74D79" w14:textId="77777777" w:rsidR="008823A8" w:rsidRPr="002D184B" w:rsidRDefault="008823A8" w:rsidP="003617AD">
            <w:r w:rsidRPr="002D184B">
              <w:t>Segment</w:t>
            </w:r>
          </w:p>
        </w:tc>
        <w:tc>
          <w:tcPr>
            <w:tcW w:w="0" w:type="auto"/>
            <w:vAlign w:val="center"/>
            <w:hideMark/>
          </w:tcPr>
          <w:p w14:paraId="4C63CA3D" w14:textId="77777777" w:rsidR="008823A8" w:rsidRPr="002D184B" w:rsidRDefault="008823A8" w:rsidP="003617AD">
            <w:r w:rsidRPr="002D184B">
              <w:t>Categorical</w:t>
            </w:r>
          </w:p>
        </w:tc>
      </w:tr>
      <w:tr w:rsidR="008823A8" w:rsidRPr="002D184B" w14:paraId="200F63A8" w14:textId="77777777" w:rsidTr="003617AD">
        <w:trPr>
          <w:tblCellSpacing w:w="15" w:type="dxa"/>
        </w:trPr>
        <w:tc>
          <w:tcPr>
            <w:tcW w:w="0" w:type="auto"/>
            <w:vAlign w:val="center"/>
            <w:hideMark/>
          </w:tcPr>
          <w:p w14:paraId="10036B27" w14:textId="77777777" w:rsidR="008823A8" w:rsidRPr="002D184B" w:rsidRDefault="008823A8" w:rsidP="003617AD">
            <w:r w:rsidRPr="002D184B">
              <w:t>State</w:t>
            </w:r>
          </w:p>
        </w:tc>
        <w:tc>
          <w:tcPr>
            <w:tcW w:w="0" w:type="auto"/>
            <w:vAlign w:val="center"/>
            <w:hideMark/>
          </w:tcPr>
          <w:p w14:paraId="6E327069" w14:textId="77777777" w:rsidR="008823A8" w:rsidRPr="002D184B" w:rsidRDefault="008823A8" w:rsidP="003617AD">
            <w:r w:rsidRPr="002D184B">
              <w:t>Categorical</w:t>
            </w:r>
          </w:p>
        </w:tc>
      </w:tr>
      <w:tr w:rsidR="008823A8" w:rsidRPr="002D184B" w14:paraId="6C2CF3B5" w14:textId="77777777" w:rsidTr="003617AD">
        <w:trPr>
          <w:tblCellSpacing w:w="15" w:type="dxa"/>
        </w:trPr>
        <w:tc>
          <w:tcPr>
            <w:tcW w:w="0" w:type="auto"/>
            <w:vAlign w:val="center"/>
            <w:hideMark/>
          </w:tcPr>
          <w:p w14:paraId="096EF316" w14:textId="77777777" w:rsidR="008823A8" w:rsidRPr="002D184B" w:rsidRDefault="008823A8" w:rsidP="003617AD">
            <w:r w:rsidRPr="002D184B">
              <w:t>City</w:t>
            </w:r>
          </w:p>
        </w:tc>
        <w:tc>
          <w:tcPr>
            <w:tcW w:w="0" w:type="auto"/>
            <w:vAlign w:val="center"/>
            <w:hideMark/>
          </w:tcPr>
          <w:p w14:paraId="00703850" w14:textId="77777777" w:rsidR="008823A8" w:rsidRPr="002D184B" w:rsidRDefault="008823A8" w:rsidP="003617AD">
            <w:r w:rsidRPr="002D184B">
              <w:t>Categorical</w:t>
            </w:r>
          </w:p>
        </w:tc>
      </w:tr>
      <w:tr w:rsidR="008823A8" w:rsidRPr="002D184B" w14:paraId="1053CA03" w14:textId="77777777" w:rsidTr="003617AD">
        <w:trPr>
          <w:tblCellSpacing w:w="15" w:type="dxa"/>
        </w:trPr>
        <w:tc>
          <w:tcPr>
            <w:tcW w:w="0" w:type="auto"/>
            <w:vAlign w:val="center"/>
            <w:hideMark/>
          </w:tcPr>
          <w:p w14:paraId="138E4BC3" w14:textId="77777777" w:rsidR="008823A8" w:rsidRPr="002D184B" w:rsidRDefault="008823A8" w:rsidP="003617AD">
            <w:r w:rsidRPr="002D184B">
              <w:t>Category</w:t>
            </w:r>
          </w:p>
        </w:tc>
        <w:tc>
          <w:tcPr>
            <w:tcW w:w="0" w:type="auto"/>
            <w:vAlign w:val="center"/>
            <w:hideMark/>
          </w:tcPr>
          <w:p w14:paraId="54FD3129" w14:textId="77777777" w:rsidR="008823A8" w:rsidRPr="002D184B" w:rsidRDefault="008823A8" w:rsidP="003617AD">
            <w:r w:rsidRPr="002D184B">
              <w:t>Categorical</w:t>
            </w:r>
          </w:p>
        </w:tc>
      </w:tr>
      <w:tr w:rsidR="008823A8" w:rsidRPr="002D184B" w14:paraId="0F13E1C3" w14:textId="77777777" w:rsidTr="003617AD">
        <w:trPr>
          <w:tblCellSpacing w:w="15" w:type="dxa"/>
        </w:trPr>
        <w:tc>
          <w:tcPr>
            <w:tcW w:w="0" w:type="auto"/>
            <w:vAlign w:val="center"/>
            <w:hideMark/>
          </w:tcPr>
          <w:p w14:paraId="79799FF1" w14:textId="77777777" w:rsidR="008823A8" w:rsidRPr="002D184B" w:rsidRDefault="008823A8" w:rsidP="003617AD">
            <w:r w:rsidRPr="002D184B">
              <w:t>Discount</w:t>
            </w:r>
          </w:p>
        </w:tc>
        <w:tc>
          <w:tcPr>
            <w:tcW w:w="0" w:type="auto"/>
            <w:vAlign w:val="center"/>
            <w:hideMark/>
          </w:tcPr>
          <w:p w14:paraId="49F9CBFF" w14:textId="77777777" w:rsidR="008823A8" w:rsidRPr="002D184B" w:rsidRDefault="008823A8" w:rsidP="003617AD">
            <w:r w:rsidRPr="002D184B">
              <w:t>Numerical</w:t>
            </w:r>
          </w:p>
        </w:tc>
      </w:tr>
      <w:tr w:rsidR="008823A8" w:rsidRPr="002D184B" w14:paraId="79F20A74" w14:textId="77777777" w:rsidTr="003617AD">
        <w:trPr>
          <w:tblCellSpacing w:w="15" w:type="dxa"/>
        </w:trPr>
        <w:tc>
          <w:tcPr>
            <w:tcW w:w="0" w:type="auto"/>
            <w:vAlign w:val="center"/>
            <w:hideMark/>
          </w:tcPr>
          <w:p w14:paraId="08C8AD71" w14:textId="77777777" w:rsidR="008823A8" w:rsidRPr="002D184B" w:rsidRDefault="008823A8" w:rsidP="003617AD">
            <w:r w:rsidRPr="002D184B">
              <w:t>Profit</w:t>
            </w:r>
          </w:p>
        </w:tc>
        <w:tc>
          <w:tcPr>
            <w:tcW w:w="0" w:type="auto"/>
            <w:vAlign w:val="center"/>
            <w:hideMark/>
          </w:tcPr>
          <w:p w14:paraId="15B272FD" w14:textId="77777777" w:rsidR="008823A8" w:rsidRPr="002D184B" w:rsidRDefault="008823A8" w:rsidP="003617AD">
            <w:r w:rsidRPr="002D184B">
              <w:t>Numerical</w:t>
            </w:r>
          </w:p>
        </w:tc>
      </w:tr>
      <w:tr w:rsidR="008823A8" w:rsidRPr="002D184B" w14:paraId="0F8170B9" w14:textId="77777777" w:rsidTr="003617AD">
        <w:trPr>
          <w:tblCellSpacing w:w="15" w:type="dxa"/>
        </w:trPr>
        <w:tc>
          <w:tcPr>
            <w:tcW w:w="0" w:type="auto"/>
            <w:vAlign w:val="center"/>
            <w:hideMark/>
          </w:tcPr>
          <w:p w14:paraId="55880D55" w14:textId="77777777" w:rsidR="008823A8" w:rsidRPr="002D184B" w:rsidRDefault="008823A8" w:rsidP="003617AD">
            <w:r w:rsidRPr="002D184B">
              <w:t>Quantity</w:t>
            </w:r>
          </w:p>
        </w:tc>
        <w:tc>
          <w:tcPr>
            <w:tcW w:w="0" w:type="auto"/>
            <w:vAlign w:val="center"/>
            <w:hideMark/>
          </w:tcPr>
          <w:p w14:paraId="5F746632" w14:textId="77777777" w:rsidR="008823A8" w:rsidRPr="002D184B" w:rsidRDefault="008823A8" w:rsidP="003617AD">
            <w:r w:rsidRPr="002D184B">
              <w:t>Numerical</w:t>
            </w:r>
          </w:p>
        </w:tc>
      </w:tr>
      <w:tr w:rsidR="008823A8" w:rsidRPr="002D184B" w14:paraId="31D8CE9E" w14:textId="77777777" w:rsidTr="003617AD">
        <w:trPr>
          <w:tblCellSpacing w:w="15" w:type="dxa"/>
        </w:trPr>
        <w:tc>
          <w:tcPr>
            <w:tcW w:w="0" w:type="auto"/>
            <w:vAlign w:val="center"/>
            <w:hideMark/>
          </w:tcPr>
          <w:p w14:paraId="73CE138A" w14:textId="77777777" w:rsidR="008823A8" w:rsidRPr="002D184B" w:rsidRDefault="008823A8" w:rsidP="003617AD">
            <w:r w:rsidRPr="002D184B">
              <w:t>Sales</w:t>
            </w:r>
          </w:p>
        </w:tc>
        <w:tc>
          <w:tcPr>
            <w:tcW w:w="0" w:type="auto"/>
            <w:vAlign w:val="center"/>
            <w:hideMark/>
          </w:tcPr>
          <w:p w14:paraId="43D08706" w14:textId="77777777" w:rsidR="008823A8" w:rsidRPr="002D184B" w:rsidRDefault="008823A8" w:rsidP="003617AD">
            <w:r w:rsidRPr="002D184B">
              <w:t>Numerical</w:t>
            </w:r>
          </w:p>
        </w:tc>
      </w:tr>
      <w:tr w:rsidR="008823A8" w:rsidRPr="002D184B" w14:paraId="5D73246E" w14:textId="77777777" w:rsidTr="003617AD">
        <w:trPr>
          <w:tblCellSpacing w:w="15" w:type="dxa"/>
        </w:trPr>
        <w:tc>
          <w:tcPr>
            <w:tcW w:w="0" w:type="auto"/>
            <w:vAlign w:val="center"/>
            <w:hideMark/>
          </w:tcPr>
          <w:p w14:paraId="657B4A47" w14:textId="77777777" w:rsidR="008823A8" w:rsidRPr="002D184B" w:rsidRDefault="008823A8" w:rsidP="003617AD">
            <w:r w:rsidRPr="002D184B">
              <w:t>Year</w:t>
            </w:r>
          </w:p>
        </w:tc>
        <w:tc>
          <w:tcPr>
            <w:tcW w:w="0" w:type="auto"/>
            <w:vAlign w:val="center"/>
            <w:hideMark/>
          </w:tcPr>
          <w:p w14:paraId="45DD7F8D" w14:textId="77777777" w:rsidR="008823A8" w:rsidRPr="002D184B" w:rsidRDefault="008823A8" w:rsidP="003617AD">
            <w:r w:rsidRPr="002D184B">
              <w:t>Numerical</w:t>
            </w:r>
          </w:p>
        </w:tc>
      </w:tr>
    </w:tbl>
    <w:p w14:paraId="0D498470" w14:textId="1695CC69" w:rsidR="007D7065" w:rsidRDefault="008823A8">
      <w:pPr>
        <w:rPr>
          <w:b/>
          <w:bCs/>
          <w:sz w:val="28"/>
          <w:szCs w:val="28"/>
        </w:rPr>
      </w:pPr>
      <w:r w:rsidRPr="008823A8">
        <w:rPr>
          <w:b/>
          <w:bCs/>
          <w:sz w:val="28"/>
          <w:szCs w:val="28"/>
        </w:rPr>
        <w:t>TASK-1.3: The missing values are identified and imputed.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1441"/>
      </w:tblGrid>
      <w:tr w:rsidR="008823A8" w:rsidRPr="00305222" w14:paraId="11D3D0D7" w14:textId="77777777" w:rsidTr="003617AD">
        <w:trPr>
          <w:tblHeader/>
          <w:tblCellSpacing w:w="15" w:type="dxa"/>
          <w:jc w:val="center"/>
        </w:trPr>
        <w:tc>
          <w:tcPr>
            <w:tcW w:w="0" w:type="auto"/>
            <w:vAlign w:val="center"/>
            <w:hideMark/>
          </w:tcPr>
          <w:p w14:paraId="592C0A0A" w14:textId="77777777" w:rsidR="008823A8" w:rsidRPr="00305222" w:rsidRDefault="008823A8" w:rsidP="003617AD">
            <w:pPr>
              <w:rPr>
                <w:b/>
                <w:bCs/>
              </w:rPr>
            </w:pPr>
            <w:r w:rsidRPr="00305222">
              <w:rPr>
                <w:b/>
                <w:bCs/>
              </w:rPr>
              <w:t>Column</w:t>
            </w:r>
          </w:p>
        </w:tc>
        <w:tc>
          <w:tcPr>
            <w:tcW w:w="0" w:type="auto"/>
            <w:vAlign w:val="center"/>
            <w:hideMark/>
          </w:tcPr>
          <w:p w14:paraId="098A1853" w14:textId="77777777" w:rsidR="008823A8" w:rsidRPr="00305222" w:rsidRDefault="008823A8" w:rsidP="003617AD">
            <w:pPr>
              <w:rPr>
                <w:b/>
                <w:bCs/>
              </w:rPr>
            </w:pPr>
            <w:r w:rsidRPr="00305222">
              <w:rPr>
                <w:b/>
                <w:bCs/>
              </w:rPr>
              <w:t>Missing Values</w:t>
            </w:r>
          </w:p>
        </w:tc>
      </w:tr>
      <w:tr w:rsidR="008823A8" w:rsidRPr="00305222" w14:paraId="69AC308B" w14:textId="77777777" w:rsidTr="003617AD">
        <w:trPr>
          <w:tblCellSpacing w:w="15" w:type="dxa"/>
          <w:jc w:val="center"/>
        </w:trPr>
        <w:tc>
          <w:tcPr>
            <w:tcW w:w="0" w:type="auto"/>
            <w:vAlign w:val="center"/>
            <w:hideMark/>
          </w:tcPr>
          <w:p w14:paraId="05FF93C9" w14:textId="77777777" w:rsidR="008823A8" w:rsidRPr="00305222" w:rsidRDefault="008823A8" w:rsidP="003617AD">
            <w:r w:rsidRPr="00305222">
              <w:t>Order ID</w:t>
            </w:r>
          </w:p>
        </w:tc>
        <w:tc>
          <w:tcPr>
            <w:tcW w:w="0" w:type="auto"/>
            <w:vAlign w:val="center"/>
            <w:hideMark/>
          </w:tcPr>
          <w:p w14:paraId="38D54B07" w14:textId="77777777" w:rsidR="008823A8" w:rsidRPr="00305222" w:rsidRDefault="008823A8" w:rsidP="003617AD">
            <w:r w:rsidRPr="00305222">
              <w:t>1</w:t>
            </w:r>
          </w:p>
        </w:tc>
      </w:tr>
      <w:tr w:rsidR="008823A8" w:rsidRPr="00305222" w14:paraId="36EF34BA" w14:textId="77777777" w:rsidTr="003617AD">
        <w:trPr>
          <w:tblCellSpacing w:w="15" w:type="dxa"/>
          <w:jc w:val="center"/>
        </w:trPr>
        <w:tc>
          <w:tcPr>
            <w:tcW w:w="0" w:type="auto"/>
            <w:vAlign w:val="center"/>
            <w:hideMark/>
          </w:tcPr>
          <w:p w14:paraId="0DCF3F02" w14:textId="77777777" w:rsidR="008823A8" w:rsidRPr="00305222" w:rsidRDefault="008823A8" w:rsidP="003617AD">
            <w:r w:rsidRPr="00305222">
              <w:t>Customer ID</w:t>
            </w:r>
          </w:p>
        </w:tc>
        <w:tc>
          <w:tcPr>
            <w:tcW w:w="0" w:type="auto"/>
            <w:vAlign w:val="center"/>
            <w:hideMark/>
          </w:tcPr>
          <w:p w14:paraId="62B0E287" w14:textId="77777777" w:rsidR="008823A8" w:rsidRPr="00305222" w:rsidRDefault="008823A8" w:rsidP="003617AD">
            <w:r w:rsidRPr="00305222">
              <w:t>0</w:t>
            </w:r>
          </w:p>
        </w:tc>
      </w:tr>
      <w:tr w:rsidR="008823A8" w:rsidRPr="00305222" w14:paraId="030025D6" w14:textId="77777777" w:rsidTr="003617AD">
        <w:trPr>
          <w:tblCellSpacing w:w="15" w:type="dxa"/>
          <w:jc w:val="center"/>
        </w:trPr>
        <w:tc>
          <w:tcPr>
            <w:tcW w:w="0" w:type="auto"/>
            <w:vAlign w:val="center"/>
            <w:hideMark/>
          </w:tcPr>
          <w:p w14:paraId="11C69BB0" w14:textId="77777777" w:rsidR="008823A8" w:rsidRPr="00305222" w:rsidRDefault="008823A8" w:rsidP="003617AD">
            <w:r w:rsidRPr="00305222">
              <w:t>State</w:t>
            </w:r>
          </w:p>
        </w:tc>
        <w:tc>
          <w:tcPr>
            <w:tcW w:w="0" w:type="auto"/>
            <w:vAlign w:val="center"/>
            <w:hideMark/>
          </w:tcPr>
          <w:p w14:paraId="0B4F79CB" w14:textId="77777777" w:rsidR="008823A8" w:rsidRPr="00305222" w:rsidRDefault="008823A8" w:rsidP="003617AD">
            <w:r w:rsidRPr="00305222">
              <w:t>1</w:t>
            </w:r>
          </w:p>
        </w:tc>
      </w:tr>
      <w:tr w:rsidR="008823A8" w:rsidRPr="00305222" w14:paraId="5302DF5E" w14:textId="77777777" w:rsidTr="003617AD">
        <w:trPr>
          <w:tblCellSpacing w:w="15" w:type="dxa"/>
          <w:jc w:val="center"/>
        </w:trPr>
        <w:tc>
          <w:tcPr>
            <w:tcW w:w="0" w:type="auto"/>
            <w:vAlign w:val="center"/>
            <w:hideMark/>
          </w:tcPr>
          <w:p w14:paraId="37B821FD" w14:textId="77777777" w:rsidR="008823A8" w:rsidRPr="00305222" w:rsidRDefault="008823A8" w:rsidP="003617AD">
            <w:r w:rsidRPr="00305222">
              <w:t>City</w:t>
            </w:r>
          </w:p>
        </w:tc>
        <w:tc>
          <w:tcPr>
            <w:tcW w:w="0" w:type="auto"/>
            <w:vAlign w:val="center"/>
            <w:hideMark/>
          </w:tcPr>
          <w:p w14:paraId="2DFCB6F0" w14:textId="77777777" w:rsidR="008823A8" w:rsidRPr="00305222" w:rsidRDefault="008823A8" w:rsidP="003617AD">
            <w:r w:rsidRPr="00305222">
              <w:t>0</w:t>
            </w:r>
          </w:p>
        </w:tc>
      </w:tr>
      <w:tr w:rsidR="008823A8" w:rsidRPr="00305222" w14:paraId="6570E45B" w14:textId="77777777" w:rsidTr="003617AD">
        <w:trPr>
          <w:tblCellSpacing w:w="15" w:type="dxa"/>
          <w:jc w:val="center"/>
        </w:trPr>
        <w:tc>
          <w:tcPr>
            <w:tcW w:w="0" w:type="auto"/>
            <w:vAlign w:val="center"/>
            <w:hideMark/>
          </w:tcPr>
          <w:p w14:paraId="303FEC3F" w14:textId="77777777" w:rsidR="008823A8" w:rsidRPr="00305222" w:rsidRDefault="008823A8" w:rsidP="003617AD">
            <w:r w:rsidRPr="00305222">
              <w:t>Order Date</w:t>
            </w:r>
          </w:p>
        </w:tc>
        <w:tc>
          <w:tcPr>
            <w:tcW w:w="0" w:type="auto"/>
            <w:vAlign w:val="center"/>
            <w:hideMark/>
          </w:tcPr>
          <w:p w14:paraId="1F56F139" w14:textId="77777777" w:rsidR="008823A8" w:rsidRPr="00305222" w:rsidRDefault="008823A8" w:rsidP="003617AD">
            <w:r w:rsidRPr="00305222">
              <w:t>1</w:t>
            </w:r>
          </w:p>
        </w:tc>
      </w:tr>
      <w:tr w:rsidR="008823A8" w:rsidRPr="00305222" w14:paraId="70042FA5" w14:textId="77777777" w:rsidTr="003617AD">
        <w:trPr>
          <w:tblCellSpacing w:w="15" w:type="dxa"/>
          <w:jc w:val="center"/>
        </w:trPr>
        <w:tc>
          <w:tcPr>
            <w:tcW w:w="0" w:type="auto"/>
            <w:vAlign w:val="center"/>
            <w:hideMark/>
          </w:tcPr>
          <w:p w14:paraId="36F5704B" w14:textId="77777777" w:rsidR="008823A8" w:rsidRPr="00305222" w:rsidRDefault="008823A8" w:rsidP="003617AD">
            <w:r w:rsidRPr="00305222">
              <w:t>Ship Date</w:t>
            </w:r>
          </w:p>
        </w:tc>
        <w:tc>
          <w:tcPr>
            <w:tcW w:w="0" w:type="auto"/>
            <w:vAlign w:val="center"/>
            <w:hideMark/>
          </w:tcPr>
          <w:p w14:paraId="00E1C30B" w14:textId="77777777" w:rsidR="008823A8" w:rsidRPr="00305222" w:rsidRDefault="008823A8" w:rsidP="003617AD">
            <w:r w:rsidRPr="00305222">
              <w:t>0</w:t>
            </w:r>
          </w:p>
        </w:tc>
      </w:tr>
      <w:tr w:rsidR="008823A8" w:rsidRPr="00305222" w14:paraId="4951CFC3" w14:textId="77777777" w:rsidTr="003617AD">
        <w:trPr>
          <w:tblCellSpacing w:w="15" w:type="dxa"/>
          <w:jc w:val="center"/>
        </w:trPr>
        <w:tc>
          <w:tcPr>
            <w:tcW w:w="0" w:type="auto"/>
            <w:vAlign w:val="center"/>
            <w:hideMark/>
          </w:tcPr>
          <w:p w14:paraId="6BA4C50D" w14:textId="77777777" w:rsidR="008823A8" w:rsidRPr="00305222" w:rsidRDefault="008823A8" w:rsidP="003617AD">
            <w:r w:rsidRPr="00305222">
              <w:t>Ship Mode</w:t>
            </w:r>
          </w:p>
        </w:tc>
        <w:tc>
          <w:tcPr>
            <w:tcW w:w="0" w:type="auto"/>
            <w:vAlign w:val="center"/>
            <w:hideMark/>
          </w:tcPr>
          <w:p w14:paraId="2B286FB2" w14:textId="77777777" w:rsidR="008823A8" w:rsidRPr="00305222" w:rsidRDefault="008823A8" w:rsidP="003617AD">
            <w:r w:rsidRPr="00305222">
              <w:t>0</w:t>
            </w:r>
          </w:p>
        </w:tc>
      </w:tr>
      <w:tr w:rsidR="008823A8" w:rsidRPr="00305222" w14:paraId="5B4588C2" w14:textId="77777777" w:rsidTr="003617AD">
        <w:trPr>
          <w:tblCellSpacing w:w="15" w:type="dxa"/>
          <w:jc w:val="center"/>
        </w:trPr>
        <w:tc>
          <w:tcPr>
            <w:tcW w:w="0" w:type="auto"/>
            <w:vAlign w:val="center"/>
            <w:hideMark/>
          </w:tcPr>
          <w:p w14:paraId="629C4C58" w14:textId="77777777" w:rsidR="008823A8" w:rsidRPr="00305222" w:rsidRDefault="008823A8" w:rsidP="003617AD">
            <w:r w:rsidRPr="00305222">
              <w:t>Segment</w:t>
            </w:r>
          </w:p>
        </w:tc>
        <w:tc>
          <w:tcPr>
            <w:tcW w:w="0" w:type="auto"/>
            <w:vAlign w:val="center"/>
            <w:hideMark/>
          </w:tcPr>
          <w:p w14:paraId="2129CA60" w14:textId="77777777" w:rsidR="008823A8" w:rsidRPr="00305222" w:rsidRDefault="008823A8" w:rsidP="003617AD">
            <w:r w:rsidRPr="00305222">
              <w:t>0</w:t>
            </w:r>
          </w:p>
        </w:tc>
      </w:tr>
      <w:tr w:rsidR="008823A8" w:rsidRPr="00305222" w14:paraId="210581C4" w14:textId="77777777" w:rsidTr="003617AD">
        <w:trPr>
          <w:tblCellSpacing w:w="15" w:type="dxa"/>
          <w:jc w:val="center"/>
        </w:trPr>
        <w:tc>
          <w:tcPr>
            <w:tcW w:w="0" w:type="auto"/>
            <w:vAlign w:val="center"/>
            <w:hideMark/>
          </w:tcPr>
          <w:p w14:paraId="159C6A0C" w14:textId="77777777" w:rsidR="008823A8" w:rsidRPr="00305222" w:rsidRDefault="008823A8" w:rsidP="003617AD">
            <w:r w:rsidRPr="00305222">
              <w:t>Category</w:t>
            </w:r>
          </w:p>
        </w:tc>
        <w:tc>
          <w:tcPr>
            <w:tcW w:w="0" w:type="auto"/>
            <w:vAlign w:val="center"/>
            <w:hideMark/>
          </w:tcPr>
          <w:p w14:paraId="2C9D1398" w14:textId="77777777" w:rsidR="008823A8" w:rsidRPr="00305222" w:rsidRDefault="008823A8" w:rsidP="003617AD">
            <w:r w:rsidRPr="00305222">
              <w:t>0</w:t>
            </w:r>
          </w:p>
        </w:tc>
      </w:tr>
      <w:tr w:rsidR="008823A8" w:rsidRPr="00305222" w14:paraId="10E74AF0" w14:textId="77777777" w:rsidTr="003617AD">
        <w:trPr>
          <w:tblCellSpacing w:w="15" w:type="dxa"/>
          <w:jc w:val="center"/>
        </w:trPr>
        <w:tc>
          <w:tcPr>
            <w:tcW w:w="0" w:type="auto"/>
            <w:vAlign w:val="center"/>
            <w:hideMark/>
          </w:tcPr>
          <w:p w14:paraId="6B5003FB" w14:textId="77777777" w:rsidR="008823A8" w:rsidRPr="00305222" w:rsidRDefault="008823A8" w:rsidP="003617AD">
            <w:r w:rsidRPr="00305222">
              <w:t>Year</w:t>
            </w:r>
          </w:p>
        </w:tc>
        <w:tc>
          <w:tcPr>
            <w:tcW w:w="0" w:type="auto"/>
            <w:vAlign w:val="center"/>
            <w:hideMark/>
          </w:tcPr>
          <w:p w14:paraId="77B5B4D5" w14:textId="77777777" w:rsidR="008823A8" w:rsidRPr="00305222" w:rsidRDefault="008823A8" w:rsidP="003617AD">
            <w:r w:rsidRPr="00305222">
              <w:t>0</w:t>
            </w:r>
          </w:p>
        </w:tc>
      </w:tr>
      <w:tr w:rsidR="008823A8" w:rsidRPr="00305222" w14:paraId="16782ED5" w14:textId="77777777" w:rsidTr="003617AD">
        <w:trPr>
          <w:tblCellSpacing w:w="15" w:type="dxa"/>
          <w:jc w:val="center"/>
        </w:trPr>
        <w:tc>
          <w:tcPr>
            <w:tcW w:w="0" w:type="auto"/>
            <w:vAlign w:val="center"/>
            <w:hideMark/>
          </w:tcPr>
          <w:p w14:paraId="1432A0E6" w14:textId="77777777" w:rsidR="008823A8" w:rsidRPr="00305222" w:rsidRDefault="008823A8" w:rsidP="003617AD">
            <w:r w:rsidRPr="00305222">
              <w:lastRenderedPageBreak/>
              <w:t>Discount</w:t>
            </w:r>
          </w:p>
        </w:tc>
        <w:tc>
          <w:tcPr>
            <w:tcW w:w="0" w:type="auto"/>
            <w:vAlign w:val="center"/>
            <w:hideMark/>
          </w:tcPr>
          <w:p w14:paraId="75534482" w14:textId="77777777" w:rsidR="008823A8" w:rsidRPr="00305222" w:rsidRDefault="008823A8" w:rsidP="003617AD">
            <w:r w:rsidRPr="00305222">
              <w:t>0</w:t>
            </w:r>
          </w:p>
        </w:tc>
      </w:tr>
      <w:tr w:rsidR="008823A8" w:rsidRPr="00305222" w14:paraId="3F220104" w14:textId="77777777" w:rsidTr="003617AD">
        <w:trPr>
          <w:tblCellSpacing w:w="15" w:type="dxa"/>
          <w:jc w:val="center"/>
        </w:trPr>
        <w:tc>
          <w:tcPr>
            <w:tcW w:w="0" w:type="auto"/>
            <w:vAlign w:val="center"/>
            <w:hideMark/>
          </w:tcPr>
          <w:p w14:paraId="1BA961BF" w14:textId="77777777" w:rsidR="008823A8" w:rsidRPr="00305222" w:rsidRDefault="008823A8" w:rsidP="003617AD">
            <w:r w:rsidRPr="00305222">
              <w:t>Profit</w:t>
            </w:r>
          </w:p>
        </w:tc>
        <w:tc>
          <w:tcPr>
            <w:tcW w:w="0" w:type="auto"/>
            <w:vAlign w:val="center"/>
            <w:hideMark/>
          </w:tcPr>
          <w:p w14:paraId="4C1790FC" w14:textId="77777777" w:rsidR="008823A8" w:rsidRPr="00305222" w:rsidRDefault="008823A8" w:rsidP="003617AD">
            <w:r w:rsidRPr="00305222">
              <w:t>0</w:t>
            </w:r>
          </w:p>
        </w:tc>
      </w:tr>
      <w:tr w:rsidR="008823A8" w:rsidRPr="00305222" w14:paraId="3FFF4BA9" w14:textId="77777777" w:rsidTr="003617AD">
        <w:trPr>
          <w:tblCellSpacing w:w="15" w:type="dxa"/>
          <w:jc w:val="center"/>
        </w:trPr>
        <w:tc>
          <w:tcPr>
            <w:tcW w:w="0" w:type="auto"/>
            <w:vAlign w:val="center"/>
            <w:hideMark/>
          </w:tcPr>
          <w:p w14:paraId="168DDEC2" w14:textId="77777777" w:rsidR="008823A8" w:rsidRPr="00305222" w:rsidRDefault="008823A8" w:rsidP="003617AD">
            <w:r w:rsidRPr="00305222">
              <w:t>Quantity</w:t>
            </w:r>
          </w:p>
        </w:tc>
        <w:tc>
          <w:tcPr>
            <w:tcW w:w="0" w:type="auto"/>
            <w:vAlign w:val="center"/>
            <w:hideMark/>
          </w:tcPr>
          <w:p w14:paraId="5BA765F5" w14:textId="77777777" w:rsidR="008823A8" w:rsidRPr="00305222" w:rsidRDefault="008823A8" w:rsidP="003617AD">
            <w:r w:rsidRPr="00305222">
              <w:t>0</w:t>
            </w:r>
          </w:p>
        </w:tc>
      </w:tr>
      <w:tr w:rsidR="008823A8" w:rsidRPr="00305222" w14:paraId="16AF4F62" w14:textId="77777777" w:rsidTr="003617AD">
        <w:trPr>
          <w:tblCellSpacing w:w="15" w:type="dxa"/>
          <w:jc w:val="center"/>
        </w:trPr>
        <w:tc>
          <w:tcPr>
            <w:tcW w:w="0" w:type="auto"/>
            <w:vAlign w:val="center"/>
            <w:hideMark/>
          </w:tcPr>
          <w:p w14:paraId="40065C33" w14:textId="77777777" w:rsidR="008823A8" w:rsidRPr="00305222" w:rsidRDefault="008823A8" w:rsidP="003617AD">
            <w:r w:rsidRPr="00305222">
              <w:t>Sales</w:t>
            </w:r>
          </w:p>
        </w:tc>
        <w:tc>
          <w:tcPr>
            <w:tcW w:w="0" w:type="auto"/>
            <w:vAlign w:val="center"/>
            <w:hideMark/>
          </w:tcPr>
          <w:p w14:paraId="4F0BE725" w14:textId="77777777" w:rsidR="008823A8" w:rsidRPr="00305222" w:rsidRDefault="008823A8" w:rsidP="003617AD">
            <w:r w:rsidRPr="00305222">
              <w:t>0</w:t>
            </w:r>
          </w:p>
        </w:tc>
      </w:tr>
    </w:tbl>
    <w:p w14:paraId="7A0D7A61" w14:textId="69D719AA" w:rsidR="008823A8" w:rsidRPr="008823A8" w:rsidRDefault="008823A8" w:rsidP="008823A8">
      <w:pPr>
        <w:rPr>
          <w:b/>
          <w:bCs/>
          <w:sz w:val="28"/>
          <w:szCs w:val="28"/>
        </w:rPr>
      </w:pPr>
      <w:r w:rsidRPr="008823A8">
        <w:rPr>
          <w:b/>
          <w:bCs/>
          <w:sz w:val="28"/>
          <w:szCs w:val="28"/>
        </w:rPr>
        <w:t>Task</w:t>
      </w:r>
      <w:r>
        <w:rPr>
          <w:b/>
          <w:bCs/>
          <w:sz w:val="28"/>
          <w:szCs w:val="28"/>
        </w:rPr>
        <w:t>-</w:t>
      </w:r>
      <w:r w:rsidRPr="008823A8">
        <w:rPr>
          <w:b/>
          <w:bCs/>
          <w:sz w:val="28"/>
          <w:szCs w:val="28"/>
        </w:rPr>
        <w:t>2</w:t>
      </w:r>
      <w:r>
        <w:rPr>
          <w:b/>
          <w:bCs/>
          <w:sz w:val="28"/>
          <w:szCs w:val="28"/>
        </w:rPr>
        <w:t>:</w:t>
      </w:r>
      <w:r w:rsidRPr="008823A8">
        <w:rPr>
          <w:b/>
          <w:bCs/>
          <w:sz w:val="28"/>
          <w:szCs w:val="28"/>
        </w:rPr>
        <w:t xml:space="preserve"> </w:t>
      </w:r>
    </w:p>
    <w:p w14:paraId="58F2E62C" w14:textId="60BF857B" w:rsidR="008823A8" w:rsidRPr="00E66593" w:rsidRDefault="008823A8" w:rsidP="008823A8">
      <w:pPr>
        <w:rPr>
          <w:sz w:val="28"/>
          <w:szCs w:val="28"/>
        </w:rPr>
      </w:pPr>
      <w:r>
        <w:rPr>
          <w:sz w:val="28"/>
          <w:szCs w:val="28"/>
        </w:rPr>
        <w:t>1.</w:t>
      </w:r>
      <w:proofErr w:type="gramStart"/>
      <w:r>
        <w:rPr>
          <w:sz w:val="28"/>
          <w:szCs w:val="28"/>
        </w:rPr>
        <w:t xml:space="preserve">The </w:t>
      </w:r>
      <w:r w:rsidRPr="00E66593">
        <w:rPr>
          <w:sz w:val="28"/>
          <w:szCs w:val="28"/>
        </w:rPr>
        <w:t xml:space="preserve"> median</w:t>
      </w:r>
      <w:proofErr w:type="gramEnd"/>
      <w:r w:rsidRPr="00E66593">
        <w:rPr>
          <w:sz w:val="28"/>
          <w:szCs w:val="28"/>
        </w:rPr>
        <w:t xml:space="preserve"> value for Quantity and Sales for each product category, based on your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1"/>
        <w:gridCol w:w="2059"/>
        <w:gridCol w:w="1644"/>
      </w:tblGrid>
      <w:tr w:rsidR="008823A8" w:rsidRPr="00E66593" w14:paraId="51917148" w14:textId="77777777" w:rsidTr="003617AD">
        <w:trPr>
          <w:tblHeader/>
          <w:tblCellSpacing w:w="15" w:type="dxa"/>
        </w:trPr>
        <w:tc>
          <w:tcPr>
            <w:tcW w:w="0" w:type="auto"/>
            <w:vAlign w:val="center"/>
            <w:hideMark/>
          </w:tcPr>
          <w:p w14:paraId="79750B36" w14:textId="77777777" w:rsidR="008823A8" w:rsidRPr="00E66593" w:rsidRDefault="008823A8" w:rsidP="003617AD">
            <w:pPr>
              <w:rPr>
                <w:b/>
                <w:bCs/>
                <w:sz w:val="28"/>
                <w:szCs w:val="28"/>
              </w:rPr>
            </w:pPr>
            <w:r w:rsidRPr="00E66593">
              <w:rPr>
                <w:b/>
                <w:bCs/>
                <w:sz w:val="28"/>
                <w:szCs w:val="28"/>
              </w:rPr>
              <w:t>Category</w:t>
            </w:r>
          </w:p>
        </w:tc>
        <w:tc>
          <w:tcPr>
            <w:tcW w:w="0" w:type="auto"/>
            <w:vAlign w:val="center"/>
            <w:hideMark/>
          </w:tcPr>
          <w:p w14:paraId="1A3BFFAB" w14:textId="77777777" w:rsidR="008823A8" w:rsidRPr="00E66593" w:rsidRDefault="008823A8" w:rsidP="003617AD">
            <w:pPr>
              <w:rPr>
                <w:b/>
                <w:bCs/>
                <w:sz w:val="28"/>
                <w:szCs w:val="28"/>
              </w:rPr>
            </w:pPr>
            <w:r w:rsidRPr="00E66593">
              <w:rPr>
                <w:b/>
                <w:bCs/>
                <w:sz w:val="28"/>
                <w:szCs w:val="28"/>
              </w:rPr>
              <w:t>Median Quantity</w:t>
            </w:r>
          </w:p>
        </w:tc>
        <w:tc>
          <w:tcPr>
            <w:tcW w:w="0" w:type="auto"/>
            <w:vAlign w:val="center"/>
            <w:hideMark/>
          </w:tcPr>
          <w:p w14:paraId="0ACC1013" w14:textId="77777777" w:rsidR="008823A8" w:rsidRPr="00E66593" w:rsidRDefault="008823A8" w:rsidP="003617AD">
            <w:pPr>
              <w:rPr>
                <w:b/>
                <w:bCs/>
                <w:sz w:val="28"/>
                <w:szCs w:val="28"/>
              </w:rPr>
            </w:pPr>
            <w:r w:rsidRPr="00E66593">
              <w:rPr>
                <w:b/>
                <w:bCs/>
                <w:sz w:val="28"/>
                <w:szCs w:val="28"/>
              </w:rPr>
              <w:t>Median Sales</w:t>
            </w:r>
          </w:p>
        </w:tc>
      </w:tr>
      <w:tr w:rsidR="008823A8" w:rsidRPr="00E66593" w14:paraId="421678D7" w14:textId="77777777" w:rsidTr="003617AD">
        <w:trPr>
          <w:tblCellSpacing w:w="15" w:type="dxa"/>
        </w:trPr>
        <w:tc>
          <w:tcPr>
            <w:tcW w:w="0" w:type="auto"/>
            <w:vAlign w:val="center"/>
            <w:hideMark/>
          </w:tcPr>
          <w:p w14:paraId="53B3C2D4" w14:textId="77777777" w:rsidR="008823A8" w:rsidRPr="00E66593" w:rsidRDefault="008823A8" w:rsidP="003617AD">
            <w:pPr>
              <w:rPr>
                <w:sz w:val="28"/>
                <w:szCs w:val="28"/>
              </w:rPr>
            </w:pPr>
            <w:r w:rsidRPr="00E66593">
              <w:rPr>
                <w:sz w:val="28"/>
                <w:szCs w:val="28"/>
              </w:rPr>
              <w:t>Phones</w:t>
            </w:r>
          </w:p>
        </w:tc>
        <w:tc>
          <w:tcPr>
            <w:tcW w:w="0" w:type="auto"/>
            <w:vAlign w:val="center"/>
            <w:hideMark/>
          </w:tcPr>
          <w:p w14:paraId="32461988" w14:textId="77777777" w:rsidR="008823A8" w:rsidRPr="00E66593" w:rsidRDefault="008823A8" w:rsidP="003617AD">
            <w:pPr>
              <w:rPr>
                <w:sz w:val="28"/>
                <w:szCs w:val="28"/>
              </w:rPr>
            </w:pPr>
            <w:r w:rsidRPr="00E66593">
              <w:rPr>
                <w:sz w:val="28"/>
                <w:szCs w:val="28"/>
              </w:rPr>
              <w:t>3</w:t>
            </w:r>
          </w:p>
        </w:tc>
        <w:tc>
          <w:tcPr>
            <w:tcW w:w="0" w:type="auto"/>
            <w:vAlign w:val="center"/>
            <w:hideMark/>
          </w:tcPr>
          <w:p w14:paraId="464E3A11" w14:textId="77777777" w:rsidR="008823A8" w:rsidRPr="00E66593" w:rsidRDefault="008823A8" w:rsidP="003617AD">
            <w:pPr>
              <w:rPr>
                <w:sz w:val="28"/>
                <w:szCs w:val="28"/>
              </w:rPr>
            </w:pPr>
            <w:r w:rsidRPr="00E66593">
              <w:rPr>
                <w:sz w:val="28"/>
                <w:szCs w:val="28"/>
              </w:rPr>
              <w:t>74.00</w:t>
            </w:r>
          </w:p>
        </w:tc>
      </w:tr>
      <w:tr w:rsidR="008823A8" w:rsidRPr="00E66593" w14:paraId="4A5F2706" w14:textId="77777777" w:rsidTr="003617AD">
        <w:trPr>
          <w:tblCellSpacing w:w="15" w:type="dxa"/>
        </w:trPr>
        <w:tc>
          <w:tcPr>
            <w:tcW w:w="0" w:type="auto"/>
            <w:vAlign w:val="center"/>
            <w:hideMark/>
          </w:tcPr>
          <w:p w14:paraId="7326A1B3" w14:textId="77777777" w:rsidR="008823A8" w:rsidRPr="00E66593" w:rsidRDefault="008823A8" w:rsidP="003617AD">
            <w:pPr>
              <w:rPr>
                <w:sz w:val="28"/>
                <w:szCs w:val="28"/>
              </w:rPr>
            </w:pPr>
            <w:r w:rsidRPr="00E66593">
              <w:rPr>
                <w:sz w:val="28"/>
                <w:szCs w:val="28"/>
              </w:rPr>
              <w:t>Accessories</w:t>
            </w:r>
          </w:p>
        </w:tc>
        <w:tc>
          <w:tcPr>
            <w:tcW w:w="0" w:type="auto"/>
            <w:vAlign w:val="center"/>
            <w:hideMark/>
          </w:tcPr>
          <w:p w14:paraId="2C1648D0" w14:textId="77777777" w:rsidR="008823A8" w:rsidRPr="00E66593" w:rsidRDefault="008823A8" w:rsidP="003617AD">
            <w:pPr>
              <w:rPr>
                <w:sz w:val="28"/>
                <w:szCs w:val="28"/>
              </w:rPr>
            </w:pPr>
            <w:r w:rsidRPr="00E66593">
              <w:rPr>
                <w:sz w:val="28"/>
                <w:szCs w:val="28"/>
              </w:rPr>
              <w:t>3</w:t>
            </w:r>
          </w:p>
        </w:tc>
        <w:tc>
          <w:tcPr>
            <w:tcW w:w="0" w:type="auto"/>
            <w:vAlign w:val="center"/>
            <w:hideMark/>
          </w:tcPr>
          <w:p w14:paraId="6DF425E8" w14:textId="77777777" w:rsidR="008823A8" w:rsidRPr="00E66593" w:rsidRDefault="008823A8" w:rsidP="003617AD">
            <w:pPr>
              <w:rPr>
                <w:sz w:val="28"/>
                <w:szCs w:val="28"/>
              </w:rPr>
            </w:pPr>
            <w:r w:rsidRPr="00E66593">
              <w:rPr>
                <w:sz w:val="28"/>
                <w:szCs w:val="28"/>
              </w:rPr>
              <w:t>72.00</w:t>
            </w:r>
          </w:p>
        </w:tc>
      </w:tr>
      <w:tr w:rsidR="008823A8" w:rsidRPr="00E66593" w14:paraId="3B6A1F1F" w14:textId="77777777" w:rsidTr="003617AD">
        <w:trPr>
          <w:tblCellSpacing w:w="15" w:type="dxa"/>
        </w:trPr>
        <w:tc>
          <w:tcPr>
            <w:tcW w:w="0" w:type="auto"/>
            <w:vAlign w:val="center"/>
            <w:hideMark/>
          </w:tcPr>
          <w:p w14:paraId="3F68E0D4" w14:textId="77777777" w:rsidR="008823A8" w:rsidRPr="00E66593" w:rsidRDefault="008823A8" w:rsidP="003617AD">
            <w:pPr>
              <w:rPr>
                <w:sz w:val="28"/>
                <w:szCs w:val="28"/>
              </w:rPr>
            </w:pPr>
            <w:r w:rsidRPr="00E66593">
              <w:rPr>
                <w:sz w:val="28"/>
                <w:szCs w:val="28"/>
              </w:rPr>
              <w:t>Machines</w:t>
            </w:r>
          </w:p>
        </w:tc>
        <w:tc>
          <w:tcPr>
            <w:tcW w:w="0" w:type="auto"/>
            <w:vAlign w:val="center"/>
            <w:hideMark/>
          </w:tcPr>
          <w:p w14:paraId="35860214" w14:textId="77777777" w:rsidR="008823A8" w:rsidRPr="00E66593" w:rsidRDefault="008823A8" w:rsidP="003617AD">
            <w:pPr>
              <w:rPr>
                <w:sz w:val="28"/>
                <w:szCs w:val="28"/>
              </w:rPr>
            </w:pPr>
            <w:r w:rsidRPr="00E66593">
              <w:rPr>
                <w:sz w:val="28"/>
                <w:szCs w:val="28"/>
              </w:rPr>
              <w:t>3</w:t>
            </w:r>
          </w:p>
        </w:tc>
        <w:tc>
          <w:tcPr>
            <w:tcW w:w="0" w:type="auto"/>
            <w:vAlign w:val="center"/>
            <w:hideMark/>
          </w:tcPr>
          <w:p w14:paraId="710A83AB" w14:textId="77777777" w:rsidR="008823A8" w:rsidRPr="00E66593" w:rsidRDefault="008823A8" w:rsidP="003617AD">
            <w:pPr>
              <w:rPr>
                <w:sz w:val="28"/>
                <w:szCs w:val="28"/>
              </w:rPr>
            </w:pPr>
            <w:r w:rsidRPr="00E66593">
              <w:rPr>
                <w:sz w:val="28"/>
                <w:szCs w:val="28"/>
              </w:rPr>
              <w:t>1920.00</w:t>
            </w:r>
          </w:p>
        </w:tc>
      </w:tr>
      <w:tr w:rsidR="008823A8" w:rsidRPr="00E66593" w14:paraId="5D43E204" w14:textId="77777777" w:rsidTr="003617AD">
        <w:trPr>
          <w:tblCellSpacing w:w="15" w:type="dxa"/>
        </w:trPr>
        <w:tc>
          <w:tcPr>
            <w:tcW w:w="0" w:type="auto"/>
            <w:vAlign w:val="center"/>
            <w:hideMark/>
          </w:tcPr>
          <w:p w14:paraId="7138C698" w14:textId="77777777" w:rsidR="008823A8" w:rsidRPr="00E66593" w:rsidRDefault="008823A8" w:rsidP="003617AD">
            <w:pPr>
              <w:rPr>
                <w:sz w:val="28"/>
                <w:szCs w:val="28"/>
              </w:rPr>
            </w:pPr>
            <w:r w:rsidRPr="00E66593">
              <w:rPr>
                <w:sz w:val="28"/>
                <w:szCs w:val="28"/>
              </w:rPr>
              <w:t>Copiers</w:t>
            </w:r>
          </w:p>
        </w:tc>
        <w:tc>
          <w:tcPr>
            <w:tcW w:w="0" w:type="auto"/>
            <w:vAlign w:val="center"/>
            <w:hideMark/>
          </w:tcPr>
          <w:p w14:paraId="2A27A95C" w14:textId="77777777" w:rsidR="008823A8" w:rsidRPr="00E66593" w:rsidRDefault="008823A8" w:rsidP="003617AD">
            <w:pPr>
              <w:rPr>
                <w:sz w:val="28"/>
                <w:szCs w:val="28"/>
              </w:rPr>
            </w:pPr>
            <w:r w:rsidRPr="00E66593">
              <w:rPr>
                <w:sz w:val="28"/>
                <w:szCs w:val="28"/>
              </w:rPr>
              <w:t>3</w:t>
            </w:r>
          </w:p>
        </w:tc>
        <w:tc>
          <w:tcPr>
            <w:tcW w:w="0" w:type="auto"/>
            <w:vAlign w:val="center"/>
            <w:hideMark/>
          </w:tcPr>
          <w:p w14:paraId="4E98F6E1" w14:textId="77777777" w:rsidR="008823A8" w:rsidRPr="00E66593" w:rsidRDefault="008823A8" w:rsidP="003617AD">
            <w:pPr>
              <w:rPr>
                <w:sz w:val="28"/>
                <w:szCs w:val="28"/>
              </w:rPr>
            </w:pPr>
            <w:r w:rsidRPr="00E66593">
              <w:rPr>
                <w:sz w:val="28"/>
                <w:szCs w:val="28"/>
              </w:rPr>
              <w:t>1200.00</w:t>
            </w:r>
          </w:p>
        </w:tc>
      </w:tr>
    </w:tbl>
    <w:p w14:paraId="104289D9" w14:textId="77777777" w:rsidR="008823A8" w:rsidRDefault="008823A8" w:rsidP="008823A8">
      <w:pPr>
        <w:rPr>
          <w:sz w:val="28"/>
          <w:szCs w:val="28"/>
        </w:rPr>
      </w:pPr>
      <w:r w:rsidRPr="00E66593">
        <w:rPr>
          <w:sz w:val="28"/>
          <w:szCs w:val="28"/>
        </w:rPr>
        <w:t>This table summarizes the median Quantity and Sales values for each product category.</w:t>
      </w:r>
    </w:p>
    <w:p w14:paraId="63AF0DDD" w14:textId="202E7097" w:rsidR="008823A8" w:rsidRPr="00A871F3" w:rsidRDefault="008823A8" w:rsidP="008823A8">
      <w:pPr>
        <w:rPr>
          <w:sz w:val="28"/>
          <w:szCs w:val="28"/>
        </w:rPr>
      </w:pPr>
      <w:r>
        <w:rPr>
          <w:sz w:val="28"/>
          <w:szCs w:val="28"/>
        </w:rPr>
        <w:t>2.</w:t>
      </w:r>
      <w:r w:rsidRPr="00A871F3">
        <w:rPr>
          <w:rFonts w:ascii="Times New Roman" w:eastAsia="Times New Roman" w:hAnsi="Times New Roman" w:cs="Times New Roman"/>
          <w:kern w:val="0"/>
          <w:sz w:val="24"/>
          <w:szCs w:val="24"/>
          <w:lang w:eastAsia="en-GB"/>
          <w14:ligatures w14:val="none"/>
        </w:rPr>
        <w:t xml:space="preserve"> </w:t>
      </w:r>
      <w:r>
        <w:rPr>
          <w:sz w:val="28"/>
          <w:szCs w:val="28"/>
        </w:rPr>
        <w:t xml:space="preserve">The </w:t>
      </w:r>
      <w:r w:rsidRPr="00A871F3">
        <w:rPr>
          <w:sz w:val="28"/>
          <w:szCs w:val="28"/>
        </w:rPr>
        <w:t>summary of outlier detection and treatment for each category: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1"/>
        <w:gridCol w:w="1071"/>
        <w:gridCol w:w="648"/>
        <w:gridCol w:w="648"/>
        <w:gridCol w:w="506"/>
        <w:gridCol w:w="993"/>
        <w:gridCol w:w="995"/>
        <w:gridCol w:w="1289"/>
        <w:gridCol w:w="1789"/>
      </w:tblGrid>
      <w:tr w:rsidR="008823A8" w:rsidRPr="00A871F3" w14:paraId="111703AD" w14:textId="77777777" w:rsidTr="003617AD">
        <w:trPr>
          <w:tblHeader/>
          <w:tblCellSpacing w:w="15" w:type="dxa"/>
        </w:trPr>
        <w:tc>
          <w:tcPr>
            <w:tcW w:w="0" w:type="auto"/>
            <w:vAlign w:val="center"/>
            <w:hideMark/>
          </w:tcPr>
          <w:p w14:paraId="4DB3D4CA" w14:textId="77777777" w:rsidR="008823A8" w:rsidRPr="00A871F3" w:rsidRDefault="008823A8" w:rsidP="003617AD">
            <w:pPr>
              <w:rPr>
                <w:b/>
                <w:bCs/>
                <w:sz w:val="28"/>
                <w:szCs w:val="28"/>
              </w:rPr>
            </w:pPr>
            <w:r w:rsidRPr="00A871F3">
              <w:rPr>
                <w:b/>
                <w:bCs/>
                <w:sz w:val="28"/>
                <w:szCs w:val="28"/>
              </w:rPr>
              <w:t>Category</w:t>
            </w:r>
          </w:p>
        </w:tc>
        <w:tc>
          <w:tcPr>
            <w:tcW w:w="0" w:type="auto"/>
            <w:vAlign w:val="center"/>
            <w:hideMark/>
          </w:tcPr>
          <w:p w14:paraId="06F72CBE" w14:textId="77777777" w:rsidR="008823A8" w:rsidRPr="00A871F3" w:rsidRDefault="008823A8" w:rsidP="003617AD">
            <w:pPr>
              <w:rPr>
                <w:b/>
                <w:bCs/>
                <w:sz w:val="28"/>
                <w:szCs w:val="28"/>
              </w:rPr>
            </w:pPr>
            <w:r w:rsidRPr="00A871F3">
              <w:rPr>
                <w:b/>
                <w:bCs/>
                <w:sz w:val="28"/>
                <w:szCs w:val="28"/>
              </w:rPr>
              <w:t>Column</w:t>
            </w:r>
          </w:p>
        </w:tc>
        <w:tc>
          <w:tcPr>
            <w:tcW w:w="0" w:type="auto"/>
            <w:vAlign w:val="center"/>
            <w:hideMark/>
          </w:tcPr>
          <w:p w14:paraId="537C22F4" w14:textId="77777777" w:rsidR="008823A8" w:rsidRPr="00A871F3" w:rsidRDefault="008823A8" w:rsidP="003617AD">
            <w:pPr>
              <w:rPr>
                <w:b/>
                <w:bCs/>
                <w:sz w:val="28"/>
                <w:szCs w:val="28"/>
              </w:rPr>
            </w:pPr>
            <w:r w:rsidRPr="00A871F3">
              <w:rPr>
                <w:b/>
                <w:bCs/>
                <w:sz w:val="28"/>
                <w:szCs w:val="28"/>
              </w:rPr>
              <w:t>Q1</w:t>
            </w:r>
          </w:p>
        </w:tc>
        <w:tc>
          <w:tcPr>
            <w:tcW w:w="0" w:type="auto"/>
            <w:vAlign w:val="center"/>
            <w:hideMark/>
          </w:tcPr>
          <w:p w14:paraId="5C55D1BE" w14:textId="77777777" w:rsidR="008823A8" w:rsidRPr="00A871F3" w:rsidRDefault="008823A8" w:rsidP="003617AD">
            <w:pPr>
              <w:rPr>
                <w:b/>
                <w:bCs/>
                <w:sz w:val="28"/>
                <w:szCs w:val="28"/>
              </w:rPr>
            </w:pPr>
            <w:r w:rsidRPr="00A871F3">
              <w:rPr>
                <w:b/>
                <w:bCs/>
                <w:sz w:val="28"/>
                <w:szCs w:val="28"/>
              </w:rPr>
              <w:t>Q3</w:t>
            </w:r>
          </w:p>
        </w:tc>
        <w:tc>
          <w:tcPr>
            <w:tcW w:w="0" w:type="auto"/>
            <w:vAlign w:val="center"/>
            <w:hideMark/>
          </w:tcPr>
          <w:p w14:paraId="635C3D77" w14:textId="77777777" w:rsidR="008823A8" w:rsidRPr="00A871F3" w:rsidRDefault="008823A8" w:rsidP="003617AD">
            <w:pPr>
              <w:rPr>
                <w:b/>
                <w:bCs/>
                <w:sz w:val="28"/>
                <w:szCs w:val="28"/>
              </w:rPr>
            </w:pPr>
            <w:r w:rsidRPr="00A871F3">
              <w:rPr>
                <w:b/>
                <w:bCs/>
                <w:sz w:val="28"/>
                <w:szCs w:val="28"/>
              </w:rPr>
              <w:t>IQR</w:t>
            </w:r>
          </w:p>
        </w:tc>
        <w:tc>
          <w:tcPr>
            <w:tcW w:w="0" w:type="auto"/>
            <w:vAlign w:val="center"/>
            <w:hideMark/>
          </w:tcPr>
          <w:p w14:paraId="64AED718" w14:textId="77777777" w:rsidR="008823A8" w:rsidRPr="00A871F3" w:rsidRDefault="008823A8" w:rsidP="003617AD">
            <w:pPr>
              <w:rPr>
                <w:b/>
                <w:bCs/>
                <w:sz w:val="28"/>
                <w:szCs w:val="28"/>
              </w:rPr>
            </w:pPr>
            <w:r w:rsidRPr="00A871F3">
              <w:rPr>
                <w:b/>
                <w:bCs/>
                <w:sz w:val="28"/>
                <w:szCs w:val="28"/>
              </w:rPr>
              <w:t>Lower Bound</w:t>
            </w:r>
          </w:p>
        </w:tc>
        <w:tc>
          <w:tcPr>
            <w:tcW w:w="0" w:type="auto"/>
            <w:vAlign w:val="center"/>
            <w:hideMark/>
          </w:tcPr>
          <w:p w14:paraId="227E9DE5" w14:textId="77777777" w:rsidR="008823A8" w:rsidRPr="00A871F3" w:rsidRDefault="008823A8" w:rsidP="003617AD">
            <w:pPr>
              <w:rPr>
                <w:b/>
                <w:bCs/>
                <w:sz w:val="28"/>
                <w:szCs w:val="28"/>
              </w:rPr>
            </w:pPr>
            <w:r w:rsidRPr="00A871F3">
              <w:rPr>
                <w:b/>
                <w:bCs/>
                <w:sz w:val="28"/>
                <w:szCs w:val="28"/>
              </w:rPr>
              <w:t>Upper Bound</w:t>
            </w:r>
          </w:p>
        </w:tc>
        <w:tc>
          <w:tcPr>
            <w:tcW w:w="0" w:type="auto"/>
            <w:vAlign w:val="center"/>
            <w:hideMark/>
          </w:tcPr>
          <w:p w14:paraId="6E7C1C6D" w14:textId="77777777" w:rsidR="008823A8" w:rsidRPr="00A871F3" w:rsidRDefault="008823A8" w:rsidP="003617AD">
            <w:pPr>
              <w:rPr>
                <w:b/>
                <w:bCs/>
                <w:sz w:val="28"/>
                <w:szCs w:val="28"/>
              </w:rPr>
            </w:pPr>
            <w:r w:rsidRPr="00A871F3">
              <w:rPr>
                <w:b/>
                <w:bCs/>
                <w:sz w:val="28"/>
                <w:szCs w:val="28"/>
              </w:rPr>
              <w:t>Number of Outliers</w:t>
            </w:r>
          </w:p>
        </w:tc>
        <w:tc>
          <w:tcPr>
            <w:tcW w:w="0" w:type="auto"/>
            <w:vAlign w:val="center"/>
            <w:hideMark/>
          </w:tcPr>
          <w:p w14:paraId="2A5B7151" w14:textId="77777777" w:rsidR="008823A8" w:rsidRPr="00A871F3" w:rsidRDefault="008823A8" w:rsidP="003617AD">
            <w:pPr>
              <w:rPr>
                <w:b/>
                <w:bCs/>
                <w:sz w:val="28"/>
                <w:szCs w:val="28"/>
              </w:rPr>
            </w:pPr>
            <w:r w:rsidRPr="00A871F3">
              <w:rPr>
                <w:b/>
                <w:bCs/>
                <w:sz w:val="28"/>
                <w:szCs w:val="28"/>
              </w:rPr>
              <w:t>Treatment Method</w:t>
            </w:r>
          </w:p>
        </w:tc>
      </w:tr>
      <w:tr w:rsidR="008823A8" w:rsidRPr="00A871F3" w14:paraId="7BDAC463" w14:textId="77777777" w:rsidTr="003617AD">
        <w:trPr>
          <w:tblCellSpacing w:w="15" w:type="dxa"/>
        </w:trPr>
        <w:tc>
          <w:tcPr>
            <w:tcW w:w="0" w:type="auto"/>
            <w:vAlign w:val="center"/>
            <w:hideMark/>
          </w:tcPr>
          <w:p w14:paraId="3AF4AFC2" w14:textId="77777777" w:rsidR="008823A8" w:rsidRPr="00A871F3" w:rsidRDefault="008823A8" w:rsidP="003617AD">
            <w:pPr>
              <w:rPr>
                <w:sz w:val="28"/>
                <w:szCs w:val="28"/>
              </w:rPr>
            </w:pPr>
            <w:r w:rsidRPr="00A871F3">
              <w:rPr>
                <w:sz w:val="28"/>
                <w:szCs w:val="28"/>
              </w:rPr>
              <w:t>Phones</w:t>
            </w:r>
          </w:p>
        </w:tc>
        <w:tc>
          <w:tcPr>
            <w:tcW w:w="0" w:type="auto"/>
            <w:vAlign w:val="center"/>
            <w:hideMark/>
          </w:tcPr>
          <w:p w14:paraId="580769E3" w14:textId="77777777" w:rsidR="008823A8" w:rsidRPr="00A871F3" w:rsidRDefault="008823A8" w:rsidP="003617AD">
            <w:pPr>
              <w:rPr>
                <w:sz w:val="28"/>
                <w:szCs w:val="28"/>
              </w:rPr>
            </w:pPr>
            <w:r w:rsidRPr="00A871F3">
              <w:rPr>
                <w:sz w:val="28"/>
                <w:szCs w:val="28"/>
              </w:rPr>
              <w:t>Quantity</w:t>
            </w:r>
          </w:p>
        </w:tc>
        <w:tc>
          <w:tcPr>
            <w:tcW w:w="0" w:type="auto"/>
            <w:vAlign w:val="center"/>
            <w:hideMark/>
          </w:tcPr>
          <w:p w14:paraId="2F75FD16" w14:textId="77777777" w:rsidR="008823A8" w:rsidRPr="00A871F3" w:rsidRDefault="008823A8" w:rsidP="003617AD">
            <w:pPr>
              <w:rPr>
                <w:sz w:val="28"/>
                <w:szCs w:val="28"/>
              </w:rPr>
            </w:pPr>
            <w:r w:rsidRPr="00A871F3">
              <w:rPr>
                <w:sz w:val="28"/>
                <w:szCs w:val="28"/>
              </w:rPr>
              <w:t>3</w:t>
            </w:r>
          </w:p>
        </w:tc>
        <w:tc>
          <w:tcPr>
            <w:tcW w:w="0" w:type="auto"/>
            <w:vAlign w:val="center"/>
            <w:hideMark/>
          </w:tcPr>
          <w:p w14:paraId="5C7B03BE" w14:textId="77777777" w:rsidR="008823A8" w:rsidRPr="00A871F3" w:rsidRDefault="008823A8" w:rsidP="003617AD">
            <w:pPr>
              <w:rPr>
                <w:sz w:val="28"/>
                <w:szCs w:val="28"/>
              </w:rPr>
            </w:pPr>
            <w:r w:rsidRPr="00A871F3">
              <w:rPr>
                <w:sz w:val="28"/>
                <w:szCs w:val="28"/>
              </w:rPr>
              <w:t>5</w:t>
            </w:r>
          </w:p>
        </w:tc>
        <w:tc>
          <w:tcPr>
            <w:tcW w:w="0" w:type="auto"/>
            <w:vAlign w:val="center"/>
            <w:hideMark/>
          </w:tcPr>
          <w:p w14:paraId="764B6630" w14:textId="77777777" w:rsidR="008823A8" w:rsidRPr="00A871F3" w:rsidRDefault="008823A8" w:rsidP="003617AD">
            <w:pPr>
              <w:rPr>
                <w:sz w:val="28"/>
                <w:szCs w:val="28"/>
              </w:rPr>
            </w:pPr>
            <w:r w:rsidRPr="00A871F3">
              <w:rPr>
                <w:sz w:val="28"/>
                <w:szCs w:val="28"/>
              </w:rPr>
              <w:t>2</w:t>
            </w:r>
          </w:p>
        </w:tc>
        <w:tc>
          <w:tcPr>
            <w:tcW w:w="0" w:type="auto"/>
            <w:vAlign w:val="center"/>
            <w:hideMark/>
          </w:tcPr>
          <w:p w14:paraId="459C3B4B" w14:textId="77777777" w:rsidR="008823A8" w:rsidRPr="00A871F3" w:rsidRDefault="008823A8" w:rsidP="003617AD">
            <w:pPr>
              <w:rPr>
                <w:sz w:val="28"/>
                <w:szCs w:val="28"/>
              </w:rPr>
            </w:pPr>
            <w:r w:rsidRPr="00A871F3">
              <w:rPr>
                <w:sz w:val="28"/>
                <w:szCs w:val="28"/>
              </w:rPr>
              <w:t>-0.0</w:t>
            </w:r>
          </w:p>
        </w:tc>
        <w:tc>
          <w:tcPr>
            <w:tcW w:w="0" w:type="auto"/>
            <w:vAlign w:val="center"/>
            <w:hideMark/>
          </w:tcPr>
          <w:p w14:paraId="159B8FD4" w14:textId="77777777" w:rsidR="008823A8" w:rsidRPr="00A871F3" w:rsidRDefault="008823A8" w:rsidP="003617AD">
            <w:pPr>
              <w:rPr>
                <w:sz w:val="28"/>
                <w:szCs w:val="28"/>
              </w:rPr>
            </w:pPr>
            <w:r w:rsidRPr="00A871F3">
              <w:rPr>
                <w:sz w:val="28"/>
                <w:szCs w:val="28"/>
              </w:rPr>
              <w:t>8</w:t>
            </w:r>
          </w:p>
        </w:tc>
        <w:tc>
          <w:tcPr>
            <w:tcW w:w="0" w:type="auto"/>
            <w:vAlign w:val="center"/>
            <w:hideMark/>
          </w:tcPr>
          <w:p w14:paraId="0BE97ADB" w14:textId="77777777" w:rsidR="008823A8" w:rsidRPr="00A871F3" w:rsidRDefault="008823A8" w:rsidP="003617AD">
            <w:pPr>
              <w:rPr>
                <w:sz w:val="28"/>
                <w:szCs w:val="28"/>
              </w:rPr>
            </w:pPr>
            <w:r w:rsidRPr="00A871F3">
              <w:rPr>
                <w:sz w:val="28"/>
                <w:szCs w:val="28"/>
              </w:rPr>
              <w:t>2</w:t>
            </w:r>
          </w:p>
        </w:tc>
        <w:tc>
          <w:tcPr>
            <w:tcW w:w="0" w:type="auto"/>
            <w:vAlign w:val="center"/>
            <w:hideMark/>
          </w:tcPr>
          <w:p w14:paraId="171AD7F0" w14:textId="77777777" w:rsidR="008823A8" w:rsidRPr="00A871F3" w:rsidRDefault="008823A8" w:rsidP="003617AD">
            <w:pPr>
              <w:rPr>
                <w:sz w:val="28"/>
                <w:szCs w:val="28"/>
              </w:rPr>
            </w:pPr>
            <w:proofErr w:type="spellStart"/>
            <w:r w:rsidRPr="00A871F3">
              <w:rPr>
                <w:sz w:val="28"/>
                <w:szCs w:val="28"/>
              </w:rPr>
              <w:t>Winsorization</w:t>
            </w:r>
            <w:proofErr w:type="spellEnd"/>
          </w:p>
        </w:tc>
      </w:tr>
      <w:tr w:rsidR="008823A8" w:rsidRPr="00A871F3" w14:paraId="33E2B842" w14:textId="77777777" w:rsidTr="003617AD">
        <w:trPr>
          <w:tblCellSpacing w:w="15" w:type="dxa"/>
        </w:trPr>
        <w:tc>
          <w:tcPr>
            <w:tcW w:w="0" w:type="auto"/>
            <w:vAlign w:val="center"/>
            <w:hideMark/>
          </w:tcPr>
          <w:p w14:paraId="12ACFEA2" w14:textId="77777777" w:rsidR="008823A8" w:rsidRPr="00A871F3" w:rsidRDefault="008823A8" w:rsidP="003617AD">
            <w:pPr>
              <w:rPr>
                <w:sz w:val="28"/>
                <w:szCs w:val="28"/>
              </w:rPr>
            </w:pPr>
            <w:r w:rsidRPr="00A871F3">
              <w:rPr>
                <w:sz w:val="28"/>
                <w:szCs w:val="28"/>
              </w:rPr>
              <w:t>Phones</w:t>
            </w:r>
          </w:p>
        </w:tc>
        <w:tc>
          <w:tcPr>
            <w:tcW w:w="0" w:type="auto"/>
            <w:vAlign w:val="center"/>
            <w:hideMark/>
          </w:tcPr>
          <w:p w14:paraId="11B1394A" w14:textId="77777777" w:rsidR="008823A8" w:rsidRPr="00A871F3" w:rsidRDefault="008823A8" w:rsidP="003617AD">
            <w:pPr>
              <w:rPr>
                <w:sz w:val="28"/>
                <w:szCs w:val="28"/>
              </w:rPr>
            </w:pPr>
            <w:r w:rsidRPr="00A871F3">
              <w:rPr>
                <w:sz w:val="28"/>
                <w:szCs w:val="28"/>
              </w:rPr>
              <w:t>Sales</w:t>
            </w:r>
          </w:p>
        </w:tc>
        <w:tc>
          <w:tcPr>
            <w:tcW w:w="0" w:type="auto"/>
            <w:vAlign w:val="center"/>
            <w:hideMark/>
          </w:tcPr>
          <w:p w14:paraId="56EF7458" w14:textId="77777777" w:rsidR="008823A8" w:rsidRPr="00A871F3" w:rsidRDefault="008823A8" w:rsidP="003617AD">
            <w:pPr>
              <w:rPr>
                <w:sz w:val="28"/>
                <w:szCs w:val="28"/>
              </w:rPr>
            </w:pPr>
            <w:r w:rsidRPr="00A871F3">
              <w:rPr>
                <w:sz w:val="28"/>
                <w:szCs w:val="28"/>
              </w:rPr>
              <w:t>55</w:t>
            </w:r>
          </w:p>
        </w:tc>
        <w:tc>
          <w:tcPr>
            <w:tcW w:w="0" w:type="auto"/>
            <w:vAlign w:val="center"/>
            <w:hideMark/>
          </w:tcPr>
          <w:p w14:paraId="3B4F311B" w14:textId="77777777" w:rsidR="008823A8" w:rsidRPr="00A871F3" w:rsidRDefault="008823A8" w:rsidP="003617AD">
            <w:pPr>
              <w:rPr>
                <w:sz w:val="28"/>
                <w:szCs w:val="28"/>
              </w:rPr>
            </w:pPr>
            <w:r w:rsidRPr="00A871F3">
              <w:rPr>
                <w:sz w:val="28"/>
                <w:szCs w:val="28"/>
              </w:rPr>
              <w:t>206</w:t>
            </w:r>
          </w:p>
        </w:tc>
        <w:tc>
          <w:tcPr>
            <w:tcW w:w="0" w:type="auto"/>
            <w:vAlign w:val="center"/>
            <w:hideMark/>
          </w:tcPr>
          <w:p w14:paraId="681BAA2E" w14:textId="77777777" w:rsidR="008823A8" w:rsidRPr="00A871F3" w:rsidRDefault="008823A8" w:rsidP="003617AD">
            <w:pPr>
              <w:rPr>
                <w:sz w:val="28"/>
                <w:szCs w:val="28"/>
              </w:rPr>
            </w:pPr>
            <w:r w:rsidRPr="00A871F3">
              <w:rPr>
                <w:sz w:val="28"/>
                <w:szCs w:val="28"/>
              </w:rPr>
              <w:t>151</w:t>
            </w:r>
          </w:p>
        </w:tc>
        <w:tc>
          <w:tcPr>
            <w:tcW w:w="0" w:type="auto"/>
            <w:vAlign w:val="center"/>
            <w:hideMark/>
          </w:tcPr>
          <w:p w14:paraId="085C8A98" w14:textId="77777777" w:rsidR="008823A8" w:rsidRPr="00A871F3" w:rsidRDefault="008823A8" w:rsidP="003617AD">
            <w:pPr>
              <w:rPr>
                <w:sz w:val="28"/>
                <w:szCs w:val="28"/>
              </w:rPr>
            </w:pPr>
            <w:r w:rsidRPr="00A871F3">
              <w:rPr>
                <w:sz w:val="28"/>
                <w:szCs w:val="28"/>
              </w:rPr>
              <w:t>-196.5</w:t>
            </w:r>
          </w:p>
        </w:tc>
        <w:tc>
          <w:tcPr>
            <w:tcW w:w="0" w:type="auto"/>
            <w:vAlign w:val="center"/>
            <w:hideMark/>
          </w:tcPr>
          <w:p w14:paraId="613DA190" w14:textId="77777777" w:rsidR="008823A8" w:rsidRPr="00A871F3" w:rsidRDefault="008823A8" w:rsidP="003617AD">
            <w:pPr>
              <w:rPr>
                <w:sz w:val="28"/>
                <w:szCs w:val="28"/>
              </w:rPr>
            </w:pPr>
            <w:r w:rsidRPr="00A871F3">
              <w:rPr>
                <w:sz w:val="28"/>
                <w:szCs w:val="28"/>
              </w:rPr>
              <w:t>457.5</w:t>
            </w:r>
          </w:p>
        </w:tc>
        <w:tc>
          <w:tcPr>
            <w:tcW w:w="0" w:type="auto"/>
            <w:vAlign w:val="center"/>
            <w:hideMark/>
          </w:tcPr>
          <w:p w14:paraId="146C01EF" w14:textId="77777777" w:rsidR="008823A8" w:rsidRPr="00A871F3" w:rsidRDefault="008823A8" w:rsidP="003617AD">
            <w:pPr>
              <w:rPr>
                <w:sz w:val="28"/>
                <w:szCs w:val="28"/>
              </w:rPr>
            </w:pPr>
            <w:r w:rsidRPr="00A871F3">
              <w:rPr>
                <w:sz w:val="28"/>
                <w:szCs w:val="28"/>
              </w:rPr>
              <w:t>1</w:t>
            </w:r>
          </w:p>
        </w:tc>
        <w:tc>
          <w:tcPr>
            <w:tcW w:w="0" w:type="auto"/>
            <w:vAlign w:val="center"/>
            <w:hideMark/>
          </w:tcPr>
          <w:p w14:paraId="0E92E187" w14:textId="77777777" w:rsidR="008823A8" w:rsidRPr="00A871F3" w:rsidRDefault="008823A8" w:rsidP="003617AD">
            <w:pPr>
              <w:rPr>
                <w:sz w:val="28"/>
                <w:szCs w:val="28"/>
              </w:rPr>
            </w:pPr>
            <w:proofErr w:type="spellStart"/>
            <w:r w:rsidRPr="00A871F3">
              <w:rPr>
                <w:sz w:val="28"/>
                <w:szCs w:val="28"/>
              </w:rPr>
              <w:t>Winsorization</w:t>
            </w:r>
            <w:proofErr w:type="spellEnd"/>
          </w:p>
        </w:tc>
      </w:tr>
      <w:tr w:rsidR="008823A8" w:rsidRPr="00A871F3" w14:paraId="3F7EDE4D" w14:textId="77777777" w:rsidTr="003617AD">
        <w:trPr>
          <w:tblCellSpacing w:w="15" w:type="dxa"/>
        </w:trPr>
        <w:tc>
          <w:tcPr>
            <w:tcW w:w="0" w:type="auto"/>
            <w:vAlign w:val="center"/>
            <w:hideMark/>
          </w:tcPr>
          <w:p w14:paraId="1BC38901" w14:textId="77777777" w:rsidR="008823A8" w:rsidRPr="00A871F3" w:rsidRDefault="008823A8" w:rsidP="003617AD">
            <w:pPr>
              <w:rPr>
                <w:sz w:val="28"/>
                <w:szCs w:val="28"/>
              </w:rPr>
            </w:pPr>
            <w:r w:rsidRPr="00A871F3">
              <w:rPr>
                <w:sz w:val="28"/>
                <w:szCs w:val="28"/>
              </w:rPr>
              <w:t>Accessories</w:t>
            </w:r>
          </w:p>
        </w:tc>
        <w:tc>
          <w:tcPr>
            <w:tcW w:w="0" w:type="auto"/>
            <w:vAlign w:val="center"/>
            <w:hideMark/>
          </w:tcPr>
          <w:p w14:paraId="376BBAB7" w14:textId="77777777" w:rsidR="008823A8" w:rsidRPr="00A871F3" w:rsidRDefault="008823A8" w:rsidP="003617AD">
            <w:pPr>
              <w:rPr>
                <w:sz w:val="28"/>
                <w:szCs w:val="28"/>
              </w:rPr>
            </w:pPr>
            <w:r w:rsidRPr="00A871F3">
              <w:rPr>
                <w:sz w:val="28"/>
                <w:szCs w:val="28"/>
              </w:rPr>
              <w:t>Quantity</w:t>
            </w:r>
          </w:p>
        </w:tc>
        <w:tc>
          <w:tcPr>
            <w:tcW w:w="0" w:type="auto"/>
            <w:vAlign w:val="center"/>
            <w:hideMark/>
          </w:tcPr>
          <w:p w14:paraId="3AE6BFAB" w14:textId="77777777" w:rsidR="008823A8" w:rsidRPr="00A871F3" w:rsidRDefault="008823A8" w:rsidP="003617AD">
            <w:pPr>
              <w:rPr>
                <w:sz w:val="28"/>
                <w:szCs w:val="28"/>
              </w:rPr>
            </w:pPr>
            <w:r w:rsidRPr="00A871F3">
              <w:rPr>
                <w:sz w:val="28"/>
                <w:szCs w:val="28"/>
              </w:rPr>
              <w:t>2</w:t>
            </w:r>
          </w:p>
        </w:tc>
        <w:tc>
          <w:tcPr>
            <w:tcW w:w="0" w:type="auto"/>
            <w:vAlign w:val="center"/>
            <w:hideMark/>
          </w:tcPr>
          <w:p w14:paraId="4153DE02" w14:textId="77777777" w:rsidR="008823A8" w:rsidRPr="00A871F3" w:rsidRDefault="008823A8" w:rsidP="003617AD">
            <w:pPr>
              <w:rPr>
                <w:sz w:val="28"/>
                <w:szCs w:val="28"/>
              </w:rPr>
            </w:pPr>
            <w:r w:rsidRPr="00A871F3">
              <w:rPr>
                <w:sz w:val="28"/>
                <w:szCs w:val="28"/>
              </w:rPr>
              <w:t>4</w:t>
            </w:r>
          </w:p>
        </w:tc>
        <w:tc>
          <w:tcPr>
            <w:tcW w:w="0" w:type="auto"/>
            <w:vAlign w:val="center"/>
            <w:hideMark/>
          </w:tcPr>
          <w:p w14:paraId="4978D93A" w14:textId="77777777" w:rsidR="008823A8" w:rsidRPr="00A871F3" w:rsidRDefault="008823A8" w:rsidP="003617AD">
            <w:pPr>
              <w:rPr>
                <w:sz w:val="28"/>
                <w:szCs w:val="28"/>
              </w:rPr>
            </w:pPr>
            <w:r w:rsidRPr="00A871F3">
              <w:rPr>
                <w:sz w:val="28"/>
                <w:szCs w:val="28"/>
              </w:rPr>
              <w:t>2</w:t>
            </w:r>
          </w:p>
        </w:tc>
        <w:tc>
          <w:tcPr>
            <w:tcW w:w="0" w:type="auto"/>
            <w:vAlign w:val="center"/>
            <w:hideMark/>
          </w:tcPr>
          <w:p w14:paraId="3C32727E" w14:textId="77777777" w:rsidR="008823A8" w:rsidRPr="00A871F3" w:rsidRDefault="008823A8" w:rsidP="003617AD">
            <w:pPr>
              <w:rPr>
                <w:sz w:val="28"/>
                <w:szCs w:val="28"/>
              </w:rPr>
            </w:pPr>
            <w:r w:rsidRPr="00A871F3">
              <w:rPr>
                <w:sz w:val="28"/>
                <w:szCs w:val="28"/>
              </w:rPr>
              <w:t>-1.0</w:t>
            </w:r>
          </w:p>
        </w:tc>
        <w:tc>
          <w:tcPr>
            <w:tcW w:w="0" w:type="auto"/>
            <w:vAlign w:val="center"/>
            <w:hideMark/>
          </w:tcPr>
          <w:p w14:paraId="765F1F3E" w14:textId="77777777" w:rsidR="008823A8" w:rsidRPr="00A871F3" w:rsidRDefault="008823A8" w:rsidP="003617AD">
            <w:pPr>
              <w:rPr>
                <w:sz w:val="28"/>
                <w:szCs w:val="28"/>
              </w:rPr>
            </w:pPr>
            <w:r w:rsidRPr="00A871F3">
              <w:rPr>
                <w:sz w:val="28"/>
                <w:szCs w:val="28"/>
              </w:rPr>
              <w:t>7</w:t>
            </w:r>
          </w:p>
        </w:tc>
        <w:tc>
          <w:tcPr>
            <w:tcW w:w="0" w:type="auto"/>
            <w:vAlign w:val="center"/>
            <w:hideMark/>
          </w:tcPr>
          <w:p w14:paraId="3A3E74B3" w14:textId="77777777" w:rsidR="008823A8" w:rsidRPr="00A871F3" w:rsidRDefault="008823A8" w:rsidP="003617AD">
            <w:pPr>
              <w:rPr>
                <w:sz w:val="28"/>
                <w:szCs w:val="28"/>
              </w:rPr>
            </w:pPr>
            <w:r w:rsidRPr="00A871F3">
              <w:rPr>
                <w:sz w:val="28"/>
                <w:szCs w:val="28"/>
              </w:rPr>
              <w:t>0</w:t>
            </w:r>
          </w:p>
        </w:tc>
        <w:tc>
          <w:tcPr>
            <w:tcW w:w="0" w:type="auto"/>
            <w:vAlign w:val="center"/>
            <w:hideMark/>
          </w:tcPr>
          <w:p w14:paraId="090FD584" w14:textId="77777777" w:rsidR="008823A8" w:rsidRPr="00A871F3" w:rsidRDefault="008823A8" w:rsidP="003617AD">
            <w:pPr>
              <w:rPr>
                <w:sz w:val="28"/>
                <w:szCs w:val="28"/>
              </w:rPr>
            </w:pPr>
            <w:r w:rsidRPr="00A871F3">
              <w:rPr>
                <w:sz w:val="28"/>
                <w:szCs w:val="28"/>
              </w:rPr>
              <w:t>None</w:t>
            </w:r>
          </w:p>
        </w:tc>
      </w:tr>
      <w:tr w:rsidR="008823A8" w:rsidRPr="00A871F3" w14:paraId="39A2A6BD" w14:textId="77777777" w:rsidTr="003617AD">
        <w:trPr>
          <w:tblCellSpacing w:w="15" w:type="dxa"/>
        </w:trPr>
        <w:tc>
          <w:tcPr>
            <w:tcW w:w="0" w:type="auto"/>
            <w:vAlign w:val="center"/>
            <w:hideMark/>
          </w:tcPr>
          <w:p w14:paraId="01231667" w14:textId="77777777" w:rsidR="008823A8" w:rsidRPr="00A871F3" w:rsidRDefault="008823A8" w:rsidP="003617AD">
            <w:pPr>
              <w:rPr>
                <w:sz w:val="28"/>
                <w:szCs w:val="28"/>
              </w:rPr>
            </w:pPr>
            <w:r w:rsidRPr="00A871F3">
              <w:rPr>
                <w:sz w:val="28"/>
                <w:szCs w:val="28"/>
              </w:rPr>
              <w:t>Accessories</w:t>
            </w:r>
          </w:p>
        </w:tc>
        <w:tc>
          <w:tcPr>
            <w:tcW w:w="0" w:type="auto"/>
            <w:vAlign w:val="center"/>
            <w:hideMark/>
          </w:tcPr>
          <w:p w14:paraId="3A1F2C82" w14:textId="77777777" w:rsidR="008823A8" w:rsidRPr="00A871F3" w:rsidRDefault="008823A8" w:rsidP="003617AD">
            <w:pPr>
              <w:rPr>
                <w:sz w:val="28"/>
                <w:szCs w:val="28"/>
              </w:rPr>
            </w:pPr>
            <w:r w:rsidRPr="00A871F3">
              <w:rPr>
                <w:sz w:val="28"/>
                <w:szCs w:val="28"/>
              </w:rPr>
              <w:t>Sales</w:t>
            </w:r>
          </w:p>
        </w:tc>
        <w:tc>
          <w:tcPr>
            <w:tcW w:w="0" w:type="auto"/>
            <w:vAlign w:val="center"/>
            <w:hideMark/>
          </w:tcPr>
          <w:p w14:paraId="58FB4ED1" w14:textId="77777777" w:rsidR="008823A8" w:rsidRPr="00A871F3" w:rsidRDefault="008823A8" w:rsidP="003617AD">
            <w:pPr>
              <w:rPr>
                <w:sz w:val="28"/>
                <w:szCs w:val="28"/>
              </w:rPr>
            </w:pPr>
            <w:r w:rsidRPr="00A871F3">
              <w:rPr>
                <w:sz w:val="28"/>
                <w:szCs w:val="28"/>
              </w:rPr>
              <w:t>18</w:t>
            </w:r>
          </w:p>
        </w:tc>
        <w:tc>
          <w:tcPr>
            <w:tcW w:w="0" w:type="auto"/>
            <w:vAlign w:val="center"/>
            <w:hideMark/>
          </w:tcPr>
          <w:p w14:paraId="3C0B9A31" w14:textId="77777777" w:rsidR="008823A8" w:rsidRPr="00A871F3" w:rsidRDefault="008823A8" w:rsidP="003617AD">
            <w:pPr>
              <w:rPr>
                <w:sz w:val="28"/>
                <w:szCs w:val="28"/>
              </w:rPr>
            </w:pPr>
            <w:r w:rsidRPr="00A871F3">
              <w:rPr>
                <w:sz w:val="28"/>
                <w:szCs w:val="28"/>
              </w:rPr>
              <w:t>90</w:t>
            </w:r>
          </w:p>
        </w:tc>
        <w:tc>
          <w:tcPr>
            <w:tcW w:w="0" w:type="auto"/>
            <w:vAlign w:val="center"/>
            <w:hideMark/>
          </w:tcPr>
          <w:p w14:paraId="242723B7" w14:textId="77777777" w:rsidR="008823A8" w:rsidRPr="00A871F3" w:rsidRDefault="008823A8" w:rsidP="003617AD">
            <w:pPr>
              <w:rPr>
                <w:sz w:val="28"/>
                <w:szCs w:val="28"/>
              </w:rPr>
            </w:pPr>
            <w:r w:rsidRPr="00A871F3">
              <w:rPr>
                <w:sz w:val="28"/>
                <w:szCs w:val="28"/>
              </w:rPr>
              <w:t>72</w:t>
            </w:r>
          </w:p>
        </w:tc>
        <w:tc>
          <w:tcPr>
            <w:tcW w:w="0" w:type="auto"/>
            <w:vAlign w:val="center"/>
            <w:hideMark/>
          </w:tcPr>
          <w:p w14:paraId="0C91FC20" w14:textId="77777777" w:rsidR="008823A8" w:rsidRPr="00A871F3" w:rsidRDefault="008823A8" w:rsidP="003617AD">
            <w:pPr>
              <w:rPr>
                <w:sz w:val="28"/>
                <w:szCs w:val="28"/>
              </w:rPr>
            </w:pPr>
            <w:r w:rsidRPr="00A871F3">
              <w:rPr>
                <w:sz w:val="28"/>
                <w:szCs w:val="28"/>
              </w:rPr>
              <w:t>-108.0</w:t>
            </w:r>
          </w:p>
        </w:tc>
        <w:tc>
          <w:tcPr>
            <w:tcW w:w="0" w:type="auto"/>
            <w:vAlign w:val="center"/>
            <w:hideMark/>
          </w:tcPr>
          <w:p w14:paraId="57820687" w14:textId="77777777" w:rsidR="008823A8" w:rsidRPr="00A871F3" w:rsidRDefault="008823A8" w:rsidP="003617AD">
            <w:pPr>
              <w:rPr>
                <w:sz w:val="28"/>
                <w:szCs w:val="28"/>
              </w:rPr>
            </w:pPr>
            <w:r w:rsidRPr="00A871F3">
              <w:rPr>
                <w:sz w:val="28"/>
                <w:szCs w:val="28"/>
              </w:rPr>
              <w:t>216.0</w:t>
            </w:r>
          </w:p>
        </w:tc>
        <w:tc>
          <w:tcPr>
            <w:tcW w:w="0" w:type="auto"/>
            <w:vAlign w:val="center"/>
            <w:hideMark/>
          </w:tcPr>
          <w:p w14:paraId="32415E02" w14:textId="77777777" w:rsidR="008823A8" w:rsidRPr="00A871F3" w:rsidRDefault="008823A8" w:rsidP="003617AD">
            <w:pPr>
              <w:rPr>
                <w:sz w:val="28"/>
                <w:szCs w:val="28"/>
              </w:rPr>
            </w:pPr>
            <w:r w:rsidRPr="00A871F3">
              <w:rPr>
                <w:sz w:val="28"/>
                <w:szCs w:val="28"/>
              </w:rPr>
              <w:t>2</w:t>
            </w:r>
          </w:p>
        </w:tc>
        <w:tc>
          <w:tcPr>
            <w:tcW w:w="0" w:type="auto"/>
            <w:vAlign w:val="center"/>
            <w:hideMark/>
          </w:tcPr>
          <w:p w14:paraId="10C03AF6" w14:textId="77777777" w:rsidR="008823A8" w:rsidRPr="00A871F3" w:rsidRDefault="008823A8" w:rsidP="003617AD">
            <w:pPr>
              <w:rPr>
                <w:sz w:val="28"/>
                <w:szCs w:val="28"/>
              </w:rPr>
            </w:pPr>
            <w:proofErr w:type="spellStart"/>
            <w:r w:rsidRPr="00A871F3">
              <w:rPr>
                <w:sz w:val="28"/>
                <w:szCs w:val="28"/>
              </w:rPr>
              <w:t>Winsorization</w:t>
            </w:r>
            <w:proofErr w:type="spellEnd"/>
          </w:p>
        </w:tc>
      </w:tr>
      <w:tr w:rsidR="008823A8" w:rsidRPr="00A871F3" w14:paraId="7CDAE07C" w14:textId="77777777" w:rsidTr="003617AD">
        <w:trPr>
          <w:tblCellSpacing w:w="15" w:type="dxa"/>
        </w:trPr>
        <w:tc>
          <w:tcPr>
            <w:tcW w:w="0" w:type="auto"/>
            <w:vAlign w:val="center"/>
            <w:hideMark/>
          </w:tcPr>
          <w:p w14:paraId="2FE3836B" w14:textId="77777777" w:rsidR="008823A8" w:rsidRPr="00A871F3" w:rsidRDefault="008823A8" w:rsidP="003617AD">
            <w:pPr>
              <w:rPr>
                <w:sz w:val="28"/>
                <w:szCs w:val="28"/>
              </w:rPr>
            </w:pPr>
            <w:r w:rsidRPr="00A871F3">
              <w:rPr>
                <w:sz w:val="28"/>
                <w:szCs w:val="28"/>
              </w:rPr>
              <w:lastRenderedPageBreak/>
              <w:t>Machines</w:t>
            </w:r>
          </w:p>
        </w:tc>
        <w:tc>
          <w:tcPr>
            <w:tcW w:w="0" w:type="auto"/>
            <w:vAlign w:val="center"/>
            <w:hideMark/>
          </w:tcPr>
          <w:p w14:paraId="463562C8" w14:textId="77777777" w:rsidR="008823A8" w:rsidRPr="00A871F3" w:rsidRDefault="008823A8" w:rsidP="003617AD">
            <w:pPr>
              <w:rPr>
                <w:sz w:val="28"/>
                <w:szCs w:val="28"/>
              </w:rPr>
            </w:pPr>
            <w:r w:rsidRPr="00A871F3">
              <w:rPr>
                <w:sz w:val="28"/>
                <w:szCs w:val="28"/>
              </w:rPr>
              <w:t>Quantity</w:t>
            </w:r>
          </w:p>
        </w:tc>
        <w:tc>
          <w:tcPr>
            <w:tcW w:w="0" w:type="auto"/>
            <w:vAlign w:val="center"/>
            <w:hideMark/>
          </w:tcPr>
          <w:p w14:paraId="091B745E" w14:textId="77777777" w:rsidR="008823A8" w:rsidRPr="00A871F3" w:rsidRDefault="008823A8" w:rsidP="003617AD">
            <w:pPr>
              <w:rPr>
                <w:sz w:val="28"/>
                <w:szCs w:val="28"/>
              </w:rPr>
            </w:pPr>
            <w:r w:rsidRPr="00A871F3">
              <w:rPr>
                <w:sz w:val="28"/>
                <w:szCs w:val="28"/>
              </w:rPr>
              <w:t>3</w:t>
            </w:r>
          </w:p>
        </w:tc>
        <w:tc>
          <w:tcPr>
            <w:tcW w:w="0" w:type="auto"/>
            <w:vAlign w:val="center"/>
            <w:hideMark/>
          </w:tcPr>
          <w:p w14:paraId="7D4BE83A" w14:textId="77777777" w:rsidR="008823A8" w:rsidRPr="00A871F3" w:rsidRDefault="008823A8" w:rsidP="003617AD">
            <w:pPr>
              <w:rPr>
                <w:sz w:val="28"/>
                <w:szCs w:val="28"/>
              </w:rPr>
            </w:pPr>
            <w:r w:rsidRPr="00A871F3">
              <w:rPr>
                <w:sz w:val="28"/>
                <w:szCs w:val="28"/>
              </w:rPr>
              <w:t>3</w:t>
            </w:r>
          </w:p>
        </w:tc>
        <w:tc>
          <w:tcPr>
            <w:tcW w:w="0" w:type="auto"/>
            <w:vAlign w:val="center"/>
            <w:hideMark/>
          </w:tcPr>
          <w:p w14:paraId="6418EE1B" w14:textId="77777777" w:rsidR="008823A8" w:rsidRPr="00A871F3" w:rsidRDefault="008823A8" w:rsidP="003617AD">
            <w:pPr>
              <w:rPr>
                <w:sz w:val="28"/>
                <w:szCs w:val="28"/>
              </w:rPr>
            </w:pPr>
            <w:r w:rsidRPr="00A871F3">
              <w:rPr>
                <w:sz w:val="28"/>
                <w:szCs w:val="28"/>
              </w:rPr>
              <w:t>0</w:t>
            </w:r>
          </w:p>
        </w:tc>
        <w:tc>
          <w:tcPr>
            <w:tcW w:w="0" w:type="auto"/>
            <w:vAlign w:val="center"/>
            <w:hideMark/>
          </w:tcPr>
          <w:p w14:paraId="2B737786" w14:textId="77777777" w:rsidR="008823A8" w:rsidRPr="00A871F3" w:rsidRDefault="008823A8" w:rsidP="003617AD">
            <w:pPr>
              <w:rPr>
                <w:sz w:val="28"/>
                <w:szCs w:val="28"/>
              </w:rPr>
            </w:pPr>
            <w:r w:rsidRPr="00A871F3">
              <w:rPr>
                <w:sz w:val="28"/>
                <w:szCs w:val="28"/>
              </w:rPr>
              <w:t>-</w:t>
            </w:r>
          </w:p>
        </w:tc>
        <w:tc>
          <w:tcPr>
            <w:tcW w:w="0" w:type="auto"/>
            <w:vAlign w:val="center"/>
            <w:hideMark/>
          </w:tcPr>
          <w:p w14:paraId="07BD10DF" w14:textId="77777777" w:rsidR="008823A8" w:rsidRPr="00A871F3" w:rsidRDefault="008823A8" w:rsidP="003617AD">
            <w:pPr>
              <w:rPr>
                <w:sz w:val="28"/>
                <w:szCs w:val="28"/>
              </w:rPr>
            </w:pPr>
            <w:r w:rsidRPr="00A871F3">
              <w:rPr>
                <w:sz w:val="28"/>
                <w:szCs w:val="28"/>
              </w:rPr>
              <w:t>-</w:t>
            </w:r>
          </w:p>
        </w:tc>
        <w:tc>
          <w:tcPr>
            <w:tcW w:w="0" w:type="auto"/>
            <w:vAlign w:val="center"/>
            <w:hideMark/>
          </w:tcPr>
          <w:p w14:paraId="7B3CEF88" w14:textId="77777777" w:rsidR="008823A8" w:rsidRPr="00A871F3" w:rsidRDefault="008823A8" w:rsidP="003617AD">
            <w:pPr>
              <w:rPr>
                <w:sz w:val="28"/>
                <w:szCs w:val="28"/>
              </w:rPr>
            </w:pPr>
            <w:r w:rsidRPr="00A871F3">
              <w:rPr>
                <w:sz w:val="28"/>
                <w:szCs w:val="28"/>
              </w:rPr>
              <w:t>0</w:t>
            </w:r>
          </w:p>
        </w:tc>
        <w:tc>
          <w:tcPr>
            <w:tcW w:w="0" w:type="auto"/>
            <w:vAlign w:val="center"/>
            <w:hideMark/>
          </w:tcPr>
          <w:p w14:paraId="6BBE4145" w14:textId="77777777" w:rsidR="008823A8" w:rsidRPr="00A871F3" w:rsidRDefault="008823A8" w:rsidP="003617AD">
            <w:pPr>
              <w:rPr>
                <w:sz w:val="28"/>
                <w:szCs w:val="28"/>
              </w:rPr>
            </w:pPr>
            <w:r w:rsidRPr="00A871F3">
              <w:rPr>
                <w:sz w:val="28"/>
                <w:szCs w:val="28"/>
              </w:rPr>
              <w:t>None</w:t>
            </w:r>
          </w:p>
        </w:tc>
      </w:tr>
      <w:tr w:rsidR="008823A8" w:rsidRPr="00A871F3" w14:paraId="6F681599" w14:textId="77777777" w:rsidTr="003617AD">
        <w:trPr>
          <w:tblCellSpacing w:w="15" w:type="dxa"/>
        </w:trPr>
        <w:tc>
          <w:tcPr>
            <w:tcW w:w="0" w:type="auto"/>
            <w:vAlign w:val="center"/>
            <w:hideMark/>
          </w:tcPr>
          <w:p w14:paraId="73E2EEF4" w14:textId="77777777" w:rsidR="008823A8" w:rsidRPr="00A871F3" w:rsidRDefault="008823A8" w:rsidP="003617AD">
            <w:pPr>
              <w:rPr>
                <w:sz w:val="28"/>
                <w:szCs w:val="28"/>
              </w:rPr>
            </w:pPr>
            <w:r w:rsidRPr="00A871F3">
              <w:rPr>
                <w:sz w:val="28"/>
                <w:szCs w:val="28"/>
              </w:rPr>
              <w:t>Machines</w:t>
            </w:r>
          </w:p>
        </w:tc>
        <w:tc>
          <w:tcPr>
            <w:tcW w:w="0" w:type="auto"/>
            <w:vAlign w:val="center"/>
            <w:hideMark/>
          </w:tcPr>
          <w:p w14:paraId="63F5F4DC" w14:textId="77777777" w:rsidR="008823A8" w:rsidRPr="00A871F3" w:rsidRDefault="008823A8" w:rsidP="003617AD">
            <w:pPr>
              <w:rPr>
                <w:sz w:val="28"/>
                <w:szCs w:val="28"/>
              </w:rPr>
            </w:pPr>
            <w:r w:rsidRPr="00A871F3">
              <w:rPr>
                <w:sz w:val="28"/>
                <w:szCs w:val="28"/>
              </w:rPr>
              <w:t>Sales</w:t>
            </w:r>
          </w:p>
        </w:tc>
        <w:tc>
          <w:tcPr>
            <w:tcW w:w="0" w:type="auto"/>
            <w:vAlign w:val="center"/>
            <w:hideMark/>
          </w:tcPr>
          <w:p w14:paraId="6DBF7D40" w14:textId="77777777" w:rsidR="008823A8" w:rsidRPr="00A871F3" w:rsidRDefault="008823A8" w:rsidP="003617AD">
            <w:pPr>
              <w:rPr>
                <w:sz w:val="28"/>
                <w:szCs w:val="28"/>
              </w:rPr>
            </w:pPr>
            <w:r w:rsidRPr="00A871F3">
              <w:rPr>
                <w:sz w:val="28"/>
                <w:szCs w:val="28"/>
              </w:rPr>
              <w:t>1920</w:t>
            </w:r>
          </w:p>
        </w:tc>
        <w:tc>
          <w:tcPr>
            <w:tcW w:w="0" w:type="auto"/>
            <w:vAlign w:val="center"/>
            <w:hideMark/>
          </w:tcPr>
          <w:p w14:paraId="6634FE94" w14:textId="77777777" w:rsidR="008823A8" w:rsidRPr="00A871F3" w:rsidRDefault="008823A8" w:rsidP="003617AD">
            <w:pPr>
              <w:rPr>
                <w:sz w:val="28"/>
                <w:szCs w:val="28"/>
              </w:rPr>
            </w:pPr>
            <w:r w:rsidRPr="00A871F3">
              <w:rPr>
                <w:sz w:val="28"/>
                <w:szCs w:val="28"/>
              </w:rPr>
              <w:t>1920</w:t>
            </w:r>
          </w:p>
        </w:tc>
        <w:tc>
          <w:tcPr>
            <w:tcW w:w="0" w:type="auto"/>
            <w:vAlign w:val="center"/>
            <w:hideMark/>
          </w:tcPr>
          <w:p w14:paraId="1A175733" w14:textId="77777777" w:rsidR="008823A8" w:rsidRPr="00A871F3" w:rsidRDefault="008823A8" w:rsidP="003617AD">
            <w:pPr>
              <w:rPr>
                <w:sz w:val="28"/>
                <w:szCs w:val="28"/>
              </w:rPr>
            </w:pPr>
            <w:r w:rsidRPr="00A871F3">
              <w:rPr>
                <w:sz w:val="28"/>
                <w:szCs w:val="28"/>
              </w:rPr>
              <w:t>0</w:t>
            </w:r>
          </w:p>
        </w:tc>
        <w:tc>
          <w:tcPr>
            <w:tcW w:w="0" w:type="auto"/>
            <w:vAlign w:val="center"/>
            <w:hideMark/>
          </w:tcPr>
          <w:p w14:paraId="0C78F46E" w14:textId="77777777" w:rsidR="008823A8" w:rsidRPr="00A871F3" w:rsidRDefault="008823A8" w:rsidP="003617AD">
            <w:pPr>
              <w:rPr>
                <w:sz w:val="28"/>
                <w:szCs w:val="28"/>
              </w:rPr>
            </w:pPr>
            <w:r w:rsidRPr="00A871F3">
              <w:rPr>
                <w:sz w:val="28"/>
                <w:szCs w:val="28"/>
              </w:rPr>
              <w:t>-</w:t>
            </w:r>
          </w:p>
        </w:tc>
        <w:tc>
          <w:tcPr>
            <w:tcW w:w="0" w:type="auto"/>
            <w:vAlign w:val="center"/>
            <w:hideMark/>
          </w:tcPr>
          <w:p w14:paraId="1745DC95" w14:textId="77777777" w:rsidR="008823A8" w:rsidRPr="00A871F3" w:rsidRDefault="008823A8" w:rsidP="003617AD">
            <w:pPr>
              <w:rPr>
                <w:sz w:val="28"/>
                <w:szCs w:val="28"/>
              </w:rPr>
            </w:pPr>
            <w:r w:rsidRPr="00A871F3">
              <w:rPr>
                <w:sz w:val="28"/>
                <w:szCs w:val="28"/>
              </w:rPr>
              <w:t>-</w:t>
            </w:r>
          </w:p>
        </w:tc>
        <w:tc>
          <w:tcPr>
            <w:tcW w:w="0" w:type="auto"/>
            <w:vAlign w:val="center"/>
            <w:hideMark/>
          </w:tcPr>
          <w:p w14:paraId="6E2BF194" w14:textId="77777777" w:rsidR="008823A8" w:rsidRPr="00A871F3" w:rsidRDefault="008823A8" w:rsidP="003617AD">
            <w:pPr>
              <w:rPr>
                <w:sz w:val="28"/>
                <w:szCs w:val="28"/>
              </w:rPr>
            </w:pPr>
            <w:r w:rsidRPr="00A871F3">
              <w:rPr>
                <w:sz w:val="28"/>
                <w:szCs w:val="28"/>
              </w:rPr>
              <w:t>0</w:t>
            </w:r>
          </w:p>
        </w:tc>
        <w:tc>
          <w:tcPr>
            <w:tcW w:w="0" w:type="auto"/>
            <w:vAlign w:val="center"/>
            <w:hideMark/>
          </w:tcPr>
          <w:p w14:paraId="26DFB679" w14:textId="77777777" w:rsidR="008823A8" w:rsidRPr="00A871F3" w:rsidRDefault="008823A8" w:rsidP="003617AD">
            <w:pPr>
              <w:rPr>
                <w:sz w:val="28"/>
                <w:szCs w:val="28"/>
              </w:rPr>
            </w:pPr>
            <w:r w:rsidRPr="00A871F3">
              <w:rPr>
                <w:sz w:val="28"/>
                <w:szCs w:val="28"/>
              </w:rPr>
              <w:t>None</w:t>
            </w:r>
          </w:p>
        </w:tc>
      </w:tr>
      <w:tr w:rsidR="008823A8" w:rsidRPr="00A871F3" w14:paraId="69DA2466" w14:textId="77777777" w:rsidTr="008823A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EA64EFC" w14:textId="77777777" w:rsidR="008823A8" w:rsidRPr="00A871F3" w:rsidRDefault="008823A8" w:rsidP="003617AD">
            <w:pPr>
              <w:rPr>
                <w:sz w:val="28"/>
                <w:szCs w:val="28"/>
              </w:rPr>
            </w:pPr>
            <w:r w:rsidRPr="00A871F3">
              <w:rPr>
                <w:sz w:val="28"/>
                <w:szCs w:val="28"/>
              </w:rPr>
              <w:t>Copiers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0DAA9" w14:textId="77777777" w:rsidR="008823A8" w:rsidRPr="00A871F3" w:rsidRDefault="008823A8" w:rsidP="003617AD">
            <w:pPr>
              <w:rPr>
                <w:sz w:val="28"/>
                <w:szCs w:val="28"/>
              </w:rPr>
            </w:pPr>
            <w:r w:rsidRPr="00A871F3">
              <w:rPr>
                <w:sz w:val="28"/>
                <w:szCs w:val="28"/>
              </w:rPr>
              <w:t>Quantity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6415951" w14:textId="77777777" w:rsidR="008823A8" w:rsidRPr="00A871F3" w:rsidRDefault="008823A8" w:rsidP="003617AD">
            <w:pPr>
              <w:rPr>
                <w:sz w:val="28"/>
                <w:szCs w:val="28"/>
              </w:rPr>
            </w:pPr>
            <w:r w:rsidRPr="00A871F3">
              <w:rPr>
                <w:sz w:val="28"/>
                <w:szCs w:val="2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640C3CAF" w14:textId="77777777" w:rsidR="008823A8" w:rsidRPr="00A871F3" w:rsidRDefault="008823A8" w:rsidP="003617AD">
            <w:pPr>
              <w:rPr>
                <w:sz w:val="28"/>
                <w:szCs w:val="28"/>
              </w:rPr>
            </w:pPr>
            <w:r w:rsidRPr="00A871F3">
              <w:rPr>
                <w:sz w:val="28"/>
                <w:szCs w:val="2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4480F19F" w14:textId="77777777" w:rsidR="008823A8" w:rsidRPr="00A871F3" w:rsidRDefault="008823A8" w:rsidP="003617AD">
            <w:pPr>
              <w:rPr>
                <w:sz w:val="28"/>
                <w:szCs w:val="28"/>
              </w:rPr>
            </w:pPr>
            <w:r w:rsidRPr="00A871F3">
              <w:rPr>
                <w:sz w:val="28"/>
                <w:szCs w:val="28"/>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1C237C1" w14:textId="77777777" w:rsidR="008823A8" w:rsidRPr="00A871F3" w:rsidRDefault="008823A8" w:rsidP="003617AD">
            <w:pPr>
              <w:rPr>
                <w:sz w:val="28"/>
                <w:szCs w:val="28"/>
              </w:rPr>
            </w:pPr>
            <w:r w:rsidRPr="00A871F3">
              <w:rPr>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2E1BC88" w14:textId="77777777" w:rsidR="008823A8" w:rsidRPr="00A871F3" w:rsidRDefault="008823A8" w:rsidP="003617AD">
            <w:pPr>
              <w:rPr>
                <w:sz w:val="28"/>
                <w:szCs w:val="28"/>
              </w:rPr>
            </w:pPr>
            <w:r w:rsidRPr="00A871F3">
              <w:rPr>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90A89F2" w14:textId="77777777" w:rsidR="008823A8" w:rsidRPr="00A871F3" w:rsidRDefault="008823A8" w:rsidP="003617AD">
            <w:pPr>
              <w:rPr>
                <w:sz w:val="28"/>
                <w:szCs w:val="28"/>
              </w:rPr>
            </w:pPr>
            <w:r w:rsidRPr="00A871F3">
              <w:rPr>
                <w:sz w:val="28"/>
                <w:szCs w:val="28"/>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445AC8E7" w14:textId="77777777" w:rsidR="008823A8" w:rsidRPr="00A871F3" w:rsidRDefault="008823A8" w:rsidP="003617AD">
            <w:pPr>
              <w:rPr>
                <w:sz w:val="28"/>
                <w:szCs w:val="28"/>
              </w:rPr>
            </w:pPr>
            <w:r w:rsidRPr="00A871F3">
              <w:rPr>
                <w:sz w:val="28"/>
                <w:szCs w:val="28"/>
              </w:rPr>
              <w:t>None</w:t>
            </w:r>
          </w:p>
        </w:tc>
      </w:tr>
      <w:tr w:rsidR="008823A8" w:rsidRPr="00A871F3" w14:paraId="2C8F97B8" w14:textId="77777777" w:rsidTr="008823A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B35F21" w14:textId="77777777" w:rsidR="008823A8" w:rsidRPr="00A871F3" w:rsidRDefault="008823A8" w:rsidP="003617AD">
            <w:pPr>
              <w:rPr>
                <w:sz w:val="28"/>
                <w:szCs w:val="28"/>
              </w:rPr>
            </w:pPr>
            <w:r w:rsidRPr="00A871F3">
              <w:rPr>
                <w:sz w:val="28"/>
                <w:szCs w:val="28"/>
              </w:rPr>
              <w:t>Copiers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2C555B6B" w14:textId="77777777" w:rsidR="008823A8" w:rsidRPr="00A871F3" w:rsidRDefault="008823A8" w:rsidP="003617AD">
            <w:pPr>
              <w:rPr>
                <w:sz w:val="28"/>
                <w:szCs w:val="28"/>
              </w:rPr>
            </w:pPr>
            <w:r w:rsidRPr="00A871F3">
              <w:rPr>
                <w:sz w:val="28"/>
                <w:szCs w:val="28"/>
              </w:rPr>
              <w:t>Sales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1A0D709" w14:textId="77777777" w:rsidR="008823A8" w:rsidRPr="00A871F3" w:rsidRDefault="008823A8" w:rsidP="003617AD">
            <w:pPr>
              <w:rPr>
                <w:sz w:val="28"/>
                <w:szCs w:val="28"/>
              </w:rPr>
            </w:pPr>
            <w:r w:rsidRPr="00A871F3">
              <w:rPr>
                <w:sz w:val="28"/>
                <w:szCs w:val="28"/>
              </w:rPr>
              <w:t>1200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652D4" w14:textId="77777777" w:rsidR="008823A8" w:rsidRPr="00A871F3" w:rsidRDefault="008823A8" w:rsidP="003617AD">
            <w:pPr>
              <w:rPr>
                <w:sz w:val="28"/>
                <w:szCs w:val="28"/>
              </w:rPr>
            </w:pPr>
            <w:r w:rsidRPr="00A871F3">
              <w:rPr>
                <w:sz w:val="28"/>
                <w:szCs w:val="28"/>
              </w:rPr>
              <w:t>1200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A8471B2" w14:textId="77777777" w:rsidR="008823A8" w:rsidRPr="00A871F3" w:rsidRDefault="008823A8" w:rsidP="003617AD">
            <w:pPr>
              <w:rPr>
                <w:sz w:val="28"/>
                <w:szCs w:val="28"/>
              </w:rPr>
            </w:pPr>
            <w:r w:rsidRPr="00A871F3">
              <w:rPr>
                <w:sz w:val="28"/>
                <w:szCs w:val="28"/>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0A9C0C" w14:textId="77777777" w:rsidR="008823A8" w:rsidRPr="00A871F3" w:rsidRDefault="008823A8" w:rsidP="003617AD">
            <w:pPr>
              <w:rPr>
                <w:sz w:val="28"/>
                <w:szCs w:val="28"/>
              </w:rPr>
            </w:pPr>
            <w:r w:rsidRPr="00A871F3">
              <w:rPr>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0113ECC" w14:textId="77777777" w:rsidR="008823A8" w:rsidRPr="00A871F3" w:rsidRDefault="008823A8" w:rsidP="003617AD">
            <w:pPr>
              <w:rPr>
                <w:sz w:val="28"/>
                <w:szCs w:val="28"/>
              </w:rPr>
            </w:pPr>
            <w:r w:rsidRPr="00A871F3">
              <w:rPr>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0A2C1B2" w14:textId="77777777" w:rsidR="008823A8" w:rsidRPr="00A871F3" w:rsidRDefault="008823A8" w:rsidP="003617AD">
            <w:pPr>
              <w:rPr>
                <w:sz w:val="28"/>
                <w:szCs w:val="28"/>
              </w:rPr>
            </w:pPr>
            <w:r w:rsidRPr="00A871F3">
              <w:rPr>
                <w:sz w:val="28"/>
                <w:szCs w:val="28"/>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EED9C3C" w14:textId="77777777" w:rsidR="008823A8" w:rsidRPr="00A871F3" w:rsidRDefault="008823A8" w:rsidP="003617AD">
            <w:pPr>
              <w:rPr>
                <w:sz w:val="28"/>
                <w:szCs w:val="28"/>
              </w:rPr>
            </w:pPr>
            <w:r w:rsidRPr="00A871F3">
              <w:rPr>
                <w:sz w:val="28"/>
                <w:szCs w:val="28"/>
              </w:rPr>
              <w:t>None</w:t>
            </w:r>
          </w:p>
        </w:tc>
      </w:tr>
    </w:tbl>
    <w:p w14:paraId="18FA4725" w14:textId="1230E1A9" w:rsidR="008823A8" w:rsidRDefault="00DC2353">
      <w:pPr>
        <w:rPr>
          <w:b/>
          <w:bCs/>
          <w:sz w:val="28"/>
          <w:szCs w:val="28"/>
        </w:rPr>
      </w:pPr>
      <w:r>
        <w:rPr>
          <w:b/>
          <w:bCs/>
          <w:sz w:val="28"/>
          <w:szCs w:val="28"/>
        </w:rPr>
        <w:t xml:space="preserve">TASK-3: </w:t>
      </w:r>
    </w:p>
    <w:p w14:paraId="5AB313F5" w14:textId="728B0FFB" w:rsidR="00DC2353" w:rsidRDefault="00DC2353">
      <w:pPr>
        <w:rPr>
          <w:b/>
          <w:bCs/>
          <w:sz w:val="28"/>
          <w:szCs w:val="28"/>
        </w:rPr>
      </w:pPr>
      <w:r>
        <w:rPr>
          <w:b/>
          <w:bCs/>
          <w:noProof/>
          <w:sz w:val="28"/>
          <w:szCs w:val="28"/>
        </w:rPr>
        <w:drawing>
          <wp:inline distT="0" distB="0" distL="0" distR="0" wp14:anchorId="5BF0FA81" wp14:editId="48F53D5D">
            <wp:extent cx="6381750" cy="3952875"/>
            <wp:effectExtent l="0" t="0" r="0" b="9525"/>
            <wp:docPr id="1909827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27901" name="Picture 1909827901"/>
                    <pic:cNvPicPr/>
                  </pic:nvPicPr>
                  <pic:blipFill>
                    <a:blip r:embed="rId7">
                      <a:extLst>
                        <a:ext uri="{28A0092B-C50C-407E-A947-70E740481C1C}">
                          <a14:useLocalDpi xmlns:a14="http://schemas.microsoft.com/office/drawing/2010/main" val="0"/>
                        </a:ext>
                      </a:extLst>
                    </a:blip>
                    <a:stretch>
                      <a:fillRect/>
                    </a:stretch>
                  </pic:blipFill>
                  <pic:spPr>
                    <a:xfrm>
                      <a:off x="0" y="0"/>
                      <a:ext cx="6381750" cy="3952875"/>
                    </a:xfrm>
                    <a:prstGeom prst="rect">
                      <a:avLst/>
                    </a:prstGeom>
                  </pic:spPr>
                </pic:pic>
              </a:graphicData>
            </a:graphic>
          </wp:inline>
        </w:drawing>
      </w:r>
    </w:p>
    <w:p w14:paraId="470F5883" w14:textId="77777777" w:rsidR="00DC2353" w:rsidRDefault="00DC2353">
      <w:pPr>
        <w:rPr>
          <w:b/>
          <w:bCs/>
          <w:sz w:val="28"/>
          <w:szCs w:val="28"/>
        </w:rPr>
      </w:pPr>
    </w:p>
    <w:p w14:paraId="10977B79" w14:textId="77777777" w:rsidR="00DC2353" w:rsidRDefault="00DC2353">
      <w:pPr>
        <w:rPr>
          <w:b/>
          <w:bCs/>
          <w:sz w:val="28"/>
          <w:szCs w:val="28"/>
        </w:rPr>
      </w:pPr>
    </w:p>
    <w:p w14:paraId="2C8A9288" w14:textId="77777777" w:rsidR="00DC2353" w:rsidRDefault="00DC2353">
      <w:pPr>
        <w:rPr>
          <w:b/>
          <w:bCs/>
          <w:sz w:val="28"/>
          <w:szCs w:val="28"/>
        </w:rPr>
      </w:pPr>
    </w:p>
    <w:p w14:paraId="14A78B6E" w14:textId="77777777" w:rsidR="00DC2353" w:rsidRDefault="00DC2353">
      <w:pPr>
        <w:rPr>
          <w:b/>
          <w:bCs/>
          <w:sz w:val="28"/>
          <w:szCs w:val="28"/>
        </w:rPr>
      </w:pPr>
    </w:p>
    <w:p w14:paraId="6A21763C" w14:textId="2289016E" w:rsidR="00DC2353" w:rsidRPr="001B5D7B" w:rsidRDefault="001B5D7B">
      <w:pPr>
        <w:rPr>
          <w:b/>
          <w:bCs/>
          <w:sz w:val="32"/>
          <w:szCs w:val="32"/>
        </w:rPr>
      </w:pPr>
      <w:r w:rsidRPr="001B5D7B">
        <w:rPr>
          <w:b/>
          <w:bCs/>
          <w:sz w:val="32"/>
          <w:szCs w:val="32"/>
        </w:rPr>
        <w:lastRenderedPageBreak/>
        <w:t>TASK-4:</w:t>
      </w:r>
    </w:p>
    <w:p w14:paraId="4C29BF10" w14:textId="7678E9F1" w:rsidR="001B5D7B" w:rsidRPr="001B5D7B" w:rsidRDefault="001B5D7B" w:rsidP="001B5D7B">
      <w:pPr>
        <w:rPr>
          <w:b/>
          <w:bCs/>
          <w:sz w:val="28"/>
          <w:szCs w:val="28"/>
          <w:lang w:val="en-US"/>
        </w:rPr>
      </w:pPr>
      <w:r>
        <w:rPr>
          <w:b/>
          <w:bCs/>
          <w:sz w:val="28"/>
          <w:szCs w:val="28"/>
          <w:lang w:val="en-US"/>
        </w:rPr>
        <w:t>--</w:t>
      </w:r>
      <w:r w:rsidRPr="001B5D7B">
        <w:rPr>
          <w:b/>
          <w:bCs/>
          <w:sz w:val="28"/>
          <w:szCs w:val="28"/>
          <w:lang w:val="en-US"/>
        </w:rPr>
        <w:t>Title:</w:t>
      </w:r>
    </w:p>
    <w:p w14:paraId="7893A0A0" w14:textId="77777777" w:rsidR="001B5D7B" w:rsidRPr="001B5D7B" w:rsidRDefault="001B5D7B" w:rsidP="001B5D7B">
      <w:pPr>
        <w:rPr>
          <w:b/>
          <w:bCs/>
          <w:sz w:val="28"/>
          <w:szCs w:val="28"/>
          <w:lang w:val="en-US"/>
        </w:rPr>
      </w:pPr>
      <w:r w:rsidRPr="001B5D7B">
        <w:rPr>
          <w:b/>
          <w:bCs/>
          <w:sz w:val="28"/>
          <w:szCs w:val="28"/>
          <w:highlight w:val="yellow"/>
          <w:lang w:val="en-US"/>
        </w:rPr>
        <w:t>"Sales Decline from 2018 to 2020"</w:t>
      </w:r>
    </w:p>
    <w:p w14:paraId="528615D5" w14:textId="77777777" w:rsidR="001B5D7B" w:rsidRPr="001B5D7B" w:rsidRDefault="001B5D7B" w:rsidP="001B5D7B">
      <w:pPr>
        <w:rPr>
          <w:b/>
          <w:bCs/>
          <w:sz w:val="28"/>
          <w:szCs w:val="28"/>
          <w:lang w:val="en-US"/>
        </w:rPr>
      </w:pPr>
      <w:r w:rsidRPr="001B5D7B">
        <w:rPr>
          <w:b/>
          <w:bCs/>
          <w:sz w:val="28"/>
          <w:szCs w:val="28"/>
          <w:lang w:val="en-US"/>
        </w:rPr>
        <w:t>Introduction:</w:t>
      </w:r>
    </w:p>
    <w:p w14:paraId="7D006205" w14:textId="77777777" w:rsidR="001B5D7B" w:rsidRPr="001B5D7B" w:rsidRDefault="001B5D7B" w:rsidP="001B5D7B">
      <w:pPr>
        <w:rPr>
          <w:sz w:val="28"/>
          <w:szCs w:val="28"/>
          <w:lang w:val="en-US"/>
        </w:rPr>
      </w:pPr>
      <w:r w:rsidRPr="001B5D7B">
        <w:rPr>
          <w:sz w:val="28"/>
          <w:szCs w:val="28"/>
          <w:lang w:val="en-US"/>
        </w:rPr>
        <w:t>"In this chart, we explore the trend in annual sales over the three-year period from 2018 to 2020. The data provides insight into the significant shifts in sales volume during this time frame."</w:t>
      </w:r>
    </w:p>
    <w:p w14:paraId="12BD4B43" w14:textId="77777777" w:rsidR="001B5D7B" w:rsidRPr="001B5D7B" w:rsidRDefault="001B5D7B" w:rsidP="001B5D7B">
      <w:pPr>
        <w:rPr>
          <w:b/>
          <w:bCs/>
          <w:sz w:val="28"/>
          <w:szCs w:val="28"/>
          <w:lang w:val="en-US"/>
        </w:rPr>
      </w:pPr>
      <w:r w:rsidRPr="001B5D7B">
        <w:rPr>
          <w:b/>
          <w:bCs/>
          <w:sz w:val="28"/>
          <w:szCs w:val="28"/>
          <w:lang w:val="en-US"/>
        </w:rPr>
        <w:t>Key Points:</w:t>
      </w:r>
    </w:p>
    <w:p w14:paraId="02FCFD1F" w14:textId="77777777" w:rsidR="001B5D7B" w:rsidRPr="001B5D7B" w:rsidRDefault="001B5D7B" w:rsidP="001B5D7B">
      <w:pPr>
        <w:numPr>
          <w:ilvl w:val="0"/>
          <w:numId w:val="1"/>
        </w:numPr>
        <w:rPr>
          <w:b/>
          <w:bCs/>
          <w:sz w:val="28"/>
          <w:szCs w:val="28"/>
          <w:lang w:val="en-US"/>
        </w:rPr>
      </w:pPr>
      <w:r w:rsidRPr="001B5D7B">
        <w:rPr>
          <w:b/>
          <w:bCs/>
          <w:sz w:val="28"/>
          <w:szCs w:val="28"/>
          <w:lang w:val="en-US"/>
        </w:rPr>
        <w:t>2018: Peak Year</w:t>
      </w:r>
    </w:p>
    <w:p w14:paraId="3E872F15" w14:textId="77777777" w:rsidR="001B5D7B" w:rsidRPr="001B5D7B" w:rsidRDefault="001B5D7B" w:rsidP="001B5D7B">
      <w:pPr>
        <w:numPr>
          <w:ilvl w:val="1"/>
          <w:numId w:val="1"/>
        </w:numPr>
        <w:rPr>
          <w:sz w:val="28"/>
          <w:szCs w:val="28"/>
          <w:lang w:val="en-US"/>
        </w:rPr>
      </w:pPr>
      <w:r w:rsidRPr="001B5D7B">
        <w:rPr>
          <w:sz w:val="28"/>
          <w:szCs w:val="28"/>
          <w:lang w:val="en-US"/>
        </w:rPr>
        <w:t>The year 2018 marks the highest sales with 21,658 units sold. It is the starting point of the line at a high level, indicating a period of strong business performance.</w:t>
      </w:r>
    </w:p>
    <w:p w14:paraId="63260189" w14:textId="77777777" w:rsidR="001B5D7B" w:rsidRPr="001B5D7B" w:rsidRDefault="001B5D7B" w:rsidP="001B5D7B">
      <w:pPr>
        <w:numPr>
          <w:ilvl w:val="1"/>
          <w:numId w:val="1"/>
        </w:numPr>
        <w:rPr>
          <w:sz w:val="28"/>
          <w:szCs w:val="28"/>
          <w:lang w:val="en-US"/>
        </w:rPr>
      </w:pPr>
      <w:r w:rsidRPr="001B5D7B">
        <w:rPr>
          <w:sz w:val="28"/>
          <w:szCs w:val="28"/>
          <w:lang w:val="en-US"/>
        </w:rPr>
        <w:t>You could highlight potential reasons for the peak, such as favorable market conditions or product launches.</w:t>
      </w:r>
    </w:p>
    <w:p w14:paraId="4415CB7F" w14:textId="77777777" w:rsidR="001B5D7B" w:rsidRPr="001B5D7B" w:rsidRDefault="001B5D7B" w:rsidP="001B5D7B">
      <w:pPr>
        <w:numPr>
          <w:ilvl w:val="0"/>
          <w:numId w:val="1"/>
        </w:numPr>
        <w:rPr>
          <w:b/>
          <w:bCs/>
          <w:sz w:val="28"/>
          <w:szCs w:val="28"/>
          <w:lang w:val="en-US"/>
        </w:rPr>
      </w:pPr>
      <w:r w:rsidRPr="001B5D7B">
        <w:rPr>
          <w:b/>
          <w:bCs/>
          <w:sz w:val="28"/>
          <w:szCs w:val="28"/>
          <w:lang w:val="en-US"/>
        </w:rPr>
        <w:t>2019: Sharp Decline</w:t>
      </w:r>
    </w:p>
    <w:p w14:paraId="132CA21A" w14:textId="77777777" w:rsidR="001B5D7B" w:rsidRPr="001B5D7B" w:rsidRDefault="001B5D7B" w:rsidP="001B5D7B">
      <w:pPr>
        <w:numPr>
          <w:ilvl w:val="1"/>
          <w:numId w:val="1"/>
        </w:numPr>
        <w:rPr>
          <w:sz w:val="28"/>
          <w:szCs w:val="28"/>
          <w:lang w:val="en-US"/>
        </w:rPr>
      </w:pPr>
      <w:r w:rsidRPr="001B5D7B">
        <w:rPr>
          <w:sz w:val="28"/>
          <w:szCs w:val="28"/>
          <w:lang w:val="en-US"/>
        </w:rPr>
        <w:t>In 2019, the sales dropped sharply to 11,594 units, nearly half of what was achieved in 2018. This noticeable dip signals a major shift in the business environment.</w:t>
      </w:r>
    </w:p>
    <w:p w14:paraId="3253868E" w14:textId="77777777" w:rsidR="001B5D7B" w:rsidRPr="001B5D7B" w:rsidRDefault="001B5D7B" w:rsidP="001B5D7B">
      <w:pPr>
        <w:numPr>
          <w:ilvl w:val="1"/>
          <w:numId w:val="1"/>
        </w:numPr>
        <w:rPr>
          <w:sz w:val="28"/>
          <w:szCs w:val="28"/>
          <w:lang w:val="en-US"/>
        </w:rPr>
      </w:pPr>
      <w:r w:rsidRPr="001B5D7B">
        <w:rPr>
          <w:sz w:val="28"/>
          <w:szCs w:val="28"/>
          <w:lang w:val="en-US"/>
        </w:rPr>
        <w:t>The story here could focus on possible factors such as changes in demand, market competition, or external economic impacts.</w:t>
      </w:r>
    </w:p>
    <w:p w14:paraId="495DB786" w14:textId="77777777" w:rsidR="001B5D7B" w:rsidRPr="001B5D7B" w:rsidRDefault="001B5D7B" w:rsidP="001B5D7B">
      <w:pPr>
        <w:numPr>
          <w:ilvl w:val="0"/>
          <w:numId w:val="1"/>
        </w:numPr>
        <w:rPr>
          <w:b/>
          <w:bCs/>
          <w:sz w:val="28"/>
          <w:szCs w:val="28"/>
          <w:lang w:val="en-US"/>
        </w:rPr>
      </w:pPr>
      <w:r w:rsidRPr="001B5D7B">
        <w:rPr>
          <w:b/>
          <w:bCs/>
          <w:sz w:val="28"/>
          <w:szCs w:val="28"/>
          <w:lang w:val="en-US"/>
        </w:rPr>
        <w:t>2020: Continued Decline</w:t>
      </w:r>
    </w:p>
    <w:p w14:paraId="2B566387" w14:textId="77777777" w:rsidR="001B5D7B" w:rsidRPr="001B5D7B" w:rsidRDefault="001B5D7B" w:rsidP="001B5D7B">
      <w:pPr>
        <w:numPr>
          <w:ilvl w:val="1"/>
          <w:numId w:val="1"/>
        </w:numPr>
        <w:rPr>
          <w:sz w:val="28"/>
          <w:szCs w:val="28"/>
          <w:lang w:val="en-US"/>
        </w:rPr>
      </w:pPr>
      <w:r w:rsidRPr="001B5D7B">
        <w:rPr>
          <w:sz w:val="28"/>
          <w:szCs w:val="28"/>
          <w:lang w:val="en-US"/>
        </w:rPr>
        <w:t>The downward trend continues in 2020, with sales falling further to 9,256 units.</w:t>
      </w:r>
    </w:p>
    <w:p w14:paraId="2C34EF56" w14:textId="77777777" w:rsidR="001B5D7B" w:rsidRPr="001B5D7B" w:rsidRDefault="001B5D7B" w:rsidP="001B5D7B">
      <w:pPr>
        <w:numPr>
          <w:ilvl w:val="1"/>
          <w:numId w:val="1"/>
        </w:numPr>
        <w:rPr>
          <w:sz w:val="28"/>
          <w:szCs w:val="28"/>
          <w:lang w:val="en-US"/>
        </w:rPr>
      </w:pPr>
      <w:r w:rsidRPr="001B5D7B">
        <w:rPr>
          <w:sz w:val="28"/>
          <w:szCs w:val="28"/>
          <w:lang w:val="en-US"/>
        </w:rPr>
        <w:t>This represents a slower rate of decline compared to the previous year, but still a notable drop. The story could explore how external factors, such as global challenges (e.g., the pandemic), might have contributed to this continued decrease in sales.</w:t>
      </w:r>
    </w:p>
    <w:p w14:paraId="05CE800D" w14:textId="77777777" w:rsidR="001B5D7B" w:rsidRPr="001B5D7B" w:rsidRDefault="001B5D7B" w:rsidP="001B5D7B">
      <w:pPr>
        <w:rPr>
          <w:b/>
          <w:bCs/>
          <w:sz w:val="28"/>
          <w:szCs w:val="28"/>
          <w:lang w:val="en-US"/>
        </w:rPr>
      </w:pPr>
      <w:r w:rsidRPr="001B5D7B">
        <w:rPr>
          <w:b/>
          <w:bCs/>
          <w:sz w:val="28"/>
          <w:szCs w:val="28"/>
          <w:lang w:val="en-US"/>
        </w:rPr>
        <w:t>Conclusion:</w:t>
      </w:r>
    </w:p>
    <w:p w14:paraId="5E1322FA" w14:textId="77777777" w:rsidR="001B5D7B" w:rsidRPr="001B5D7B" w:rsidRDefault="001B5D7B" w:rsidP="001B5D7B">
      <w:pPr>
        <w:rPr>
          <w:sz w:val="28"/>
          <w:szCs w:val="28"/>
          <w:lang w:val="en-US"/>
        </w:rPr>
      </w:pPr>
      <w:r w:rsidRPr="001B5D7B">
        <w:rPr>
          <w:sz w:val="28"/>
          <w:szCs w:val="28"/>
          <w:lang w:val="en-US"/>
        </w:rPr>
        <w:lastRenderedPageBreak/>
        <w:t>"The overall trend from 2018 to 2020 highlights a consistent decline in sales, with 2020 reaching less than half of 2018’s sales volume. This trend might raise concerns about the need for strategic adjustments to reverse the decline."</w:t>
      </w:r>
    </w:p>
    <w:p w14:paraId="1F31A9C3" w14:textId="77777777" w:rsidR="001B5D7B" w:rsidRPr="001B5D7B" w:rsidRDefault="001B5D7B" w:rsidP="001B5D7B">
      <w:pPr>
        <w:rPr>
          <w:sz w:val="28"/>
          <w:szCs w:val="28"/>
          <w:lang w:val="en-US"/>
        </w:rPr>
      </w:pPr>
      <w:r w:rsidRPr="001B5D7B">
        <w:rPr>
          <w:sz w:val="28"/>
          <w:szCs w:val="28"/>
          <w:lang w:val="en-US"/>
        </w:rPr>
        <w:t>Visual Emphasis:</w:t>
      </w:r>
    </w:p>
    <w:p w14:paraId="4F4A689E" w14:textId="77777777" w:rsidR="001B5D7B" w:rsidRPr="001B5D7B" w:rsidRDefault="001B5D7B" w:rsidP="001B5D7B">
      <w:pPr>
        <w:numPr>
          <w:ilvl w:val="0"/>
          <w:numId w:val="2"/>
        </w:numPr>
        <w:rPr>
          <w:sz w:val="28"/>
          <w:szCs w:val="28"/>
          <w:lang w:val="en-US"/>
        </w:rPr>
      </w:pPr>
      <w:r w:rsidRPr="001B5D7B">
        <w:rPr>
          <w:sz w:val="28"/>
          <w:szCs w:val="28"/>
          <w:lang w:val="en-US"/>
        </w:rPr>
        <w:t>Annotations: Add annotations on each point for 2018, 2019, and 2020 to highlight key milestones or major events affecting sales.</w:t>
      </w:r>
    </w:p>
    <w:p w14:paraId="749C59E0" w14:textId="77777777" w:rsidR="001B5D7B" w:rsidRPr="001B5D7B" w:rsidRDefault="001B5D7B" w:rsidP="001B5D7B">
      <w:pPr>
        <w:numPr>
          <w:ilvl w:val="0"/>
          <w:numId w:val="2"/>
        </w:numPr>
        <w:rPr>
          <w:sz w:val="28"/>
          <w:szCs w:val="28"/>
          <w:lang w:val="en-US"/>
        </w:rPr>
      </w:pPr>
      <w:r w:rsidRPr="001B5D7B">
        <w:rPr>
          <w:sz w:val="28"/>
          <w:szCs w:val="28"/>
          <w:lang w:val="en-US"/>
        </w:rPr>
        <w:t>Color &amp; Design: Use different colors or line thicknesses to emphasize the sharp decline between 2018 and 2019 and the slower drop between 2019 and 2020.</w:t>
      </w:r>
    </w:p>
    <w:p w14:paraId="2D30D678" w14:textId="77777777" w:rsidR="001B5D7B" w:rsidRPr="001B5D7B" w:rsidRDefault="001B5D7B" w:rsidP="001B5D7B">
      <w:pPr>
        <w:rPr>
          <w:sz w:val="28"/>
          <w:szCs w:val="28"/>
          <w:lang w:val="en-US"/>
        </w:rPr>
      </w:pPr>
      <w:r w:rsidRPr="001B5D7B">
        <w:rPr>
          <w:sz w:val="28"/>
          <w:szCs w:val="28"/>
          <w:lang w:val="en-US"/>
        </w:rPr>
        <w:t>This approach turns the raw data into a story of changing business dynamics over the years.</w:t>
      </w:r>
    </w:p>
    <w:p w14:paraId="54FD2755" w14:textId="77777777" w:rsidR="001B5D7B" w:rsidRPr="001B5D7B" w:rsidRDefault="001B5D7B" w:rsidP="001B5D7B">
      <w:pPr>
        <w:rPr>
          <w:b/>
          <w:bCs/>
          <w:sz w:val="28"/>
          <w:szCs w:val="28"/>
          <w:lang w:val="en-US"/>
        </w:rPr>
      </w:pPr>
      <w:r>
        <w:rPr>
          <w:b/>
          <w:bCs/>
          <w:sz w:val="28"/>
          <w:szCs w:val="28"/>
        </w:rPr>
        <w:t>--</w:t>
      </w:r>
      <w:r w:rsidRPr="001B5D7B">
        <w:rPr>
          <w:b/>
          <w:bCs/>
          <w:sz w:val="28"/>
          <w:szCs w:val="28"/>
          <w:lang w:val="en-US"/>
        </w:rPr>
        <w:t>Title:</w:t>
      </w:r>
    </w:p>
    <w:p w14:paraId="0EDACE89" w14:textId="77777777" w:rsidR="001B5D7B" w:rsidRPr="001B5D7B" w:rsidRDefault="001B5D7B" w:rsidP="001B5D7B">
      <w:pPr>
        <w:rPr>
          <w:b/>
          <w:bCs/>
          <w:sz w:val="28"/>
          <w:szCs w:val="28"/>
          <w:lang w:val="en-US"/>
        </w:rPr>
      </w:pPr>
      <w:r w:rsidRPr="001B5D7B">
        <w:rPr>
          <w:b/>
          <w:bCs/>
          <w:sz w:val="28"/>
          <w:szCs w:val="28"/>
          <w:highlight w:val="yellow"/>
          <w:lang w:val="en-US"/>
        </w:rPr>
        <w:t>"City-Level Sales: Spotlight on Top and Emerging Markets"</w:t>
      </w:r>
    </w:p>
    <w:p w14:paraId="7B320B66" w14:textId="77777777" w:rsidR="001B5D7B" w:rsidRPr="001B5D7B" w:rsidRDefault="001B5D7B" w:rsidP="001B5D7B">
      <w:pPr>
        <w:rPr>
          <w:b/>
          <w:bCs/>
          <w:sz w:val="28"/>
          <w:szCs w:val="28"/>
          <w:lang w:val="en-US"/>
        </w:rPr>
      </w:pPr>
      <w:r w:rsidRPr="001B5D7B">
        <w:rPr>
          <w:b/>
          <w:bCs/>
          <w:sz w:val="28"/>
          <w:szCs w:val="28"/>
          <w:lang w:val="en-US"/>
        </w:rPr>
        <w:t>Introduction:</w:t>
      </w:r>
    </w:p>
    <w:p w14:paraId="49EC39A5" w14:textId="77777777" w:rsidR="001B5D7B" w:rsidRPr="001B5D7B" w:rsidRDefault="001B5D7B" w:rsidP="001B5D7B">
      <w:pPr>
        <w:rPr>
          <w:sz w:val="28"/>
          <w:szCs w:val="28"/>
          <w:lang w:val="en-US"/>
        </w:rPr>
      </w:pPr>
      <w:r w:rsidRPr="001B5D7B">
        <w:rPr>
          <w:sz w:val="28"/>
          <w:szCs w:val="28"/>
          <w:lang w:val="en-US"/>
        </w:rPr>
        <w:t>"The chart presents the sales distribution across various cities, highlighting significant disparities in performance. By examining the highest-performing locations alongside smaller markets, we can better understand regional sales dynamics and potential opportunities."</w:t>
      </w:r>
    </w:p>
    <w:p w14:paraId="066C56DF" w14:textId="77777777" w:rsidR="001B5D7B" w:rsidRPr="001B5D7B" w:rsidRDefault="001B5D7B" w:rsidP="001B5D7B">
      <w:pPr>
        <w:rPr>
          <w:b/>
          <w:bCs/>
          <w:sz w:val="28"/>
          <w:szCs w:val="28"/>
          <w:lang w:val="en-US"/>
        </w:rPr>
      </w:pPr>
      <w:r w:rsidRPr="001B5D7B">
        <w:rPr>
          <w:b/>
          <w:bCs/>
          <w:sz w:val="28"/>
          <w:szCs w:val="28"/>
          <w:lang w:val="en-US"/>
        </w:rPr>
        <w:t>Key Points:</w:t>
      </w:r>
    </w:p>
    <w:p w14:paraId="054D5A05" w14:textId="77777777" w:rsidR="001B5D7B" w:rsidRPr="001B5D7B" w:rsidRDefault="001B5D7B" w:rsidP="001B5D7B">
      <w:pPr>
        <w:numPr>
          <w:ilvl w:val="0"/>
          <w:numId w:val="3"/>
        </w:numPr>
        <w:rPr>
          <w:b/>
          <w:bCs/>
          <w:sz w:val="28"/>
          <w:szCs w:val="28"/>
          <w:lang w:val="en-US"/>
        </w:rPr>
      </w:pPr>
      <w:r w:rsidRPr="001B5D7B">
        <w:rPr>
          <w:b/>
          <w:bCs/>
          <w:sz w:val="28"/>
          <w:szCs w:val="28"/>
          <w:lang w:val="en-US"/>
        </w:rPr>
        <w:t>Dominance of Major Cities:</w:t>
      </w:r>
    </w:p>
    <w:p w14:paraId="03831D5B" w14:textId="77777777" w:rsidR="001B5D7B" w:rsidRPr="001B5D7B" w:rsidRDefault="001B5D7B" w:rsidP="001B5D7B">
      <w:pPr>
        <w:numPr>
          <w:ilvl w:val="1"/>
          <w:numId w:val="3"/>
        </w:numPr>
        <w:rPr>
          <w:sz w:val="28"/>
          <w:szCs w:val="28"/>
          <w:lang w:val="en-US"/>
        </w:rPr>
      </w:pPr>
      <w:r w:rsidRPr="001B5D7B">
        <w:rPr>
          <w:sz w:val="28"/>
          <w:szCs w:val="28"/>
          <w:lang w:val="en-US"/>
        </w:rPr>
        <w:t>Los Angeles clearly stands out with a massive 18,114 units, leading the pack by a large margin. This makes it the undisputed leader, emphasizing its role as a major hub for sales.</w:t>
      </w:r>
    </w:p>
    <w:p w14:paraId="5809CDA0" w14:textId="77777777" w:rsidR="001B5D7B" w:rsidRPr="001B5D7B" w:rsidRDefault="001B5D7B" w:rsidP="001B5D7B">
      <w:pPr>
        <w:numPr>
          <w:ilvl w:val="1"/>
          <w:numId w:val="3"/>
        </w:numPr>
        <w:rPr>
          <w:sz w:val="28"/>
          <w:szCs w:val="28"/>
          <w:lang w:val="en-US"/>
        </w:rPr>
      </w:pPr>
      <w:r w:rsidRPr="001B5D7B">
        <w:rPr>
          <w:sz w:val="28"/>
          <w:szCs w:val="28"/>
          <w:lang w:val="en-US"/>
        </w:rPr>
        <w:t>San Francisco follows as the second highest, with 10,266 units, showing that the Bay Area is another major contributor.</w:t>
      </w:r>
    </w:p>
    <w:p w14:paraId="0B225B5B" w14:textId="77777777" w:rsidR="001B5D7B" w:rsidRPr="001B5D7B" w:rsidRDefault="001B5D7B" w:rsidP="001B5D7B">
      <w:pPr>
        <w:numPr>
          <w:ilvl w:val="1"/>
          <w:numId w:val="3"/>
        </w:numPr>
        <w:rPr>
          <w:sz w:val="28"/>
          <w:szCs w:val="28"/>
          <w:lang w:val="en-US"/>
        </w:rPr>
      </w:pPr>
      <w:r w:rsidRPr="001B5D7B">
        <w:rPr>
          <w:sz w:val="28"/>
          <w:szCs w:val="28"/>
          <w:lang w:val="en-US"/>
        </w:rPr>
        <w:t>San Diego ranks third with 5,809 units, completing the trio of California’s biggest markets. These cities form a major cluster of high-performing locations, likely due to population density and market size.</w:t>
      </w:r>
    </w:p>
    <w:p w14:paraId="40175892" w14:textId="77777777" w:rsidR="001B5D7B" w:rsidRPr="001B5D7B" w:rsidRDefault="001B5D7B" w:rsidP="001B5D7B">
      <w:pPr>
        <w:numPr>
          <w:ilvl w:val="0"/>
          <w:numId w:val="3"/>
        </w:numPr>
        <w:rPr>
          <w:b/>
          <w:bCs/>
          <w:sz w:val="28"/>
          <w:szCs w:val="28"/>
          <w:lang w:val="en-US"/>
        </w:rPr>
      </w:pPr>
      <w:r w:rsidRPr="001B5D7B">
        <w:rPr>
          <w:b/>
          <w:bCs/>
          <w:sz w:val="28"/>
          <w:szCs w:val="28"/>
          <w:lang w:val="en-US"/>
        </w:rPr>
        <w:lastRenderedPageBreak/>
        <w:t>Mid-Tier Performers:</w:t>
      </w:r>
    </w:p>
    <w:p w14:paraId="5AADC0D0" w14:textId="77777777" w:rsidR="001B5D7B" w:rsidRPr="001B5D7B" w:rsidRDefault="001B5D7B" w:rsidP="001B5D7B">
      <w:pPr>
        <w:numPr>
          <w:ilvl w:val="1"/>
          <w:numId w:val="3"/>
        </w:numPr>
        <w:rPr>
          <w:sz w:val="28"/>
          <w:szCs w:val="28"/>
          <w:lang w:val="en-US"/>
        </w:rPr>
      </w:pPr>
      <w:r w:rsidRPr="001B5D7B">
        <w:rPr>
          <w:sz w:val="28"/>
          <w:szCs w:val="28"/>
          <w:lang w:val="en-US"/>
        </w:rPr>
        <w:t>Several cities, such as Redondo Beach (1,513 units), Redlands (1,296 units), and Santa Ana (1,400 units) show solid performance, contributing significant sales but not on the scale of the top three.</w:t>
      </w:r>
    </w:p>
    <w:p w14:paraId="56CADB5B" w14:textId="77777777" w:rsidR="001B5D7B" w:rsidRPr="001B5D7B" w:rsidRDefault="001B5D7B" w:rsidP="001B5D7B">
      <w:pPr>
        <w:numPr>
          <w:ilvl w:val="1"/>
          <w:numId w:val="3"/>
        </w:numPr>
        <w:rPr>
          <w:sz w:val="28"/>
          <w:szCs w:val="28"/>
          <w:lang w:val="en-US"/>
        </w:rPr>
      </w:pPr>
      <w:r w:rsidRPr="001B5D7B">
        <w:rPr>
          <w:sz w:val="28"/>
          <w:szCs w:val="28"/>
          <w:lang w:val="en-US"/>
        </w:rPr>
        <w:t>Fresno (691 units) and Brentwood (902 units) also perform well, marking themselves as cities with steady sales potential.</w:t>
      </w:r>
    </w:p>
    <w:p w14:paraId="3F4E0C33" w14:textId="77777777" w:rsidR="001B5D7B" w:rsidRPr="001B5D7B" w:rsidRDefault="001B5D7B" w:rsidP="001B5D7B">
      <w:pPr>
        <w:numPr>
          <w:ilvl w:val="1"/>
          <w:numId w:val="3"/>
        </w:numPr>
        <w:rPr>
          <w:sz w:val="28"/>
          <w:szCs w:val="28"/>
          <w:lang w:val="en-US"/>
        </w:rPr>
      </w:pPr>
      <w:r w:rsidRPr="001B5D7B">
        <w:rPr>
          <w:sz w:val="28"/>
          <w:szCs w:val="28"/>
          <w:lang w:val="en-US"/>
        </w:rPr>
        <w:t>These mid-tier cities may offer strong growth potential for further investment or expansion strategies.</w:t>
      </w:r>
    </w:p>
    <w:p w14:paraId="3036C7B6" w14:textId="77777777" w:rsidR="001B5D7B" w:rsidRPr="001B5D7B" w:rsidRDefault="001B5D7B" w:rsidP="001B5D7B">
      <w:pPr>
        <w:numPr>
          <w:ilvl w:val="0"/>
          <w:numId w:val="3"/>
        </w:numPr>
        <w:rPr>
          <w:b/>
          <w:bCs/>
          <w:sz w:val="28"/>
          <w:szCs w:val="28"/>
          <w:lang w:val="en-US"/>
        </w:rPr>
      </w:pPr>
      <w:r w:rsidRPr="001B5D7B">
        <w:rPr>
          <w:b/>
          <w:bCs/>
          <w:sz w:val="28"/>
          <w:szCs w:val="28"/>
          <w:lang w:val="en-US"/>
        </w:rPr>
        <w:t>Low-Tier Markets:</w:t>
      </w:r>
    </w:p>
    <w:p w14:paraId="40985A06" w14:textId="77777777" w:rsidR="001B5D7B" w:rsidRPr="001B5D7B" w:rsidRDefault="001B5D7B" w:rsidP="001B5D7B">
      <w:pPr>
        <w:numPr>
          <w:ilvl w:val="1"/>
          <w:numId w:val="3"/>
        </w:numPr>
        <w:rPr>
          <w:sz w:val="28"/>
          <w:szCs w:val="28"/>
          <w:lang w:val="en-US"/>
        </w:rPr>
      </w:pPr>
      <w:r w:rsidRPr="001B5D7B">
        <w:rPr>
          <w:sz w:val="28"/>
          <w:szCs w:val="28"/>
          <w:lang w:val="en-US"/>
        </w:rPr>
        <w:t>On the lower end of the spectrum, we have cities like La Quinta (46 units), Westminster (32 units), and Oakland (72 units). While their sales numbers are significantly smaller, they could represent untapped or underdeveloped markets with room for growth.</w:t>
      </w:r>
    </w:p>
    <w:p w14:paraId="2FC267E8" w14:textId="77777777" w:rsidR="001B5D7B" w:rsidRPr="001B5D7B" w:rsidRDefault="001B5D7B" w:rsidP="001B5D7B">
      <w:pPr>
        <w:numPr>
          <w:ilvl w:val="1"/>
          <w:numId w:val="3"/>
        </w:numPr>
        <w:rPr>
          <w:sz w:val="28"/>
          <w:szCs w:val="28"/>
          <w:lang w:val="en-US"/>
        </w:rPr>
      </w:pPr>
      <w:r w:rsidRPr="001B5D7B">
        <w:rPr>
          <w:sz w:val="28"/>
          <w:szCs w:val="28"/>
          <w:lang w:val="en-US"/>
        </w:rPr>
        <w:t>Coachella (100 units) and Hesperia (100 units) also fall into this lower category, possibly indicating the need for more tailored marketing efforts or product offerings in these regions.</w:t>
      </w:r>
    </w:p>
    <w:p w14:paraId="5018ECF2" w14:textId="77777777" w:rsidR="001B5D7B" w:rsidRPr="001B5D7B" w:rsidRDefault="001B5D7B" w:rsidP="001B5D7B">
      <w:pPr>
        <w:numPr>
          <w:ilvl w:val="0"/>
          <w:numId w:val="3"/>
        </w:numPr>
        <w:rPr>
          <w:b/>
          <w:bCs/>
          <w:sz w:val="28"/>
          <w:szCs w:val="28"/>
          <w:lang w:val="en-US"/>
        </w:rPr>
      </w:pPr>
      <w:r w:rsidRPr="001B5D7B">
        <w:rPr>
          <w:b/>
          <w:bCs/>
          <w:sz w:val="28"/>
          <w:szCs w:val="28"/>
          <w:lang w:val="en-US"/>
        </w:rPr>
        <w:t>Comparative Analysis:</w:t>
      </w:r>
    </w:p>
    <w:p w14:paraId="6746EC8F" w14:textId="77777777" w:rsidR="001B5D7B" w:rsidRPr="001B5D7B" w:rsidRDefault="001B5D7B" w:rsidP="001B5D7B">
      <w:pPr>
        <w:numPr>
          <w:ilvl w:val="1"/>
          <w:numId w:val="3"/>
        </w:numPr>
        <w:rPr>
          <w:sz w:val="28"/>
          <w:szCs w:val="28"/>
          <w:lang w:val="en-US"/>
        </w:rPr>
      </w:pPr>
      <w:r w:rsidRPr="001B5D7B">
        <w:rPr>
          <w:sz w:val="28"/>
          <w:szCs w:val="28"/>
          <w:lang w:val="en-US"/>
        </w:rPr>
        <w:t>The contrast between cities like Los Angeles and smaller ones like Westminster or La Quinta is stark, suggesting that larger, metropolitan areas naturally dominate, but there may still be potential in smaller, niche markets.</w:t>
      </w:r>
    </w:p>
    <w:p w14:paraId="26EE1254" w14:textId="77777777" w:rsidR="001B5D7B" w:rsidRPr="001B5D7B" w:rsidRDefault="001B5D7B" w:rsidP="001B5D7B">
      <w:pPr>
        <w:numPr>
          <w:ilvl w:val="1"/>
          <w:numId w:val="3"/>
        </w:numPr>
        <w:rPr>
          <w:b/>
          <w:bCs/>
          <w:sz w:val="28"/>
          <w:szCs w:val="28"/>
          <w:lang w:val="en-US"/>
        </w:rPr>
      </w:pPr>
      <w:r w:rsidRPr="001B5D7B">
        <w:rPr>
          <w:sz w:val="28"/>
          <w:szCs w:val="28"/>
          <w:lang w:val="en-US"/>
        </w:rPr>
        <w:t>A comparison of mid-tier cities like Pasadena (860 units) and Whittier (445 units) shows consistent demand in these areas, which can be seen as reliable markets for sustaining sales</w:t>
      </w:r>
      <w:r w:rsidRPr="001B5D7B">
        <w:rPr>
          <w:b/>
          <w:bCs/>
          <w:sz w:val="28"/>
          <w:szCs w:val="28"/>
          <w:lang w:val="en-US"/>
        </w:rPr>
        <w:t>.</w:t>
      </w:r>
    </w:p>
    <w:p w14:paraId="1641D4F8" w14:textId="77777777" w:rsidR="001B5D7B" w:rsidRPr="001B5D7B" w:rsidRDefault="001B5D7B" w:rsidP="001B5D7B">
      <w:pPr>
        <w:rPr>
          <w:b/>
          <w:bCs/>
          <w:sz w:val="28"/>
          <w:szCs w:val="28"/>
          <w:lang w:val="en-US"/>
        </w:rPr>
      </w:pPr>
      <w:r w:rsidRPr="001B5D7B">
        <w:rPr>
          <w:b/>
          <w:bCs/>
          <w:sz w:val="28"/>
          <w:szCs w:val="28"/>
          <w:lang w:val="en-US"/>
        </w:rPr>
        <w:t>Conclusion:</w:t>
      </w:r>
    </w:p>
    <w:p w14:paraId="7693E743" w14:textId="77777777" w:rsidR="001B5D7B" w:rsidRPr="001B5D7B" w:rsidRDefault="001B5D7B" w:rsidP="001B5D7B">
      <w:pPr>
        <w:rPr>
          <w:sz w:val="28"/>
          <w:szCs w:val="28"/>
          <w:lang w:val="en-US"/>
        </w:rPr>
      </w:pPr>
      <w:r w:rsidRPr="001B5D7B">
        <w:rPr>
          <w:sz w:val="28"/>
          <w:szCs w:val="28"/>
          <w:lang w:val="en-US"/>
        </w:rPr>
        <w:t>"The clustered bar chart shows clear distinctions between high-performing metropolitan areas and smaller markets. While Los Angeles, San Francisco, and San Diego dominate in sales, mid-tier cities like Redondo Beach and Santa Ana are also noteworthy. Smaller cities like Westminster and La Quinta may represent potential growth opportunities if approached with targeted strategies."</w:t>
      </w:r>
    </w:p>
    <w:p w14:paraId="60DE39F5" w14:textId="77777777" w:rsidR="001B5D7B" w:rsidRPr="001B5D7B" w:rsidRDefault="001B5D7B" w:rsidP="001B5D7B">
      <w:pPr>
        <w:rPr>
          <w:b/>
          <w:bCs/>
          <w:sz w:val="28"/>
          <w:szCs w:val="28"/>
          <w:lang w:val="en-US"/>
        </w:rPr>
      </w:pPr>
      <w:r>
        <w:rPr>
          <w:b/>
          <w:bCs/>
          <w:sz w:val="28"/>
          <w:szCs w:val="28"/>
        </w:rPr>
        <w:lastRenderedPageBreak/>
        <w:t>--</w:t>
      </w:r>
      <w:r w:rsidRPr="001B5D7B">
        <w:rPr>
          <w:b/>
          <w:bCs/>
          <w:sz w:val="28"/>
          <w:szCs w:val="28"/>
          <w:lang w:val="en-US"/>
        </w:rPr>
        <w:t>Title:</w:t>
      </w:r>
    </w:p>
    <w:p w14:paraId="4862483E" w14:textId="77777777" w:rsidR="001B5D7B" w:rsidRPr="001B5D7B" w:rsidRDefault="001B5D7B" w:rsidP="001B5D7B">
      <w:pPr>
        <w:rPr>
          <w:b/>
          <w:bCs/>
          <w:sz w:val="28"/>
          <w:szCs w:val="28"/>
          <w:lang w:val="en-US"/>
        </w:rPr>
      </w:pPr>
      <w:r w:rsidRPr="001B5D7B">
        <w:rPr>
          <w:b/>
          <w:bCs/>
          <w:sz w:val="28"/>
          <w:szCs w:val="28"/>
          <w:highlight w:val="yellow"/>
          <w:lang w:val="en-US"/>
        </w:rPr>
        <w:t>"City Distribution: Spotlight on Major and Limited Presence Areas"</w:t>
      </w:r>
    </w:p>
    <w:p w14:paraId="7D7A3D00" w14:textId="77777777" w:rsidR="001B5D7B" w:rsidRPr="001B5D7B" w:rsidRDefault="001B5D7B" w:rsidP="001B5D7B">
      <w:pPr>
        <w:rPr>
          <w:sz w:val="28"/>
          <w:szCs w:val="28"/>
          <w:lang w:val="en-US"/>
        </w:rPr>
      </w:pPr>
      <w:r w:rsidRPr="001B5D7B">
        <w:rPr>
          <w:sz w:val="28"/>
          <w:szCs w:val="28"/>
          <w:lang w:val="en-US"/>
        </w:rPr>
        <w:t>Introduction:</w:t>
      </w:r>
    </w:p>
    <w:p w14:paraId="558317F8" w14:textId="77777777" w:rsidR="001B5D7B" w:rsidRPr="001B5D7B" w:rsidRDefault="001B5D7B" w:rsidP="001B5D7B">
      <w:pPr>
        <w:rPr>
          <w:sz w:val="28"/>
          <w:szCs w:val="28"/>
          <w:lang w:val="en-US"/>
        </w:rPr>
      </w:pPr>
      <w:r w:rsidRPr="001B5D7B">
        <w:rPr>
          <w:sz w:val="28"/>
          <w:szCs w:val="28"/>
          <w:lang w:val="en-US"/>
        </w:rPr>
        <w:t>"This chart presents the distribution of locations across various cities, revealing significant disparities between major hubs and smaller areas. Understanding the concentration of locations can provide insight into regional market penetration and growth potential."</w:t>
      </w:r>
    </w:p>
    <w:p w14:paraId="213B5F62" w14:textId="77777777" w:rsidR="001B5D7B" w:rsidRPr="001B5D7B" w:rsidRDefault="001B5D7B" w:rsidP="001B5D7B">
      <w:pPr>
        <w:rPr>
          <w:b/>
          <w:bCs/>
          <w:sz w:val="28"/>
          <w:szCs w:val="28"/>
          <w:lang w:val="en-US"/>
        </w:rPr>
      </w:pPr>
      <w:r w:rsidRPr="001B5D7B">
        <w:rPr>
          <w:b/>
          <w:bCs/>
          <w:sz w:val="28"/>
          <w:szCs w:val="28"/>
          <w:lang w:val="en-US"/>
        </w:rPr>
        <w:t>Key Points:</w:t>
      </w:r>
    </w:p>
    <w:p w14:paraId="7DC707B7" w14:textId="77777777" w:rsidR="001B5D7B" w:rsidRPr="001B5D7B" w:rsidRDefault="001B5D7B" w:rsidP="001B5D7B">
      <w:pPr>
        <w:numPr>
          <w:ilvl w:val="0"/>
          <w:numId w:val="4"/>
        </w:numPr>
        <w:rPr>
          <w:b/>
          <w:bCs/>
          <w:sz w:val="28"/>
          <w:szCs w:val="28"/>
          <w:lang w:val="en-US"/>
        </w:rPr>
      </w:pPr>
      <w:r w:rsidRPr="001B5D7B">
        <w:rPr>
          <w:b/>
          <w:bCs/>
          <w:sz w:val="28"/>
          <w:szCs w:val="28"/>
          <w:lang w:val="en-US"/>
        </w:rPr>
        <w:t>Significant Presence in Major Cities:</w:t>
      </w:r>
    </w:p>
    <w:p w14:paraId="578004DE" w14:textId="77777777" w:rsidR="001B5D7B" w:rsidRPr="001B5D7B" w:rsidRDefault="001B5D7B" w:rsidP="001B5D7B">
      <w:pPr>
        <w:numPr>
          <w:ilvl w:val="1"/>
          <w:numId w:val="4"/>
        </w:numPr>
        <w:rPr>
          <w:sz w:val="28"/>
          <w:szCs w:val="28"/>
          <w:lang w:val="en-US"/>
        </w:rPr>
      </w:pPr>
      <w:r w:rsidRPr="001B5D7B">
        <w:rPr>
          <w:sz w:val="28"/>
          <w:szCs w:val="28"/>
          <w:lang w:val="en-US"/>
        </w:rPr>
        <w:t xml:space="preserve">Los Angeles stands out with a commanding 43 locations, far exceeding any other city. This city serves as the primary hub, indicating that </w:t>
      </w:r>
      <w:proofErr w:type="gramStart"/>
      <w:r w:rsidRPr="001B5D7B">
        <w:rPr>
          <w:sz w:val="28"/>
          <w:szCs w:val="28"/>
          <w:lang w:val="en-US"/>
        </w:rPr>
        <w:t>it's</w:t>
      </w:r>
      <w:proofErr w:type="gramEnd"/>
      <w:r w:rsidRPr="001B5D7B">
        <w:rPr>
          <w:sz w:val="28"/>
          <w:szCs w:val="28"/>
          <w:lang w:val="en-US"/>
        </w:rPr>
        <w:t xml:space="preserve"> a central focus for business operations.</w:t>
      </w:r>
    </w:p>
    <w:p w14:paraId="6547AF8F" w14:textId="77777777" w:rsidR="001B5D7B" w:rsidRPr="001B5D7B" w:rsidRDefault="001B5D7B" w:rsidP="001B5D7B">
      <w:pPr>
        <w:numPr>
          <w:ilvl w:val="1"/>
          <w:numId w:val="4"/>
        </w:numPr>
        <w:rPr>
          <w:sz w:val="28"/>
          <w:szCs w:val="28"/>
          <w:lang w:val="en-US"/>
        </w:rPr>
      </w:pPr>
      <w:r w:rsidRPr="001B5D7B">
        <w:rPr>
          <w:sz w:val="28"/>
          <w:szCs w:val="28"/>
          <w:lang w:val="en-US"/>
        </w:rPr>
        <w:t>San Francisco, with 28 locations, follows as another major center of activity. Together with Los Angeles, these two cities dominate the chart, reflecting their importance in overall strategy and market reach.</w:t>
      </w:r>
    </w:p>
    <w:p w14:paraId="0A26E4E8" w14:textId="77777777" w:rsidR="001B5D7B" w:rsidRPr="001B5D7B" w:rsidRDefault="001B5D7B" w:rsidP="001B5D7B">
      <w:pPr>
        <w:numPr>
          <w:ilvl w:val="1"/>
          <w:numId w:val="4"/>
        </w:numPr>
        <w:rPr>
          <w:sz w:val="28"/>
          <w:szCs w:val="28"/>
          <w:lang w:val="en-US"/>
        </w:rPr>
      </w:pPr>
      <w:r w:rsidRPr="001B5D7B">
        <w:rPr>
          <w:sz w:val="28"/>
          <w:szCs w:val="28"/>
          <w:lang w:val="en-US"/>
        </w:rPr>
        <w:t>San Diego, with 7 locations, marks itself as a notable player in Southern California, though at a smaller scale than Los Angeles and San Francisco.</w:t>
      </w:r>
    </w:p>
    <w:p w14:paraId="11285799" w14:textId="77777777" w:rsidR="001B5D7B" w:rsidRPr="001B5D7B" w:rsidRDefault="001B5D7B" w:rsidP="001B5D7B">
      <w:pPr>
        <w:numPr>
          <w:ilvl w:val="0"/>
          <w:numId w:val="4"/>
        </w:numPr>
        <w:rPr>
          <w:b/>
          <w:bCs/>
          <w:sz w:val="28"/>
          <w:szCs w:val="28"/>
          <w:lang w:val="en-US"/>
        </w:rPr>
      </w:pPr>
      <w:r w:rsidRPr="001B5D7B">
        <w:rPr>
          <w:b/>
          <w:bCs/>
          <w:sz w:val="28"/>
          <w:szCs w:val="28"/>
          <w:lang w:val="en-US"/>
        </w:rPr>
        <w:t>Mid-Tier Representation:</w:t>
      </w:r>
    </w:p>
    <w:p w14:paraId="53B54EB7" w14:textId="77777777" w:rsidR="001B5D7B" w:rsidRPr="001B5D7B" w:rsidRDefault="001B5D7B" w:rsidP="001B5D7B">
      <w:pPr>
        <w:numPr>
          <w:ilvl w:val="1"/>
          <w:numId w:val="4"/>
        </w:numPr>
        <w:rPr>
          <w:sz w:val="28"/>
          <w:szCs w:val="28"/>
          <w:lang w:val="en-US"/>
        </w:rPr>
      </w:pPr>
      <w:r w:rsidRPr="001B5D7B">
        <w:rPr>
          <w:sz w:val="28"/>
          <w:szCs w:val="28"/>
          <w:lang w:val="en-US"/>
        </w:rPr>
        <w:t xml:space="preserve">Cities like Brentwood (3 locations), Pasadena (2 locations), Fresno (2 locations), and Redondo Beach (2 locations) represent a mid-tier group. While they </w:t>
      </w:r>
      <w:proofErr w:type="gramStart"/>
      <w:r w:rsidRPr="001B5D7B">
        <w:rPr>
          <w:sz w:val="28"/>
          <w:szCs w:val="28"/>
          <w:lang w:val="en-US"/>
        </w:rPr>
        <w:t>don't</w:t>
      </w:r>
      <w:proofErr w:type="gramEnd"/>
      <w:r w:rsidRPr="001B5D7B">
        <w:rPr>
          <w:sz w:val="28"/>
          <w:szCs w:val="28"/>
          <w:lang w:val="en-US"/>
        </w:rPr>
        <w:t xml:space="preserve"> have the extensive presence of the larger cities, they show consistent representation in key regional areas.</w:t>
      </w:r>
    </w:p>
    <w:p w14:paraId="6D999CEB" w14:textId="77777777" w:rsidR="001B5D7B" w:rsidRPr="001B5D7B" w:rsidRDefault="001B5D7B" w:rsidP="001B5D7B">
      <w:pPr>
        <w:numPr>
          <w:ilvl w:val="1"/>
          <w:numId w:val="4"/>
        </w:numPr>
        <w:rPr>
          <w:sz w:val="28"/>
          <w:szCs w:val="28"/>
          <w:lang w:val="en-US"/>
        </w:rPr>
      </w:pPr>
      <w:r w:rsidRPr="001B5D7B">
        <w:rPr>
          <w:sz w:val="28"/>
          <w:szCs w:val="28"/>
          <w:lang w:val="en-US"/>
        </w:rPr>
        <w:t>These mid-range locations could be key markets where growth is steady but not yet saturated, offering opportunities for further expansion.</w:t>
      </w:r>
    </w:p>
    <w:p w14:paraId="3925C66D" w14:textId="77777777" w:rsidR="001B5D7B" w:rsidRPr="001B5D7B" w:rsidRDefault="001B5D7B" w:rsidP="001B5D7B">
      <w:pPr>
        <w:numPr>
          <w:ilvl w:val="0"/>
          <w:numId w:val="4"/>
        </w:numPr>
        <w:rPr>
          <w:b/>
          <w:bCs/>
          <w:sz w:val="28"/>
          <w:szCs w:val="28"/>
          <w:lang w:val="en-US"/>
        </w:rPr>
      </w:pPr>
      <w:r w:rsidRPr="001B5D7B">
        <w:rPr>
          <w:b/>
          <w:bCs/>
          <w:sz w:val="28"/>
          <w:szCs w:val="28"/>
          <w:lang w:val="en-US"/>
        </w:rPr>
        <w:t>Smaller Cities with Limited Presence:</w:t>
      </w:r>
    </w:p>
    <w:p w14:paraId="793A2287" w14:textId="77777777" w:rsidR="001B5D7B" w:rsidRPr="001B5D7B" w:rsidRDefault="001B5D7B" w:rsidP="001B5D7B">
      <w:pPr>
        <w:numPr>
          <w:ilvl w:val="1"/>
          <w:numId w:val="4"/>
        </w:numPr>
        <w:rPr>
          <w:sz w:val="28"/>
          <w:szCs w:val="28"/>
          <w:lang w:val="en-US"/>
        </w:rPr>
      </w:pPr>
      <w:r w:rsidRPr="001B5D7B">
        <w:rPr>
          <w:sz w:val="28"/>
          <w:szCs w:val="28"/>
          <w:lang w:val="en-US"/>
        </w:rPr>
        <w:lastRenderedPageBreak/>
        <w:t>Many cities, including Anaheim, Coachella, Costa Mesa, Encinitas, Hesperia, La Quinta, Oakland, Pomona, Redlands, Santa Ana, Westminster, and Whittier, all have just 1 location each.</w:t>
      </w:r>
    </w:p>
    <w:p w14:paraId="464B9A91" w14:textId="77777777" w:rsidR="001B5D7B" w:rsidRPr="001B5D7B" w:rsidRDefault="001B5D7B" w:rsidP="001B5D7B">
      <w:pPr>
        <w:numPr>
          <w:ilvl w:val="1"/>
          <w:numId w:val="4"/>
        </w:numPr>
        <w:rPr>
          <w:sz w:val="28"/>
          <w:szCs w:val="28"/>
          <w:lang w:val="en-US"/>
        </w:rPr>
      </w:pPr>
      <w:r w:rsidRPr="001B5D7B">
        <w:rPr>
          <w:sz w:val="28"/>
          <w:szCs w:val="28"/>
          <w:lang w:val="en-US"/>
        </w:rPr>
        <w:t>The minimal presence in these cities might indicate emerging or experimental markets. They represent potential areas for future growth, especially if current business performance in these locations shows promise.</w:t>
      </w:r>
    </w:p>
    <w:p w14:paraId="5D757A86" w14:textId="77777777" w:rsidR="001B5D7B" w:rsidRPr="001B5D7B" w:rsidRDefault="001B5D7B" w:rsidP="001B5D7B">
      <w:pPr>
        <w:numPr>
          <w:ilvl w:val="1"/>
          <w:numId w:val="4"/>
        </w:numPr>
        <w:rPr>
          <w:sz w:val="28"/>
          <w:szCs w:val="28"/>
          <w:lang w:val="en-US"/>
        </w:rPr>
      </w:pPr>
      <w:r w:rsidRPr="001B5D7B">
        <w:rPr>
          <w:sz w:val="28"/>
          <w:szCs w:val="28"/>
          <w:lang w:val="en-US"/>
        </w:rPr>
        <w:t>However, the small presence could also suggest limited demand or market saturation in these areas, signaling the need for careful analysis before expansion.</w:t>
      </w:r>
    </w:p>
    <w:p w14:paraId="7EEA5C50" w14:textId="77777777" w:rsidR="001B5D7B" w:rsidRPr="001B5D7B" w:rsidRDefault="001B5D7B" w:rsidP="001B5D7B">
      <w:pPr>
        <w:numPr>
          <w:ilvl w:val="0"/>
          <w:numId w:val="4"/>
        </w:numPr>
        <w:rPr>
          <w:b/>
          <w:bCs/>
          <w:sz w:val="28"/>
          <w:szCs w:val="28"/>
          <w:lang w:val="en-US"/>
        </w:rPr>
      </w:pPr>
      <w:r w:rsidRPr="001B5D7B">
        <w:rPr>
          <w:b/>
          <w:bCs/>
          <w:sz w:val="28"/>
          <w:szCs w:val="28"/>
          <w:lang w:val="en-US"/>
        </w:rPr>
        <w:t>Contrast in Market Penetration:</w:t>
      </w:r>
    </w:p>
    <w:p w14:paraId="7FE47001" w14:textId="77777777" w:rsidR="001B5D7B" w:rsidRPr="001B5D7B" w:rsidRDefault="001B5D7B" w:rsidP="001B5D7B">
      <w:pPr>
        <w:numPr>
          <w:ilvl w:val="1"/>
          <w:numId w:val="4"/>
        </w:numPr>
        <w:rPr>
          <w:sz w:val="28"/>
          <w:szCs w:val="28"/>
          <w:lang w:val="en-US"/>
        </w:rPr>
      </w:pPr>
      <w:r w:rsidRPr="001B5D7B">
        <w:rPr>
          <w:sz w:val="28"/>
          <w:szCs w:val="28"/>
          <w:lang w:val="en-US"/>
        </w:rPr>
        <w:t>The sharp contrast between Los Angeles (43 locations) and other cities like Oakland and La Quinta (1 location each) illustrates a clear focus on certain metropolitan areas over others.</w:t>
      </w:r>
    </w:p>
    <w:p w14:paraId="79A9DBCF" w14:textId="77777777" w:rsidR="001B5D7B" w:rsidRPr="001B5D7B" w:rsidRDefault="001B5D7B" w:rsidP="001B5D7B">
      <w:pPr>
        <w:numPr>
          <w:ilvl w:val="1"/>
          <w:numId w:val="4"/>
        </w:numPr>
        <w:rPr>
          <w:b/>
          <w:bCs/>
          <w:sz w:val="28"/>
          <w:szCs w:val="28"/>
          <w:lang w:val="en-US"/>
        </w:rPr>
      </w:pPr>
      <w:r w:rsidRPr="001B5D7B">
        <w:rPr>
          <w:sz w:val="28"/>
          <w:szCs w:val="28"/>
          <w:lang w:val="en-US"/>
        </w:rPr>
        <w:t xml:space="preserve">This suggests a strategy where </w:t>
      </w:r>
      <w:proofErr w:type="gramStart"/>
      <w:r w:rsidRPr="001B5D7B">
        <w:rPr>
          <w:sz w:val="28"/>
          <w:szCs w:val="28"/>
          <w:lang w:val="en-US"/>
        </w:rPr>
        <w:t>the majority of</w:t>
      </w:r>
      <w:proofErr w:type="gramEnd"/>
      <w:r w:rsidRPr="001B5D7B">
        <w:rPr>
          <w:sz w:val="28"/>
          <w:szCs w:val="28"/>
          <w:lang w:val="en-US"/>
        </w:rPr>
        <w:t xml:space="preserve"> resources are concentrated in high-demand areas, while smaller locations serve niche or specialized markets</w:t>
      </w:r>
      <w:r w:rsidRPr="001B5D7B">
        <w:rPr>
          <w:b/>
          <w:bCs/>
          <w:sz w:val="28"/>
          <w:szCs w:val="28"/>
          <w:lang w:val="en-US"/>
        </w:rPr>
        <w:t>.</w:t>
      </w:r>
    </w:p>
    <w:p w14:paraId="04628160" w14:textId="77777777" w:rsidR="001B5D7B" w:rsidRPr="001B5D7B" w:rsidRDefault="001B5D7B" w:rsidP="001B5D7B">
      <w:pPr>
        <w:rPr>
          <w:b/>
          <w:bCs/>
          <w:sz w:val="28"/>
          <w:szCs w:val="28"/>
          <w:lang w:val="en-US"/>
        </w:rPr>
      </w:pPr>
      <w:r w:rsidRPr="001B5D7B">
        <w:rPr>
          <w:b/>
          <w:bCs/>
          <w:sz w:val="28"/>
          <w:szCs w:val="28"/>
          <w:lang w:val="en-US"/>
        </w:rPr>
        <w:t>Conclusion:</w:t>
      </w:r>
    </w:p>
    <w:p w14:paraId="5209E603" w14:textId="77777777" w:rsidR="001B5D7B" w:rsidRPr="001B5D7B" w:rsidRDefault="001B5D7B" w:rsidP="001B5D7B">
      <w:pPr>
        <w:rPr>
          <w:sz w:val="28"/>
          <w:szCs w:val="28"/>
          <w:lang w:val="en-US"/>
        </w:rPr>
      </w:pPr>
      <w:r w:rsidRPr="001B5D7B">
        <w:rPr>
          <w:sz w:val="28"/>
          <w:szCs w:val="28"/>
          <w:lang w:val="en-US"/>
        </w:rPr>
        <w:t>"The distribution of locations across cities shows a heavy concentration in major metropolitan areas like Los Angeles and San Francisco, which account for the vast majority of locations. In contrast, many smaller cities have just one location, highlighting potential growth opportunities but also emphasizing the company’s current focus on urban centers."</w:t>
      </w:r>
    </w:p>
    <w:p w14:paraId="60C9EC63" w14:textId="77777777" w:rsidR="001B5D7B" w:rsidRPr="001B5D7B" w:rsidRDefault="001B5D7B" w:rsidP="001B5D7B">
      <w:pPr>
        <w:rPr>
          <w:b/>
          <w:bCs/>
          <w:sz w:val="28"/>
          <w:szCs w:val="28"/>
          <w:lang w:val="en-US"/>
        </w:rPr>
      </w:pPr>
      <w:r w:rsidRPr="001B5D7B">
        <w:rPr>
          <w:b/>
          <w:bCs/>
          <w:sz w:val="28"/>
          <w:szCs w:val="28"/>
          <w:lang w:val="en-US"/>
        </w:rPr>
        <w:t>Visual Emphasis:</w:t>
      </w:r>
    </w:p>
    <w:p w14:paraId="3D7E7000" w14:textId="77777777" w:rsidR="001B5D7B" w:rsidRPr="001B5D7B" w:rsidRDefault="001B5D7B" w:rsidP="001B5D7B">
      <w:pPr>
        <w:numPr>
          <w:ilvl w:val="0"/>
          <w:numId w:val="5"/>
        </w:numPr>
        <w:rPr>
          <w:sz w:val="28"/>
          <w:szCs w:val="28"/>
          <w:lang w:val="en-US"/>
        </w:rPr>
      </w:pPr>
      <w:r w:rsidRPr="001B5D7B">
        <w:rPr>
          <w:sz w:val="28"/>
          <w:szCs w:val="28"/>
          <w:lang w:val="en-US"/>
        </w:rPr>
        <w:t>Color Coding: Use different colors or intensity levels to group cities based on the number of locations (e.g., dark colors for cities with many locations like Los Angeles, lighter colors for cities with fewer locations).</w:t>
      </w:r>
    </w:p>
    <w:p w14:paraId="369B8844" w14:textId="77777777" w:rsidR="001B5D7B" w:rsidRPr="001B5D7B" w:rsidRDefault="001B5D7B" w:rsidP="001B5D7B">
      <w:pPr>
        <w:numPr>
          <w:ilvl w:val="0"/>
          <w:numId w:val="5"/>
        </w:numPr>
        <w:rPr>
          <w:sz w:val="28"/>
          <w:szCs w:val="28"/>
          <w:lang w:val="en-US"/>
        </w:rPr>
      </w:pPr>
      <w:r w:rsidRPr="001B5D7B">
        <w:rPr>
          <w:sz w:val="28"/>
          <w:szCs w:val="28"/>
          <w:lang w:val="en-US"/>
        </w:rPr>
        <w:t>Annotations: Highlight the number of locations for the top cities (Los Angeles, San Francisco, and San Diego) for quick reference and comparison.</w:t>
      </w:r>
    </w:p>
    <w:p w14:paraId="07C7717F" w14:textId="77777777" w:rsidR="001B5D7B" w:rsidRPr="001B5D7B" w:rsidRDefault="001B5D7B" w:rsidP="001B5D7B">
      <w:pPr>
        <w:numPr>
          <w:ilvl w:val="0"/>
          <w:numId w:val="5"/>
        </w:numPr>
        <w:rPr>
          <w:sz w:val="28"/>
          <w:szCs w:val="28"/>
          <w:lang w:val="en-US"/>
        </w:rPr>
      </w:pPr>
      <w:r w:rsidRPr="001B5D7B">
        <w:rPr>
          <w:b/>
          <w:bCs/>
          <w:sz w:val="28"/>
          <w:szCs w:val="28"/>
          <w:lang w:val="en-US"/>
        </w:rPr>
        <w:lastRenderedPageBreak/>
        <w:t xml:space="preserve">Bar Labels: </w:t>
      </w:r>
      <w:r w:rsidRPr="001B5D7B">
        <w:rPr>
          <w:sz w:val="28"/>
          <w:szCs w:val="28"/>
          <w:lang w:val="en-US"/>
        </w:rPr>
        <w:t xml:space="preserve">Add exact values to each bar to make it easier for viewers to grasp the distribution </w:t>
      </w:r>
      <w:proofErr w:type="gramStart"/>
      <w:r w:rsidRPr="001B5D7B">
        <w:rPr>
          <w:sz w:val="28"/>
          <w:szCs w:val="28"/>
          <w:lang w:val="en-US"/>
        </w:rPr>
        <w:t>at a glance</w:t>
      </w:r>
      <w:proofErr w:type="gramEnd"/>
      <w:r w:rsidRPr="001B5D7B">
        <w:rPr>
          <w:sz w:val="28"/>
          <w:szCs w:val="28"/>
          <w:lang w:val="en-US"/>
        </w:rPr>
        <w:t>.</w:t>
      </w:r>
    </w:p>
    <w:p w14:paraId="0959D1FB" w14:textId="77777777" w:rsidR="001B5D7B" w:rsidRPr="001B5D7B" w:rsidRDefault="001B5D7B" w:rsidP="001B5D7B">
      <w:pPr>
        <w:rPr>
          <w:sz w:val="28"/>
          <w:szCs w:val="28"/>
          <w:lang w:val="en-US"/>
        </w:rPr>
      </w:pPr>
      <w:r w:rsidRPr="001B5D7B">
        <w:rPr>
          <w:sz w:val="28"/>
          <w:szCs w:val="28"/>
          <w:lang w:val="en-US"/>
        </w:rPr>
        <w:t>This narrative structure helps transform the raw data into a story of market penetration, highlighting areas of strength while also pointing to potential opportunities for expansion.</w:t>
      </w:r>
    </w:p>
    <w:p w14:paraId="6701F7BF" w14:textId="77777777" w:rsidR="001B5D7B" w:rsidRPr="001B5D7B" w:rsidRDefault="001B5D7B" w:rsidP="001B5D7B">
      <w:pPr>
        <w:rPr>
          <w:b/>
          <w:bCs/>
          <w:sz w:val="28"/>
          <w:szCs w:val="28"/>
          <w:lang w:val="en-US"/>
        </w:rPr>
      </w:pPr>
      <w:r>
        <w:rPr>
          <w:b/>
          <w:bCs/>
          <w:sz w:val="28"/>
          <w:szCs w:val="28"/>
        </w:rPr>
        <w:t>--</w:t>
      </w:r>
      <w:r w:rsidRPr="001B5D7B">
        <w:rPr>
          <w:b/>
          <w:bCs/>
          <w:sz w:val="28"/>
          <w:szCs w:val="28"/>
          <w:lang w:val="en-US"/>
        </w:rPr>
        <w:t>Title:</w:t>
      </w:r>
    </w:p>
    <w:p w14:paraId="518A5B7D" w14:textId="77777777" w:rsidR="001B5D7B" w:rsidRPr="001B5D7B" w:rsidRDefault="001B5D7B" w:rsidP="001B5D7B">
      <w:pPr>
        <w:rPr>
          <w:b/>
          <w:bCs/>
          <w:sz w:val="28"/>
          <w:szCs w:val="28"/>
          <w:lang w:val="en-US"/>
        </w:rPr>
      </w:pPr>
      <w:r w:rsidRPr="001B5D7B">
        <w:rPr>
          <w:b/>
          <w:bCs/>
          <w:sz w:val="28"/>
          <w:szCs w:val="28"/>
          <w:highlight w:val="yellow"/>
          <w:lang w:val="en-US"/>
        </w:rPr>
        <w:t>"Product Category Distribution: Dominance of Phones and Accessories"</w:t>
      </w:r>
    </w:p>
    <w:p w14:paraId="43E4A2FA" w14:textId="77777777" w:rsidR="001B5D7B" w:rsidRPr="001B5D7B" w:rsidRDefault="001B5D7B" w:rsidP="001B5D7B">
      <w:pPr>
        <w:rPr>
          <w:b/>
          <w:bCs/>
          <w:sz w:val="28"/>
          <w:szCs w:val="28"/>
          <w:lang w:val="en-US"/>
        </w:rPr>
      </w:pPr>
      <w:r w:rsidRPr="001B5D7B">
        <w:rPr>
          <w:b/>
          <w:bCs/>
          <w:sz w:val="28"/>
          <w:szCs w:val="28"/>
          <w:lang w:val="en-US"/>
        </w:rPr>
        <w:t>Introduction:</w:t>
      </w:r>
    </w:p>
    <w:p w14:paraId="354D1F1F" w14:textId="77777777" w:rsidR="001B5D7B" w:rsidRPr="001B5D7B" w:rsidRDefault="001B5D7B" w:rsidP="001B5D7B">
      <w:pPr>
        <w:rPr>
          <w:sz w:val="28"/>
          <w:szCs w:val="28"/>
          <w:lang w:val="en-US"/>
        </w:rPr>
      </w:pPr>
      <w:r w:rsidRPr="001B5D7B">
        <w:rPr>
          <w:sz w:val="28"/>
          <w:szCs w:val="28"/>
          <w:lang w:val="en-US"/>
        </w:rPr>
        <w:t>"This histogram illustrates the distribution of sales (or units) across different product categories: Accessories, Copiers, Machines, and Phones. By analyzing the spread of data, we gain insight into which product categories are driving the most sales and where there might be opportunities to increase market focus."</w:t>
      </w:r>
    </w:p>
    <w:p w14:paraId="6AAFBAFB" w14:textId="77777777" w:rsidR="001B5D7B" w:rsidRPr="001B5D7B" w:rsidRDefault="001B5D7B" w:rsidP="001B5D7B">
      <w:pPr>
        <w:rPr>
          <w:b/>
          <w:bCs/>
          <w:sz w:val="28"/>
          <w:szCs w:val="28"/>
          <w:lang w:val="en-US"/>
        </w:rPr>
      </w:pPr>
      <w:r w:rsidRPr="001B5D7B">
        <w:rPr>
          <w:b/>
          <w:bCs/>
          <w:sz w:val="28"/>
          <w:szCs w:val="28"/>
          <w:lang w:val="en-US"/>
        </w:rPr>
        <w:t>Key Points:</w:t>
      </w:r>
    </w:p>
    <w:p w14:paraId="72A51D66" w14:textId="77777777" w:rsidR="001B5D7B" w:rsidRPr="001B5D7B" w:rsidRDefault="001B5D7B" w:rsidP="001B5D7B">
      <w:pPr>
        <w:numPr>
          <w:ilvl w:val="0"/>
          <w:numId w:val="6"/>
        </w:numPr>
        <w:rPr>
          <w:b/>
          <w:bCs/>
          <w:sz w:val="28"/>
          <w:szCs w:val="28"/>
          <w:lang w:val="en-US"/>
        </w:rPr>
      </w:pPr>
      <w:r w:rsidRPr="001B5D7B">
        <w:rPr>
          <w:b/>
          <w:bCs/>
          <w:sz w:val="28"/>
          <w:szCs w:val="28"/>
          <w:lang w:val="en-US"/>
        </w:rPr>
        <w:t>Phones as the Top Category:</w:t>
      </w:r>
    </w:p>
    <w:p w14:paraId="4365D9AD" w14:textId="77777777" w:rsidR="001B5D7B" w:rsidRPr="001B5D7B" w:rsidRDefault="001B5D7B" w:rsidP="001B5D7B">
      <w:pPr>
        <w:numPr>
          <w:ilvl w:val="1"/>
          <w:numId w:val="6"/>
        </w:numPr>
        <w:rPr>
          <w:sz w:val="28"/>
          <w:szCs w:val="28"/>
          <w:lang w:val="en-US"/>
        </w:rPr>
      </w:pPr>
      <w:r w:rsidRPr="001B5D7B">
        <w:rPr>
          <w:sz w:val="28"/>
          <w:szCs w:val="28"/>
          <w:lang w:val="en-US"/>
        </w:rPr>
        <w:t>Phones stand out significantly, with 21,352 units, marking them as the leading product category by a substantial margin. This dominance reflects high demand or consumer preference for communication devices, making Phones a core revenue driver.</w:t>
      </w:r>
    </w:p>
    <w:p w14:paraId="355C92FF" w14:textId="77777777" w:rsidR="001B5D7B" w:rsidRPr="001B5D7B" w:rsidRDefault="001B5D7B" w:rsidP="001B5D7B">
      <w:pPr>
        <w:numPr>
          <w:ilvl w:val="1"/>
          <w:numId w:val="6"/>
        </w:numPr>
        <w:rPr>
          <w:sz w:val="28"/>
          <w:szCs w:val="28"/>
          <w:lang w:val="en-US"/>
        </w:rPr>
      </w:pPr>
      <w:r w:rsidRPr="001B5D7B">
        <w:rPr>
          <w:sz w:val="28"/>
          <w:szCs w:val="28"/>
          <w:lang w:val="en-US"/>
        </w:rPr>
        <w:t>The large bar in the histogram highlights how this category overshadows others, positioning Phones as the most critical product for the business.</w:t>
      </w:r>
    </w:p>
    <w:p w14:paraId="3B800F9D" w14:textId="77777777" w:rsidR="001B5D7B" w:rsidRPr="001B5D7B" w:rsidRDefault="001B5D7B" w:rsidP="001B5D7B">
      <w:pPr>
        <w:numPr>
          <w:ilvl w:val="0"/>
          <w:numId w:val="6"/>
        </w:numPr>
        <w:rPr>
          <w:b/>
          <w:bCs/>
          <w:sz w:val="28"/>
          <w:szCs w:val="28"/>
          <w:lang w:val="en-US"/>
        </w:rPr>
      </w:pPr>
      <w:r w:rsidRPr="001B5D7B">
        <w:rPr>
          <w:b/>
          <w:bCs/>
          <w:sz w:val="28"/>
          <w:szCs w:val="28"/>
          <w:lang w:val="en-US"/>
        </w:rPr>
        <w:t>Strong Demand for Accessories:</w:t>
      </w:r>
    </w:p>
    <w:p w14:paraId="3AE3BEBF" w14:textId="77777777" w:rsidR="001B5D7B" w:rsidRPr="001B5D7B" w:rsidRDefault="001B5D7B" w:rsidP="001B5D7B">
      <w:pPr>
        <w:numPr>
          <w:ilvl w:val="1"/>
          <w:numId w:val="6"/>
        </w:numPr>
        <w:rPr>
          <w:sz w:val="28"/>
          <w:szCs w:val="28"/>
          <w:lang w:val="en-US"/>
        </w:rPr>
      </w:pPr>
      <w:r w:rsidRPr="001B5D7B">
        <w:rPr>
          <w:sz w:val="28"/>
          <w:szCs w:val="28"/>
          <w:lang w:val="en-US"/>
        </w:rPr>
        <w:t>Accessories, with 12,150 units, also represent a significant portion of sales, although still notably behind Phones. This category supports a wide range of products and can be viewed as a key complementary market.</w:t>
      </w:r>
    </w:p>
    <w:p w14:paraId="4E196E84" w14:textId="77777777" w:rsidR="001B5D7B" w:rsidRPr="001B5D7B" w:rsidRDefault="001B5D7B" w:rsidP="001B5D7B">
      <w:pPr>
        <w:numPr>
          <w:ilvl w:val="1"/>
          <w:numId w:val="6"/>
        </w:numPr>
        <w:rPr>
          <w:b/>
          <w:bCs/>
          <w:sz w:val="28"/>
          <w:szCs w:val="28"/>
          <w:lang w:val="en-US"/>
        </w:rPr>
      </w:pPr>
      <w:r w:rsidRPr="001B5D7B">
        <w:rPr>
          <w:sz w:val="28"/>
          <w:szCs w:val="28"/>
          <w:lang w:val="en-US"/>
        </w:rPr>
        <w:t>The story here could explore how Accessories work in tandem with Phones to provide a complete customer solution, indicating the value of bundling or cross-selling opportunities</w:t>
      </w:r>
      <w:r w:rsidRPr="001B5D7B">
        <w:rPr>
          <w:b/>
          <w:bCs/>
          <w:sz w:val="28"/>
          <w:szCs w:val="28"/>
          <w:lang w:val="en-US"/>
        </w:rPr>
        <w:t>.</w:t>
      </w:r>
    </w:p>
    <w:p w14:paraId="40B1A295" w14:textId="77777777" w:rsidR="001B5D7B" w:rsidRPr="001B5D7B" w:rsidRDefault="001B5D7B" w:rsidP="001B5D7B">
      <w:pPr>
        <w:numPr>
          <w:ilvl w:val="0"/>
          <w:numId w:val="6"/>
        </w:numPr>
        <w:rPr>
          <w:b/>
          <w:bCs/>
          <w:sz w:val="28"/>
          <w:szCs w:val="28"/>
          <w:lang w:val="en-US"/>
        </w:rPr>
      </w:pPr>
      <w:r w:rsidRPr="001B5D7B">
        <w:rPr>
          <w:b/>
          <w:bCs/>
          <w:sz w:val="28"/>
          <w:szCs w:val="28"/>
          <w:lang w:val="en-US"/>
        </w:rPr>
        <w:lastRenderedPageBreak/>
        <w:t>Copiers and Machines:</w:t>
      </w:r>
    </w:p>
    <w:p w14:paraId="79B705CB" w14:textId="77777777" w:rsidR="001B5D7B" w:rsidRPr="001B5D7B" w:rsidRDefault="001B5D7B" w:rsidP="001B5D7B">
      <w:pPr>
        <w:numPr>
          <w:ilvl w:val="1"/>
          <w:numId w:val="6"/>
        </w:numPr>
        <w:rPr>
          <w:sz w:val="28"/>
          <w:szCs w:val="28"/>
          <w:lang w:val="en-US"/>
        </w:rPr>
      </w:pPr>
      <w:r w:rsidRPr="001B5D7B">
        <w:rPr>
          <w:sz w:val="28"/>
          <w:szCs w:val="28"/>
          <w:lang w:val="en-US"/>
        </w:rPr>
        <w:t>Copiers, with 6,160 units, and Machines, with 2,846 units, represent the smaller segments in the distribution. The much shorter bars for these categories reveal that they make up a much smaller percentage of overall sales.</w:t>
      </w:r>
    </w:p>
    <w:p w14:paraId="7D662A83" w14:textId="77777777" w:rsidR="001B5D7B" w:rsidRPr="001B5D7B" w:rsidRDefault="001B5D7B" w:rsidP="001B5D7B">
      <w:pPr>
        <w:numPr>
          <w:ilvl w:val="1"/>
          <w:numId w:val="6"/>
        </w:numPr>
        <w:rPr>
          <w:sz w:val="28"/>
          <w:szCs w:val="28"/>
          <w:lang w:val="en-US"/>
        </w:rPr>
      </w:pPr>
      <w:r w:rsidRPr="001B5D7B">
        <w:rPr>
          <w:sz w:val="28"/>
          <w:szCs w:val="28"/>
          <w:lang w:val="en-US"/>
        </w:rPr>
        <w:t>These lower values suggest that these categories, while important, may require targeted marketing or strategic positioning to boost their contribution to overall sales.</w:t>
      </w:r>
    </w:p>
    <w:p w14:paraId="5379E7D6" w14:textId="77777777" w:rsidR="001B5D7B" w:rsidRPr="001B5D7B" w:rsidRDefault="001B5D7B" w:rsidP="001B5D7B">
      <w:pPr>
        <w:numPr>
          <w:ilvl w:val="1"/>
          <w:numId w:val="6"/>
        </w:numPr>
        <w:rPr>
          <w:sz w:val="28"/>
          <w:szCs w:val="28"/>
          <w:lang w:val="en-US"/>
        </w:rPr>
      </w:pPr>
      <w:r w:rsidRPr="001B5D7B">
        <w:rPr>
          <w:sz w:val="28"/>
          <w:szCs w:val="28"/>
          <w:lang w:val="en-US"/>
        </w:rPr>
        <w:t>The contrast between these smaller categories and the much larger segments (Phones and Accessories) could suggest that these are niche markets or areas where demand is relatively stable but not rapidly growing.</w:t>
      </w:r>
    </w:p>
    <w:p w14:paraId="06BFED83" w14:textId="77777777" w:rsidR="001B5D7B" w:rsidRPr="001B5D7B" w:rsidRDefault="001B5D7B" w:rsidP="001B5D7B">
      <w:pPr>
        <w:numPr>
          <w:ilvl w:val="0"/>
          <w:numId w:val="6"/>
        </w:numPr>
        <w:rPr>
          <w:b/>
          <w:bCs/>
          <w:sz w:val="28"/>
          <w:szCs w:val="28"/>
          <w:lang w:val="en-US"/>
        </w:rPr>
      </w:pPr>
      <w:r w:rsidRPr="001B5D7B">
        <w:rPr>
          <w:b/>
          <w:bCs/>
          <w:sz w:val="28"/>
          <w:szCs w:val="28"/>
          <w:lang w:val="en-US"/>
        </w:rPr>
        <w:t>Visual Contrast:</w:t>
      </w:r>
    </w:p>
    <w:p w14:paraId="0C077C3B" w14:textId="77777777" w:rsidR="001B5D7B" w:rsidRPr="001B5D7B" w:rsidRDefault="001B5D7B" w:rsidP="001B5D7B">
      <w:pPr>
        <w:numPr>
          <w:ilvl w:val="1"/>
          <w:numId w:val="6"/>
        </w:numPr>
        <w:rPr>
          <w:sz w:val="28"/>
          <w:szCs w:val="28"/>
          <w:lang w:val="en-US"/>
        </w:rPr>
      </w:pPr>
      <w:r w:rsidRPr="001B5D7B">
        <w:rPr>
          <w:sz w:val="28"/>
          <w:szCs w:val="28"/>
          <w:lang w:val="en-US"/>
        </w:rPr>
        <w:t>The significant difference between the tallest bar (Phones) and the shortest (Machines) highlights a clear skew in sales distribution. This indicates that while Phones dominate, there is potential for growth in the smaller product categories, which may benefit from further innovation or focus.</w:t>
      </w:r>
    </w:p>
    <w:p w14:paraId="16359B68" w14:textId="77777777" w:rsidR="001B5D7B" w:rsidRPr="001B5D7B" w:rsidRDefault="001B5D7B" w:rsidP="001B5D7B">
      <w:pPr>
        <w:rPr>
          <w:b/>
          <w:bCs/>
          <w:sz w:val="28"/>
          <w:szCs w:val="28"/>
          <w:lang w:val="en-US"/>
        </w:rPr>
      </w:pPr>
      <w:r w:rsidRPr="001B5D7B">
        <w:rPr>
          <w:b/>
          <w:bCs/>
          <w:sz w:val="28"/>
          <w:szCs w:val="28"/>
          <w:lang w:val="en-US"/>
        </w:rPr>
        <w:t>Conclusion:</w:t>
      </w:r>
    </w:p>
    <w:p w14:paraId="2197B28F" w14:textId="77777777" w:rsidR="001B5D7B" w:rsidRPr="001B5D7B" w:rsidRDefault="001B5D7B" w:rsidP="001B5D7B">
      <w:pPr>
        <w:rPr>
          <w:sz w:val="28"/>
          <w:szCs w:val="28"/>
          <w:lang w:val="en-US"/>
        </w:rPr>
      </w:pPr>
      <w:r w:rsidRPr="001B5D7B">
        <w:rPr>
          <w:sz w:val="28"/>
          <w:szCs w:val="28"/>
          <w:lang w:val="en-US"/>
        </w:rPr>
        <w:t>"The histogram reveals a highly concentrated sales distribution, with Phones and Accessories making up the bulk of sales. Copiers and Machines, although smaller contributors, may represent niche markets with specific needs. These insights suggest that while Phones are currently the most lucrative product, there may be untapped opportunities in the smaller categories."</w:t>
      </w:r>
    </w:p>
    <w:p w14:paraId="440B6CBF" w14:textId="53A9E041" w:rsidR="00DC2353" w:rsidRDefault="00DC2353">
      <w:pPr>
        <w:rPr>
          <w:b/>
          <w:bCs/>
          <w:sz w:val="28"/>
          <w:szCs w:val="28"/>
        </w:rPr>
      </w:pPr>
    </w:p>
    <w:p w14:paraId="11547DCC" w14:textId="77777777" w:rsidR="00DC2353" w:rsidRDefault="00DC2353">
      <w:pPr>
        <w:rPr>
          <w:b/>
          <w:bCs/>
          <w:sz w:val="28"/>
          <w:szCs w:val="28"/>
        </w:rPr>
      </w:pPr>
    </w:p>
    <w:p w14:paraId="24FD7F10" w14:textId="77777777" w:rsidR="00DC2353" w:rsidRDefault="00DC2353">
      <w:pPr>
        <w:rPr>
          <w:b/>
          <w:bCs/>
          <w:sz w:val="28"/>
          <w:szCs w:val="28"/>
        </w:rPr>
      </w:pPr>
    </w:p>
    <w:p w14:paraId="22771924" w14:textId="77777777" w:rsidR="00DC2353" w:rsidRDefault="00DC2353">
      <w:pPr>
        <w:rPr>
          <w:b/>
          <w:bCs/>
          <w:sz w:val="28"/>
          <w:szCs w:val="28"/>
        </w:rPr>
      </w:pPr>
    </w:p>
    <w:p w14:paraId="4578A408" w14:textId="77777777" w:rsidR="00DC2353" w:rsidRDefault="00DC2353">
      <w:pPr>
        <w:rPr>
          <w:b/>
          <w:bCs/>
          <w:sz w:val="28"/>
          <w:szCs w:val="28"/>
        </w:rPr>
      </w:pPr>
    </w:p>
    <w:p w14:paraId="7ED585AD" w14:textId="77777777" w:rsidR="00DC2353" w:rsidRDefault="00DC2353">
      <w:pPr>
        <w:rPr>
          <w:b/>
          <w:bCs/>
          <w:sz w:val="28"/>
          <w:szCs w:val="28"/>
        </w:rPr>
      </w:pPr>
    </w:p>
    <w:p w14:paraId="308B2940" w14:textId="77777777" w:rsidR="00DC2353" w:rsidRPr="008823A8" w:rsidRDefault="00DC2353">
      <w:pPr>
        <w:rPr>
          <w:b/>
          <w:bCs/>
          <w:sz w:val="28"/>
          <w:szCs w:val="28"/>
        </w:rPr>
      </w:pPr>
    </w:p>
    <w:sectPr w:rsidR="00DC2353" w:rsidRPr="008823A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6D56D" w14:textId="77777777" w:rsidR="0074369F" w:rsidRDefault="0074369F" w:rsidP="008823A8">
      <w:pPr>
        <w:spacing w:after="0" w:line="240" w:lineRule="auto"/>
      </w:pPr>
      <w:r>
        <w:separator/>
      </w:r>
    </w:p>
  </w:endnote>
  <w:endnote w:type="continuationSeparator" w:id="0">
    <w:p w14:paraId="54DAC1F4" w14:textId="77777777" w:rsidR="0074369F" w:rsidRDefault="0074369F" w:rsidP="0088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8174B" w14:textId="77777777" w:rsidR="008823A8" w:rsidRDefault="008823A8">
    <w:pPr>
      <w:pStyle w:val="Footer"/>
    </w:pPr>
  </w:p>
  <w:p w14:paraId="268AF2BF" w14:textId="77777777" w:rsidR="008823A8" w:rsidRDefault="00882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9423F" w14:textId="77777777" w:rsidR="0074369F" w:rsidRDefault="0074369F" w:rsidP="008823A8">
      <w:pPr>
        <w:spacing w:after="0" w:line="240" w:lineRule="auto"/>
      </w:pPr>
      <w:r>
        <w:separator/>
      </w:r>
    </w:p>
  </w:footnote>
  <w:footnote w:type="continuationSeparator" w:id="0">
    <w:p w14:paraId="6155D840" w14:textId="77777777" w:rsidR="0074369F" w:rsidRDefault="0074369F" w:rsidP="00882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1190D"/>
    <w:multiLevelType w:val="multilevel"/>
    <w:tmpl w:val="8EA86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871CE"/>
    <w:multiLevelType w:val="multilevel"/>
    <w:tmpl w:val="74B8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744D"/>
    <w:multiLevelType w:val="multilevel"/>
    <w:tmpl w:val="DA5E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10895"/>
    <w:multiLevelType w:val="multilevel"/>
    <w:tmpl w:val="E648E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B5218"/>
    <w:multiLevelType w:val="multilevel"/>
    <w:tmpl w:val="5F50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D7DCC"/>
    <w:multiLevelType w:val="multilevel"/>
    <w:tmpl w:val="BD92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472278">
    <w:abstractNumId w:val="4"/>
  </w:num>
  <w:num w:numId="2" w16cid:durableId="1570849952">
    <w:abstractNumId w:val="5"/>
  </w:num>
  <w:num w:numId="3" w16cid:durableId="1051688300">
    <w:abstractNumId w:val="2"/>
  </w:num>
  <w:num w:numId="4" w16cid:durableId="592203123">
    <w:abstractNumId w:val="3"/>
  </w:num>
  <w:num w:numId="5" w16cid:durableId="860750329">
    <w:abstractNumId w:val="1"/>
  </w:num>
  <w:num w:numId="6" w16cid:durableId="109517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A8"/>
    <w:rsid w:val="000E06ED"/>
    <w:rsid w:val="00160085"/>
    <w:rsid w:val="001B5D7B"/>
    <w:rsid w:val="0031621A"/>
    <w:rsid w:val="00630123"/>
    <w:rsid w:val="0074369F"/>
    <w:rsid w:val="007D7065"/>
    <w:rsid w:val="008823A8"/>
    <w:rsid w:val="00C13A78"/>
    <w:rsid w:val="00DC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7A8C"/>
  <w15:chartTrackingRefBased/>
  <w15:docId w15:val="{AEBF5843-A10E-461A-BC57-B065D876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3A8"/>
    <w:rPr>
      <w:lang w:val="en-GB"/>
    </w:rPr>
  </w:style>
  <w:style w:type="paragraph" w:styleId="Heading3">
    <w:name w:val="heading 3"/>
    <w:basedOn w:val="Normal"/>
    <w:next w:val="Normal"/>
    <w:link w:val="Heading3Char"/>
    <w:uiPriority w:val="9"/>
    <w:semiHidden/>
    <w:unhideWhenUsed/>
    <w:qFormat/>
    <w:rsid w:val="001B5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3A8"/>
    <w:rPr>
      <w:lang w:val="en-GB"/>
    </w:rPr>
  </w:style>
  <w:style w:type="paragraph" w:styleId="Footer">
    <w:name w:val="footer"/>
    <w:basedOn w:val="Normal"/>
    <w:link w:val="FooterChar"/>
    <w:uiPriority w:val="99"/>
    <w:unhideWhenUsed/>
    <w:rsid w:val="00882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3A8"/>
    <w:rPr>
      <w:lang w:val="en-GB"/>
    </w:rPr>
  </w:style>
  <w:style w:type="character" w:customStyle="1" w:styleId="Heading3Char">
    <w:name w:val="Heading 3 Char"/>
    <w:basedOn w:val="DefaultParagraphFont"/>
    <w:link w:val="Heading3"/>
    <w:uiPriority w:val="9"/>
    <w:semiHidden/>
    <w:rsid w:val="001B5D7B"/>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18281">
      <w:bodyDiv w:val="1"/>
      <w:marLeft w:val="0"/>
      <w:marRight w:val="0"/>
      <w:marTop w:val="0"/>
      <w:marBottom w:val="0"/>
      <w:divBdr>
        <w:top w:val="none" w:sz="0" w:space="0" w:color="auto"/>
        <w:left w:val="none" w:sz="0" w:space="0" w:color="auto"/>
        <w:bottom w:val="none" w:sz="0" w:space="0" w:color="auto"/>
        <w:right w:val="none" w:sz="0" w:space="0" w:color="auto"/>
      </w:divBdr>
    </w:div>
    <w:div w:id="434905991">
      <w:bodyDiv w:val="1"/>
      <w:marLeft w:val="0"/>
      <w:marRight w:val="0"/>
      <w:marTop w:val="0"/>
      <w:marBottom w:val="0"/>
      <w:divBdr>
        <w:top w:val="none" w:sz="0" w:space="0" w:color="auto"/>
        <w:left w:val="none" w:sz="0" w:space="0" w:color="auto"/>
        <w:bottom w:val="none" w:sz="0" w:space="0" w:color="auto"/>
        <w:right w:val="none" w:sz="0" w:space="0" w:color="auto"/>
      </w:divBdr>
    </w:div>
    <w:div w:id="1368215757">
      <w:bodyDiv w:val="1"/>
      <w:marLeft w:val="0"/>
      <w:marRight w:val="0"/>
      <w:marTop w:val="0"/>
      <w:marBottom w:val="0"/>
      <w:divBdr>
        <w:top w:val="none" w:sz="0" w:space="0" w:color="auto"/>
        <w:left w:val="none" w:sz="0" w:space="0" w:color="auto"/>
        <w:bottom w:val="none" w:sz="0" w:space="0" w:color="auto"/>
        <w:right w:val="none" w:sz="0" w:space="0" w:color="auto"/>
      </w:divBdr>
    </w:div>
    <w:div w:id="1516187473">
      <w:bodyDiv w:val="1"/>
      <w:marLeft w:val="0"/>
      <w:marRight w:val="0"/>
      <w:marTop w:val="0"/>
      <w:marBottom w:val="0"/>
      <w:divBdr>
        <w:top w:val="none" w:sz="0" w:space="0" w:color="auto"/>
        <w:left w:val="none" w:sz="0" w:space="0" w:color="auto"/>
        <w:bottom w:val="none" w:sz="0" w:space="0" w:color="auto"/>
        <w:right w:val="none" w:sz="0" w:space="0" w:color="auto"/>
      </w:divBdr>
    </w:div>
    <w:div w:id="1630624574">
      <w:bodyDiv w:val="1"/>
      <w:marLeft w:val="0"/>
      <w:marRight w:val="0"/>
      <w:marTop w:val="0"/>
      <w:marBottom w:val="0"/>
      <w:divBdr>
        <w:top w:val="none" w:sz="0" w:space="0" w:color="auto"/>
        <w:left w:val="none" w:sz="0" w:space="0" w:color="auto"/>
        <w:bottom w:val="none" w:sz="0" w:space="0" w:color="auto"/>
        <w:right w:val="none" w:sz="0" w:space="0" w:color="auto"/>
      </w:divBdr>
    </w:div>
    <w:div w:id="1636448551">
      <w:bodyDiv w:val="1"/>
      <w:marLeft w:val="0"/>
      <w:marRight w:val="0"/>
      <w:marTop w:val="0"/>
      <w:marBottom w:val="0"/>
      <w:divBdr>
        <w:top w:val="none" w:sz="0" w:space="0" w:color="auto"/>
        <w:left w:val="none" w:sz="0" w:space="0" w:color="auto"/>
        <w:bottom w:val="none" w:sz="0" w:space="0" w:color="auto"/>
        <w:right w:val="none" w:sz="0" w:space="0" w:color="auto"/>
      </w:divBdr>
    </w:div>
    <w:div w:id="1712802918">
      <w:bodyDiv w:val="1"/>
      <w:marLeft w:val="0"/>
      <w:marRight w:val="0"/>
      <w:marTop w:val="0"/>
      <w:marBottom w:val="0"/>
      <w:divBdr>
        <w:top w:val="none" w:sz="0" w:space="0" w:color="auto"/>
        <w:left w:val="none" w:sz="0" w:space="0" w:color="auto"/>
        <w:bottom w:val="none" w:sz="0" w:space="0" w:color="auto"/>
        <w:right w:val="none" w:sz="0" w:space="0" w:color="auto"/>
      </w:divBdr>
    </w:div>
    <w:div w:id="200365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Dinesh</dc:creator>
  <cp:keywords/>
  <dc:description/>
  <cp:lastModifiedBy>Krishnan Dinesh</cp:lastModifiedBy>
  <cp:revision>4</cp:revision>
  <dcterms:created xsi:type="dcterms:W3CDTF">2024-09-07T13:21:00Z</dcterms:created>
  <dcterms:modified xsi:type="dcterms:W3CDTF">2024-09-07T16:27:00Z</dcterms:modified>
</cp:coreProperties>
</file>