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 xml:space="preserve">Aula 24/09/25 - Paradigmas do Kotlin</w:t>
      </w:r>
    </w:p>
    <w:p w:rsidR="00000000" w:rsidDel="00000000" w:rsidP="00000000" w:rsidRDefault="00000000" w:rsidRPr="00000000" w14:paraId="00000002">
      <w:pPr>
        <w:ind w:left="141.73228346456688" w:firstLine="135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 xml:space="preserve">Nome:Gilberto Alencar Série: 3DS</w:t>
        <w:tab/>
      </w:r>
    </w:p>
    <w:p w:rsidR="00000000" w:rsidDel="00000000" w:rsidP="00000000" w:rsidRDefault="00000000" w:rsidRPr="00000000" w14:paraId="00000003">
      <w:pPr>
        <w:ind w:left="141.73228346456688" w:firstLine="135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firstLine="135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color w:val="242424"/>
          <w:sz w:val="36"/>
          <w:szCs w:val="36"/>
          <w:highlight w:val="white"/>
        </w:rPr>
        <w:drawing>
          <wp:inline distB="114300" distT="114300" distL="114300" distR="114300">
            <wp:extent cx="4876800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.73228346456688" w:firstLine="135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Quando o código é executado, primeiro a função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cria uma variável chamada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recebe a string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"Publica"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Em seguida, é instanciado um objeto da classe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Teste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possui um atributo chamado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já inicializado com o valor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"Nome"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 programa então imprime no console o conteúdo da variável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exibindo a palavra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Publica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 logo depois imprime o valor da propriedade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objeto criado, exibindo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Assim, a execução demonstra como é possível utilizar palavras reservadas, como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como identificadores quando escapadas corretamente, além de mostrar a criação de uma classe simples e o acesso a uma de suas propriedades.</w:t>
      </w:r>
    </w:p>
    <w:p w:rsidR="00000000" w:rsidDel="00000000" w:rsidP="00000000" w:rsidRDefault="00000000" w:rsidRPr="00000000" w14:paraId="00000007">
      <w:pPr>
        <w:ind w:left="141.73228346456688" w:firstLine="135"/>
        <w:jc w:val="center"/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