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520" w:type="dxa"/>
        <w:tblInd w:w="-572" w:type="dxa"/>
        <w:tblLook w:val="04A0" w:firstRow="1" w:lastRow="0" w:firstColumn="1" w:lastColumn="0" w:noHBand="0" w:noVBand="1"/>
      </w:tblPr>
      <w:tblGrid>
        <w:gridCol w:w="1177"/>
        <w:gridCol w:w="3245"/>
        <w:gridCol w:w="1674"/>
        <w:gridCol w:w="1342"/>
        <w:gridCol w:w="3590"/>
        <w:gridCol w:w="1024"/>
        <w:gridCol w:w="2468"/>
      </w:tblGrid>
      <w:tr w:rsidR="001F1A06" w:rsidRPr="0077222B" w14:paraId="77746997" w14:textId="77777777" w:rsidTr="00E30B38">
        <w:trPr>
          <w:trHeight w:val="271"/>
          <w:tblHeader/>
        </w:trPr>
        <w:tc>
          <w:tcPr>
            <w:tcW w:w="117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hideMark/>
          </w:tcPr>
          <w:p w14:paraId="6FBBD4E2" w14:textId="77777777" w:rsidR="001F1A06" w:rsidRPr="0077222B" w:rsidRDefault="001F1A06" w:rsidP="00E30B38">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Risk ID</w:t>
            </w:r>
          </w:p>
        </w:tc>
        <w:tc>
          <w:tcPr>
            <w:tcW w:w="3245"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13E2E6F4" w14:textId="77777777" w:rsidR="001F1A06" w:rsidRPr="0077222B" w:rsidRDefault="001F1A06" w:rsidP="00E30B38">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Risk</w:t>
            </w:r>
            <w:r>
              <w:rPr>
                <w:rFonts w:ascii="Century Gothic" w:eastAsia="Times New Roman" w:hAnsi="Century Gothic" w:cs="Calibri"/>
                <w:b/>
                <w:bCs/>
                <w:color w:val="000000"/>
                <w:kern w:val="0"/>
                <w:sz w:val="24"/>
                <w:szCs w:val="24"/>
                <w:lang w:eastAsia="en-GB"/>
                <w14:ligatures w14:val="none"/>
              </w:rPr>
              <w:t xml:space="preserve"> Description</w:t>
            </w:r>
          </w:p>
        </w:tc>
        <w:tc>
          <w:tcPr>
            <w:tcW w:w="1674"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02C2D412" w14:textId="77777777" w:rsidR="001F1A06" w:rsidRPr="0077222B" w:rsidRDefault="001F1A06" w:rsidP="00E30B38">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Rating</w:t>
            </w:r>
          </w:p>
        </w:tc>
        <w:tc>
          <w:tcPr>
            <w:tcW w:w="1342"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074E5736" w14:textId="77777777" w:rsidR="001F1A06" w:rsidRPr="0077222B" w:rsidRDefault="001F1A06" w:rsidP="00E30B38">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Site</w:t>
            </w:r>
          </w:p>
        </w:tc>
        <w:tc>
          <w:tcPr>
            <w:tcW w:w="3590"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63746D96" w14:textId="77777777" w:rsidR="001F1A06" w:rsidRPr="0077222B" w:rsidRDefault="001F1A06" w:rsidP="00E30B38">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Finding</w:t>
            </w:r>
          </w:p>
        </w:tc>
        <w:tc>
          <w:tcPr>
            <w:tcW w:w="1024" w:type="dxa"/>
            <w:tcBorders>
              <w:top w:val="single" w:sz="4" w:space="0" w:color="auto"/>
              <w:left w:val="nil"/>
              <w:bottom w:val="single" w:sz="4" w:space="0" w:color="auto"/>
              <w:right w:val="single" w:sz="4" w:space="0" w:color="auto"/>
            </w:tcBorders>
            <w:shd w:val="clear" w:color="auto" w:fill="A6A6A6" w:themeFill="background1" w:themeFillShade="A6"/>
          </w:tcPr>
          <w:p w14:paraId="049D0275" w14:textId="77777777" w:rsidR="001F1A06" w:rsidRPr="0077222B" w:rsidRDefault="001F1A06" w:rsidP="00E30B38">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Ref</w:t>
            </w:r>
          </w:p>
        </w:tc>
        <w:tc>
          <w:tcPr>
            <w:tcW w:w="246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hideMark/>
          </w:tcPr>
          <w:p w14:paraId="1673E712" w14:textId="77777777" w:rsidR="001F1A06" w:rsidRPr="0077222B" w:rsidRDefault="001F1A06" w:rsidP="00E30B38">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Opinion per Risk</w:t>
            </w:r>
          </w:p>
        </w:tc>
      </w:tr>
      <w:tr w:rsidR="001F1A06" w:rsidRPr="0077222B" w14:paraId="103026A0" w14:textId="77777777" w:rsidTr="00E30B38">
        <w:trPr>
          <w:trHeight w:val="636"/>
        </w:trPr>
        <w:tc>
          <w:tcPr>
            <w:tcW w:w="1177" w:type="dxa"/>
            <w:vMerge w:val="restart"/>
            <w:tcBorders>
              <w:top w:val="nil"/>
              <w:left w:val="single" w:sz="4" w:space="0" w:color="auto"/>
              <w:bottom w:val="single" w:sz="4" w:space="0" w:color="000000" w:themeColor="text1"/>
              <w:right w:val="single" w:sz="4" w:space="0" w:color="auto"/>
            </w:tcBorders>
            <w:noWrap/>
            <w:hideMark/>
          </w:tcPr>
          <w:p w14:paraId="4803ADB5"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R1</w:t>
            </w:r>
          </w:p>
        </w:tc>
        <w:tc>
          <w:tcPr>
            <w:tcW w:w="3245" w:type="dxa"/>
            <w:vMerge w:val="restart"/>
            <w:tcBorders>
              <w:top w:val="nil"/>
              <w:left w:val="single" w:sz="4" w:space="0" w:color="auto"/>
              <w:bottom w:val="single" w:sz="4" w:space="0" w:color="000000" w:themeColor="text1"/>
              <w:right w:val="single" w:sz="4" w:space="0" w:color="auto"/>
            </w:tcBorders>
            <w:hideMark/>
          </w:tcPr>
          <w:p w14:paraId="502BC94D"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Non-adherence to approved Preventive Maintenance Plan (PMP) of critical </w:t>
            </w:r>
            <w:r>
              <w:rPr>
                <w:rFonts w:ascii="Century Gothic" w:eastAsia="Times New Roman" w:hAnsi="Century Gothic" w:cs="Calibri"/>
                <w:color w:val="000000"/>
                <w:kern w:val="0"/>
                <w:sz w:val="24"/>
                <w:szCs w:val="24"/>
                <w:lang w:eastAsia="en-GB"/>
                <w14:ligatures w14:val="none"/>
              </w:rPr>
              <w:t>assets</w:t>
            </w:r>
            <w:r w:rsidRPr="0077222B">
              <w:rPr>
                <w:rFonts w:ascii="Century Gothic" w:eastAsia="Times New Roman" w:hAnsi="Century Gothic" w:cs="Calibri"/>
                <w:color w:val="000000"/>
                <w:kern w:val="0"/>
                <w:sz w:val="24"/>
                <w:szCs w:val="24"/>
                <w:lang w:eastAsia="en-GB"/>
                <w14:ligatures w14:val="none"/>
              </w:rPr>
              <w:t xml:space="preserve"> that might compromise the safety of the operations </w:t>
            </w:r>
          </w:p>
        </w:tc>
        <w:tc>
          <w:tcPr>
            <w:tcW w:w="1674" w:type="dxa"/>
            <w:vMerge w:val="restart"/>
            <w:tcBorders>
              <w:top w:val="nil"/>
              <w:left w:val="single" w:sz="4" w:space="0" w:color="auto"/>
              <w:bottom w:val="single" w:sz="4" w:space="0" w:color="124F1A" w:themeColor="accent3" w:themeShade="BF"/>
              <w:right w:val="single" w:sz="4" w:space="0" w:color="auto"/>
            </w:tcBorders>
            <w:shd w:val="clear" w:color="auto" w:fill="FF0000"/>
            <w:hideMark/>
          </w:tcPr>
          <w:p w14:paraId="3AD672ED"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16)</w:t>
            </w:r>
          </w:p>
        </w:tc>
        <w:tc>
          <w:tcPr>
            <w:tcW w:w="1342" w:type="dxa"/>
            <w:vMerge w:val="restart"/>
            <w:tcBorders>
              <w:top w:val="nil"/>
              <w:left w:val="nil"/>
              <w:bottom w:val="single" w:sz="4" w:space="0" w:color="auto"/>
              <w:right w:val="single" w:sz="4" w:space="0" w:color="auto"/>
            </w:tcBorders>
            <w:noWrap/>
            <w:hideMark/>
          </w:tcPr>
          <w:p w14:paraId="5003D3C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Nairobi</w:t>
            </w:r>
          </w:p>
          <w:p w14:paraId="3DE03F6D"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Nigeria</w:t>
            </w:r>
          </w:p>
          <w:p w14:paraId="5EEE130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w:t>
            </w:r>
            <w:r w:rsidRPr="0077222B">
              <w:rPr>
                <w:rFonts w:ascii="Century Gothic" w:eastAsia="Times New Roman" w:hAnsi="Century Gothic" w:cs="Calibri"/>
                <w:color w:val="000000"/>
                <w:kern w:val="0"/>
                <w:sz w:val="24"/>
                <w:szCs w:val="24"/>
                <w:lang w:eastAsia="en-GB"/>
                <w14:ligatures w14:val="none"/>
              </w:rPr>
              <w:t>s</w:t>
            </w:r>
          </w:p>
          <w:p w14:paraId="6E5D235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Offices</w:t>
            </w:r>
          </w:p>
        </w:tc>
        <w:tc>
          <w:tcPr>
            <w:tcW w:w="3590" w:type="dxa"/>
            <w:tcBorders>
              <w:top w:val="nil"/>
              <w:left w:val="nil"/>
              <w:bottom w:val="single" w:sz="4" w:space="0" w:color="auto"/>
              <w:right w:val="single" w:sz="4" w:space="0" w:color="auto"/>
            </w:tcBorders>
            <w:hideMark/>
          </w:tcPr>
          <w:p w14:paraId="062105F1"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872C09">
              <w:rPr>
                <w:rFonts w:ascii="Century Gothic" w:eastAsia="Times New Roman" w:hAnsi="Century Gothic" w:cs="Calibri"/>
                <w:color w:val="000000"/>
                <w:kern w:val="0"/>
                <w:sz w:val="24"/>
                <w:szCs w:val="24"/>
                <w:lang w:eastAsia="en-GB"/>
                <w14:ligatures w14:val="none"/>
              </w:rPr>
              <w:t xml:space="preserve">No preventive maintenance or condition monitoring </w:t>
            </w:r>
            <w:r w:rsidRPr="0091475E">
              <w:rPr>
                <w:rFonts w:ascii="Century Gothic" w:eastAsia="Times New Roman" w:hAnsi="Century Gothic" w:cs="Calibri"/>
                <w:kern w:val="0"/>
                <w:sz w:val="24"/>
                <w:szCs w:val="24"/>
                <w:lang w:eastAsia="en-GB"/>
                <w14:ligatures w14:val="none"/>
              </w:rPr>
              <w:t xml:space="preserve">for some </w:t>
            </w:r>
            <w:r w:rsidRPr="00872C09">
              <w:rPr>
                <w:rFonts w:ascii="Century Gothic" w:eastAsia="Times New Roman" w:hAnsi="Century Gothic" w:cs="Calibri"/>
                <w:color w:val="000000"/>
                <w:kern w:val="0"/>
                <w:sz w:val="24"/>
                <w:szCs w:val="24"/>
                <w:lang w:eastAsia="en-GB"/>
                <w14:ligatures w14:val="none"/>
              </w:rPr>
              <w:t>equipment</w:t>
            </w:r>
          </w:p>
        </w:tc>
        <w:tc>
          <w:tcPr>
            <w:tcW w:w="1024" w:type="dxa"/>
            <w:tcBorders>
              <w:top w:val="nil"/>
              <w:left w:val="single" w:sz="4" w:space="0" w:color="auto"/>
              <w:bottom w:val="single" w:sz="4" w:space="0" w:color="000000" w:themeColor="text1"/>
              <w:right w:val="single" w:sz="4" w:space="0" w:color="auto"/>
            </w:tcBorders>
          </w:tcPr>
          <w:p w14:paraId="3BED997C"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8</w:t>
            </w:r>
          </w:p>
        </w:tc>
        <w:tc>
          <w:tcPr>
            <w:tcW w:w="2468" w:type="dxa"/>
            <w:vMerge w:val="restart"/>
            <w:tcBorders>
              <w:top w:val="nil"/>
              <w:left w:val="single" w:sz="4" w:space="0" w:color="auto"/>
              <w:bottom w:val="single" w:sz="4" w:space="0" w:color="000000" w:themeColor="text1"/>
              <w:right w:val="single" w:sz="4" w:space="0" w:color="auto"/>
            </w:tcBorders>
            <w:shd w:val="clear" w:color="auto" w:fill="FFFF00"/>
            <w:hideMark/>
          </w:tcPr>
          <w:p w14:paraId="252606F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Inadequate design </w:t>
            </w:r>
          </w:p>
          <w:p w14:paraId="3EE5C7D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val="en-US" w:eastAsia="en-GB"/>
                <w14:ligatures w14:val="none"/>
              </w:rPr>
              <w:t>Appropriate design but operating ineffectively</w:t>
            </w:r>
          </w:p>
        </w:tc>
      </w:tr>
      <w:tr w:rsidR="001F1A06" w:rsidRPr="0077222B" w14:paraId="09EC9D33" w14:textId="77777777" w:rsidTr="00E30B38">
        <w:trPr>
          <w:trHeight w:val="314"/>
        </w:trPr>
        <w:tc>
          <w:tcPr>
            <w:tcW w:w="1177" w:type="dxa"/>
            <w:vMerge/>
            <w:hideMark/>
          </w:tcPr>
          <w:p w14:paraId="22467F5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05904E28"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0C12F953"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vMerge/>
            <w:tcBorders>
              <w:top w:val="nil"/>
              <w:left w:val="nil"/>
              <w:bottom w:val="single" w:sz="4" w:space="0" w:color="auto"/>
              <w:right w:val="single" w:sz="4" w:space="0" w:color="auto"/>
            </w:tcBorders>
            <w:hideMark/>
          </w:tcPr>
          <w:p w14:paraId="4EF39FBF"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73443DDF"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872C09">
              <w:rPr>
                <w:rFonts w:ascii="Century Gothic" w:eastAsia="Times New Roman" w:hAnsi="Century Gothic" w:cs="Calibri"/>
                <w:color w:val="000000"/>
                <w:kern w:val="0"/>
                <w:sz w:val="24"/>
                <w:szCs w:val="24"/>
                <w:lang w:eastAsia="en-GB"/>
                <w14:ligatures w14:val="none"/>
              </w:rPr>
              <w:t>Lack of equipment register and out-of-date PMP</w:t>
            </w:r>
          </w:p>
        </w:tc>
        <w:tc>
          <w:tcPr>
            <w:tcW w:w="1024" w:type="dxa"/>
            <w:tcBorders>
              <w:top w:val="nil"/>
              <w:left w:val="single" w:sz="4" w:space="0" w:color="auto"/>
              <w:bottom w:val="single" w:sz="4" w:space="0" w:color="000000" w:themeColor="text1"/>
              <w:right w:val="single" w:sz="4" w:space="0" w:color="auto"/>
            </w:tcBorders>
          </w:tcPr>
          <w:p w14:paraId="1C068BE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9</w:t>
            </w:r>
          </w:p>
        </w:tc>
        <w:tc>
          <w:tcPr>
            <w:tcW w:w="2468" w:type="dxa"/>
            <w:vMerge/>
            <w:hideMark/>
          </w:tcPr>
          <w:p w14:paraId="4231C20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7303531E" w14:textId="77777777" w:rsidTr="00E30B38">
        <w:trPr>
          <w:trHeight w:val="523"/>
        </w:trPr>
        <w:tc>
          <w:tcPr>
            <w:tcW w:w="1177" w:type="dxa"/>
            <w:vMerge/>
            <w:hideMark/>
          </w:tcPr>
          <w:p w14:paraId="5557522B"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11F80EA5"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74568D4E"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vMerge/>
            <w:tcBorders>
              <w:top w:val="nil"/>
              <w:left w:val="single" w:sz="4" w:space="0" w:color="auto"/>
              <w:bottom w:val="single" w:sz="4" w:space="0" w:color="auto"/>
              <w:right w:val="single" w:sz="4" w:space="0" w:color="auto"/>
            </w:tcBorders>
            <w:hideMark/>
          </w:tcPr>
          <w:p w14:paraId="3777E07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0CEB549B"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0D6B6C">
              <w:rPr>
                <w:rFonts w:ascii="Century Gothic" w:eastAsia="Times New Roman" w:hAnsi="Century Gothic" w:cs="Calibri"/>
                <w:color w:val="000000"/>
                <w:kern w:val="0"/>
                <w:sz w:val="24"/>
                <w:szCs w:val="24"/>
                <w:lang w:eastAsia="en-GB"/>
                <w14:ligatures w14:val="none"/>
              </w:rPr>
              <w:t xml:space="preserve">No proper training schedule/ plan </w:t>
            </w:r>
            <w:r>
              <w:rPr>
                <w:rFonts w:ascii="Century Gothic" w:eastAsia="Times New Roman" w:hAnsi="Century Gothic" w:cs="Calibri"/>
                <w:color w:val="000000"/>
                <w:kern w:val="0"/>
                <w:sz w:val="24"/>
                <w:szCs w:val="24"/>
                <w:lang w:eastAsia="en-GB"/>
                <w14:ligatures w14:val="none"/>
              </w:rPr>
              <w:t>to address</w:t>
            </w:r>
            <w:r w:rsidRPr="000D6B6C">
              <w:rPr>
                <w:rFonts w:ascii="Century Gothic" w:eastAsia="Times New Roman" w:hAnsi="Century Gothic" w:cs="Calibri"/>
                <w:color w:val="000000"/>
                <w:kern w:val="0"/>
                <w:sz w:val="24"/>
                <w:szCs w:val="24"/>
                <w:lang w:eastAsia="en-GB"/>
                <w14:ligatures w14:val="none"/>
              </w:rPr>
              <w:t xml:space="preserve"> </w:t>
            </w:r>
            <w:r>
              <w:rPr>
                <w:rFonts w:ascii="Century Gothic" w:eastAsia="Times New Roman" w:hAnsi="Century Gothic" w:cs="Calibri"/>
                <w:color w:val="000000"/>
                <w:kern w:val="0"/>
                <w:sz w:val="24"/>
                <w:szCs w:val="24"/>
                <w:lang w:eastAsia="en-GB"/>
                <w14:ligatures w14:val="none"/>
              </w:rPr>
              <w:t>support needs</w:t>
            </w:r>
          </w:p>
        </w:tc>
        <w:tc>
          <w:tcPr>
            <w:tcW w:w="1024" w:type="dxa"/>
            <w:tcBorders>
              <w:top w:val="nil"/>
              <w:left w:val="nil"/>
              <w:bottom w:val="single" w:sz="4" w:space="0" w:color="auto"/>
              <w:right w:val="nil"/>
            </w:tcBorders>
          </w:tcPr>
          <w:p w14:paraId="3B197F3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val="en-US" w:eastAsia="en-GB"/>
                <w14:ligatures w14:val="none"/>
              </w:rPr>
              <w:t>10</w:t>
            </w:r>
          </w:p>
        </w:tc>
        <w:tc>
          <w:tcPr>
            <w:tcW w:w="2468" w:type="dxa"/>
            <w:vMerge/>
            <w:hideMark/>
          </w:tcPr>
          <w:p w14:paraId="5C31868A"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6368BD88" w14:textId="77777777" w:rsidTr="00E30B38">
        <w:trPr>
          <w:trHeight w:val="323"/>
        </w:trPr>
        <w:tc>
          <w:tcPr>
            <w:tcW w:w="1177" w:type="dxa"/>
            <w:vMerge/>
            <w:hideMark/>
          </w:tcPr>
          <w:p w14:paraId="619890D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34F8A9EC"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tcBorders>
              <w:top w:val="nil"/>
              <w:left w:val="nil"/>
              <w:bottom w:val="nil"/>
              <w:right w:val="single" w:sz="4" w:space="0" w:color="auto"/>
            </w:tcBorders>
            <w:shd w:val="clear" w:color="auto" w:fill="FF0000"/>
            <w:hideMark/>
          </w:tcPr>
          <w:p w14:paraId="429B903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w:t>
            </w:r>
          </w:p>
        </w:tc>
        <w:tc>
          <w:tcPr>
            <w:tcW w:w="1342" w:type="dxa"/>
            <w:vMerge/>
            <w:tcBorders>
              <w:top w:val="nil"/>
              <w:left w:val="single" w:sz="4" w:space="0" w:color="auto"/>
              <w:bottom w:val="single" w:sz="4" w:space="0" w:color="auto"/>
              <w:right w:val="single" w:sz="4" w:space="0" w:color="auto"/>
            </w:tcBorders>
            <w:hideMark/>
          </w:tcPr>
          <w:p w14:paraId="64F83A6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21E5C35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137542">
              <w:rPr>
                <w:rFonts w:ascii="Century Gothic" w:eastAsia="Times New Roman" w:hAnsi="Century Gothic" w:cs="Calibri"/>
                <w:color w:val="000000"/>
                <w:kern w:val="0"/>
                <w:sz w:val="24"/>
                <w:szCs w:val="24"/>
                <w:lang w:eastAsia="en-GB"/>
                <w14:ligatures w14:val="none"/>
              </w:rPr>
              <w:t>Underutilisation of SAP maintenance Modules</w:t>
            </w:r>
          </w:p>
        </w:tc>
        <w:tc>
          <w:tcPr>
            <w:tcW w:w="1024" w:type="dxa"/>
            <w:tcBorders>
              <w:top w:val="nil"/>
              <w:left w:val="nil"/>
              <w:bottom w:val="single" w:sz="4" w:space="0" w:color="auto"/>
              <w:right w:val="nil"/>
            </w:tcBorders>
          </w:tcPr>
          <w:p w14:paraId="06837105"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val="en-US" w:eastAsia="en-GB"/>
                <w14:ligatures w14:val="none"/>
              </w:rPr>
              <w:t>11</w:t>
            </w:r>
          </w:p>
        </w:tc>
        <w:tc>
          <w:tcPr>
            <w:tcW w:w="2468" w:type="dxa"/>
            <w:vMerge/>
            <w:hideMark/>
          </w:tcPr>
          <w:p w14:paraId="7B9377D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7ED3EC7F" w14:textId="77777777" w:rsidTr="00E30B38">
        <w:trPr>
          <w:trHeight w:val="602"/>
        </w:trPr>
        <w:tc>
          <w:tcPr>
            <w:tcW w:w="1177" w:type="dxa"/>
            <w:vMerge/>
            <w:hideMark/>
          </w:tcPr>
          <w:p w14:paraId="443BE931"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496DCE0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tcBorders>
              <w:top w:val="nil"/>
              <w:left w:val="nil"/>
              <w:bottom w:val="nil"/>
              <w:right w:val="single" w:sz="4" w:space="0" w:color="auto"/>
            </w:tcBorders>
            <w:shd w:val="clear" w:color="auto" w:fill="FF0000"/>
            <w:hideMark/>
          </w:tcPr>
          <w:p w14:paraId="14859220"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w:t>
            </w:r>
          </w:p>
        </w:tc>
        <w:tc>
          <w:tcPr>
            <w:tcW w:w="1342" w:type="dxa"/>
            <w:tcBorders>
              <w:top w:val="nil"/>
              <w:left w:val="single" w:sz="4" w:space="0" w:color="auto"/>
              <w:bottom w:val="single" w:sz="4" w:space="0" w:color="000000" w:themeColor="text1"/>
              <w:right w:val="single" w:sz="4" w:space="0" w:color="auto"/>
            </w:tcBorders>
            <w:hideMark/>
          </w:tcPr>
          <w:p w14:paraId="6343963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Head Office</w:t>
            </w:r>
          </w:p>
        </w:tc>
        <w:tc>
          <w:tcPr>
            <w:tcW w:w="3590" w:type="dxa"/>
            <w:tcBorders>
              <w:top w:val="nil"/>
              <w:left w:val="nil"/>
              <w:bottom w:val="single" w:sz="4" w:space="0" w:color="auto"/>
              <w:right w:val="single" w:sz="4" w:space="0" w:color="auto"/>
            </w:tcBorders>
            <w:hideMark/>
          </w:tcPr>
          <w:p w14:paraId="32E6857C"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23C8B">
              <w:rPr>
                <w:rFonts w:ascii="Century Gothic" w:eastAsia="Times New Roman" w:hAnsi="Century Gothic" w:cs="Calibri"/>
                <w:color w:val="000000"/>
                <w:kern w:val="0"/>
                <w:sz w:val="24"/>
                <w:szCs w:val="24"/>
                <w:lang w:eastAsia="en-GB"/>
                <w14:ligatures w14:val="none"/>
              </w:rPr>
              <w:t>Prolonged delays in the processes of procurement</w:t>
            </w:r>
          </w:p>
        </w:tc>
        <w:tc>
          <w:tcPr>
            <w:tcW w:w="1024" w:type="dxa"/>
            <w:tcBorders>
              <w:top w:val="nil"/>
              <w:left w:val="single" w:sz="4" w:space="0" w:color="auto"/>
              <w:bottom w:val="single" w:sz="4" w:space="0" w:color="000000" w:themeColor="text1"/>
              <w:right w:val="single" w:sz="4" w:space="0" w:color="auto"/>
            </w:tcBorders>
          </w:tcPr>
          <w:p w14:paraId="509BC727"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val="en-US" w:eastAsia="en-GB"/>
                <w14:ligatures w14:val="none"/>
              </w:rPr>
              <w:t>12</w:t>
            </w:r>
          </w:p>
        </w:tc>
        <w:tc>
          <w:tcPr>
            <w:tcW w:w="2468" w:type="dxa"/>
            <w:vMerge/>
            <w:tcBorders>
              <w:top w:val="nil"/>
              <w:left w:val="nil"/>
              <w:bottom w:val="single" w:sz="4" w:space="0" w:color="auto"/>
              <w:right w:val="single" w:sz="4" w:space="0" w:color="auto"/>
            </w:tcBorders>
            <w:shd w:val="clear" w:color="auto" w:fill="FF0000"/>
            <w:hideMark/>
          </w:tcPr>
          <w:p w14:paraId="03340C9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7CB54AE6" w14:textId="77777777" w:rsidTr="00E30B38">
        <w:trPr>
          <w:trHeight w:val="644"/>
        </w:trPr>
        <w:tc>
          <w:tcPr>
            <w:tcW w:w="1177" w:type="dxa"/>
            <w:vMerge w:val="restart"/>
            <w:tcBorders>
              <w:top w:val="nil"/>
              <w:left w:val="single" w:sz="4" w:space="0" w:color="auto"/>
              <w:bottom w:val="single" w:sz="4" w:space="0" w:color="000000" w:themeColor="text1"/>
              <w:right w:val="single" w:sz="4" w:space="0" w:color="auto"/>
            </w:tcBorders>
            <w:noWrap/>
            <w:hideMark/>
          </w:tcPr>
          <w:p w14:paraId="2324B6B5"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R2</w:t>
            </w:r>
          </w:p>
        </w:tc>
        <w:tc>
          <w:tcPr>
            <w:tcW w:w="3245" w:type="dxa"/>
            <w:vMerge w:val="restart"/>
            <w:tcBorders>
              <w:top w:val="nil"/>
              <w:left w:val="single" w:sz="4" w:space="0" w:color="auto"/>
              <w:bottom w:val="single" w:sz="4" w:space="0" w:color="000000" w:themeColor="text1"/>
              <w:right w:val="single" w:sz="4" w:space="0" w:color="auto"/>
            </w:tcBorders>
            <w:hideMark/>
          </w:tcPr>
          <w:p w14:paraId="5281FDD1"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Incompleteness of the PMP may result in rejected claims by the Insurance company in case of breakdowns.</w:t>
            </w:r>
          </w:p>
        </w:tc>
        <w:tc>
          <w:tcPr>
            <w:tcW w:w="1674" w:type="dxa"/>
            <w:vMerge w:val="restart"/>
            <w:tcBorders>
              <w:top w:val="single" w:sz="4" w:space="0" w:color="124F1A" w:themeColor="accent3" w:themeShade="BF"/>
              <w:left w:val="single" w:sz="4" w:space="0" w:color="auto"/>
              <w:bottom w:val="single" w:sz="4" w:space="0" w:color="124F1A" w:themeColor="accent3" w:themeShade="BF"/>
              <w:right w:val="single" w:sz="4" w:space="0" w:color="auto"/>
            </w:tcBorders>
            <w:shd w:val="clear" w:color="auto" w:fill="FF0000"/>
            <w:noWrap/>
            <w:hideMark/>
          </w:tcPr>
          <w:p w14:paraId="5FF32061"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16)</w:t>
            </w:r>
          </w:p>
        </w:tc>
        <w:tc>
          <w:tcPr>
            <w:tcW w:w="1342" w:type="dxa"/>
            <w:hideMark/>
          </w:tcPr>
          <w:p w14:paraId="0D2E00D5"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Head Office</w:t>
            </w:r>
          </w:p>
          <w:p w14:paraId="38E2ABD1"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6AE652DB"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23C8B">
              <w:rPr>
                <w:rFonts w:ascii="Century Gothic" w:eastAsia="Times New Roman" w:hAnsi="Century Gothic" w:cs="Calibri"/>
                <w:color w:val="000000"/>
                <w:kern w:val="0"/>
                <w:sz w:val="24"/>
                <w:szCs w:val="24"/>
                <w:lang w:eastAsia="en-GB"/>
                <w14:ligatures w14:val="none"/>
              </w:rPr>
              <w:t>Missing procurement files</w:t>
            </w:r>
          </w:p>
        </w:tc>
        <w:tc>
          <w:tcPr>
            <w:tcW w:w="1024" w:type="dxa"/>
            <w:tcBorders>
              <w:top w:val="nil"/>
              <w:left w:val="single" w:sz="4" w:space="0" w:color="auto"/>
              <w:bottom w:val="single" w:sz="4" w:space="0" w:color="000000" w:themeColor="text1"/>
              <w:right w:val="single" w:sz="4" w:space="0" w:color="auto"/>
            </w:tcBorders>
          </w:tcPr>
          <w:p w14:paraId="210584E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13</w:t>
            </w:r>
          </w:p>
        </w:tc>
        <w:tc>
          <w:tcPr>
            <w:tcW w:w="2468" w:type="dxa"/>
            <w:vMerge w:val="restart"/>
            <w:tcBorders>
              <w:top w:val="nil"/>
              <w:left w:val="nil"/>
              <w:bottom w:val="single" w:sz="4" w:space="0" w:color="auto"/>
              <w:right w:val="single" w:sz="4" w:space="0" w:color="auto"/>
            </w:tcBorders>
            <w:shd w:val="clear" w:color="auto" w:fill="FF0000"/>
            <w:hideMark/>
          </w:tcPr>
          <w:p w14:paraId="6BC8A11B"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val="en-US" w:eastAsia="en-GB"/>
                <w14:ligatures w14:val="none"/>
              </w:rPr>
              <w:t>Appropriate design but operating ineffectively</w:t>
            </w:r>
          </w:p>
          <w:p w14:paraId="0AD9671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val="en-US" w:eastAsia="en-GB"/>
                <w14:ligatures w14:val="none"/>
              </w:rPr>
              <w:t>Appropriate design but operating ineffectively</w:t>
            </w:r>
          </w:p>
          <w:p w14:paraId="5153E47F"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Appropriate design but operating ineffectively</w:t>
            </w:r>
          </w:p>
          <w:p w14:paraId="1A71B681" w14:textId="77777777" w:rsidR="001F1A06" w:rsidRPr="0077222B" w:rsidRDefault="001F1A06" w:rsidP="00E30B38">
            <w:pPr>
              <w:rPr>
                <w:rFonts w:ascii="Century Gothic" w:eastAsia="Times New Roman" w:hAnsi="Century Gothic" w:cs="Calibri"/>
                <w:sz w:val="24"/>
                <w:szCs w:val="24"/>
                <w:lang w:eastAsia="en-GB"/>
              </w:rPr>
            </w:pPr>
          </w:p>
          <w:p w14:paraId="17732897" w14:textId="77777777" w:rsidR="001F1A06" w:rsidRPr="0077222B" w:rsidRDefault="001F1A06" w:rsidP="00E30B38">
            <w:pPr>
              <w:rPr>
                <w:rFonts w:ascii="Century Gothic" w:eastAsia="Times New Roman" w:hAnsi="Century Gothic" w:cs="Calibri"/>
                <w:color w:val="000000"/>
                <w:kern w:val="0"/>
                <w:sz w:val="24"/>
                <w:szCs w:val="24"/>
                <w:lang w:eastAsia="en-GB"/>
                <w14:ligatures w14:val="none"/>
              </w:rPr>
            </w:pPr>
          </w:p>
          <w:p w14:paraId="37E8E56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17F34A1B" w14:textId="77777777" w:rsidTr="00E30B38">
        <w:trPr>
          <w:trHeight w:val="748"/>
        </w:trPr>
        <w:tc>
          <w:tcPr>
            <w:tcW w:w="1177" w:type="dxa"/>
            <w:vMerge/>
            <w:hideMark/>
          </w:tcPr>
          <w:p w14:paraId="5207596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7EFCD9F1"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4541EE7B"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tcBorders>
              <w:top w:val="nil"/>
              <w:left w:val="single" w:sz="4" w:space="0" w:color="auto"/>
              <w:bottom w:val="single" w:sz="4" w:space="0" w:color="auto"/>
              <w:right w:val="single" w:sz="4" w:space="0" w:color="auto"/>
            </w:tcBorders>
            <w:noWrap/>
            <w:hideMark/>
          </w:tcPr>
          <w:p w14:paraId="0D66CF4F"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Head Office</w:t>
            </w:r>
          </w:p>
          <w:p w14:paraId="3C2BCF6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77BFB997"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94588">
              <w:rPr>
                <w:rFonts w:ascii="Century Gothic" w:eastAsia="Times New Roman" w:hAnsi="Century Gothic" w:cs="Calibri"/>
                <w:color w:val="000000"/>
                <w:kern w:val="0"/>
                <w:sz w:val="24"/>
                <w:szCs w:val="24"/>
                <w:lang w:eastAsia="en-GB"/>
                <w14:ligatures w14:val="none"/>
              </w:rPr>
              <w:t>Failure to execute disposals of obsolete, unused and damaged items -for the period 2022-2023</w:t>
            </w:r>
          </w:p>
        </w:tc>
        <w:tc>
          <w:tcPr>
            <w:tcW w:w="1024" w:type="dxa"/>
            <w:tcBorders>
              <w:top w:val="nil"/>
              <w:left w:val="nil"/>
              <w:bottom w:val="single" w:sz="4" w:space="0" w:color="auto"/>
              <w:right w:val="nil"/>
            </w:tcBorders>
          </w:tcPr>
          <w:p w14:paraId="113FD1A4"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14</w:t>
            </w:r>
          </w:p>
        </w:tc>
        <w:tc>
          <w:tcPr>
            <w:tcW w:w="2468" w:type="dxa"/>
            <w:vMerge/>
            <w:tcBorders>
              <w:top w:val="nil"/>
              <w:left w:val="single" w:sz="4" w:space="0" w:color="auto"/>
              <w:bottom w:val="single" w:sz="4" w:space="0" w:color="000000" w:themeColor="text1"/>
              <w:right w:val="single" w:sz="4" w:space="0" w:color="auto"/>
            </w:tcBorders>
            <w:shd w:val="clear" w:color="auto" w:fill="FF0000"/>
            <w:hideMark/>
          </w:tcPr>
          <w:p w14:paraId="585A36C0"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5114D0A0" w14:textId="77777777" w:rsidTr="00E30B38">
        <w:trPr>
          <w:trHeight w:val="854"/>
        </w:trPr>
        <w:tc>
          <w:tcPr>
            <w:tcW w:w="1177" w:type="dxa"/>
            <w:vMerge/>
            <w:hideMark/>
          </w:tcPr>
          <w:p w14:paraId="6B6EA5ED"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0EE0772D"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5448B96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tcBorders>
              <w:top w:val="nil"/>
              <w:left w:val="single" w:sz="4" w:space="0" w:color="auto"/>
              <w:bottom w:val="single" w:sz="4" w:space="0" w:color="auto"/>
              <w:right w:val="single" w:sz="4" w:space="0" w:color="auto"/>
            </w:tcBorders>
            <w:hideMark/>
          </w:tcPr>
          <w:p w14:paraId="04FDD69A"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w:t>
            </w:r>
            <w:r w:rsidRPr="0077222B">
              <w:rPr>
                <w:rFonts w:ascii="Century Gothic" w:eastAsia="Times New Roman" w:hAnsi="Century Gothic" w:cs="Calibri"/>
                <w:color w:val="000000"/>
                <w:kern w:val="0"/>
                <w:sz w:val="24"/>
                <w:szCs w:val="24"/>
                <w:lang w:eastAsia="en-GB"/>
                <w14:ligatures w14:val="none"/>
              </w:rPr>
              <w:t>s</w:t>
            </w:r>
          </w:p>
        </w:tc>
        <w:tc>
          <w:tcPr>
            <w:tcW w:w="3590" w:type="dxa"/>
            <w:tcBorders>
              <w:top w:val="nil"/>
              <w:left w:val="nil"/>
              <w:bottom w:val="single" w:sz="4" w:space="0" w:color="auto"/>
              <w:right w:val="single" w:sz="4" w:space="0" w:color="auto"/>
            </w:tcBorders>
            <w:hideMark/>
          </w:tcPr>
          <w:p w14:paraId="191E832D"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429B15C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2468" w:type="dxa"/>
            <w:vMerge/>
            <w:hideMark/>
          </w:tcPr>
          <w:p w14:paraId="529FA1F3"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67955871" w14:textId="77777777" w:rsidTr="00E30B38">
        <w:trPr>
          <w:trHeight w:val="629"/>
        </w:trPr>
        <w:tc>
          <w:tcPr>
            <w:tcW w:w="1177" w:type="dxa"/>
            <w:vMerge/>
            <w:hideMark/>
          </w:tcPr>
          <w:p w14:paraId="269472CD"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2804F2CC"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60E34B28"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tcBorders>
              <w:top w:val="nil"/>
              <w:left w:val="single" w:sz="4" w:space="0" w:color="auto"/>
              <w:bottom w:val="single" w:sz="4" w:space="0" w:color="auto"/>
              <w:right w:val="single" w:sz="4" w:space="0" w:color="auto"/>
            </w:tcBorders>
            <w:noWrap/>
            <w:hideMark/>
          </w:tcPr>
          <w:p w14:paraId="0AC72F93"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1678DF6A"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361FA42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2468" w:type="dxa"/>
            <w:vMerge/>
            <w:tcBorders>
              <w:top w:val="nil"/>
              <w:left w:val="nil"/>
              <w:bottom w:val="single" w:sz="4" w:space="0" w:color="auto"/>
              <w:right w:val="single" w:sz="4" w:space="0" w:color="auto"/>
            </w:tcBorders>
            <w:shd w:val="clear" w:color="auto" w:fill="FFFF00"/>
            <w:hideMark/>
          </w:tcPr>
          <w:p w14:paraId="76E919F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6E7265F4" w14:textId="77777777" w:rsidTr="00E30B38">
        <w:trPr>
          <w:trHeight w:val="1259"/>
        </w:trPr>
        <w:tc>
          <w:tcPr>
            <w:tcW w:w="1177" w:type="dxa"/>
            <w:tcBorders>
              <w:top w:val="nil"/>
              <w:left w:val="single" w:sz="4" w:space="0" w:color="auto"/>
              <w:bottom w:val="single" w:sz="4" w:space="0" w:color="auto"/>
              <w:right w:val="single" w:sz="4" w:space="0" w:color="auto"/>
            </w:tcBorders>
            <w:noWrap/>
            <w:hideMark/>
          </w:tcPr>
          <w:p w14:paraId="676EC6E2"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R3</w:t>
            </w:r>
          </w:p>
        </w:tc>
        <w:tc>
          <w:tcPr>
            <w:tcW w:w="3245" w:type="dxa"/>
            <w:tcBorders>
              <w:top w:val="nil"/>
              <w:left w:val="nil"/>
              <w:bottom w:val="single" w:sz="4" w:space="0" w:color="auto"/>
              <w:right w:val="single" w:sz="4" w:space="0" w:color="auto"/>
            </w:tcBorders>
            <w:hideMark/>
          </w:tcPr>
          <w:p w14:paraId="1FD0B228"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Lack of inhouse technical expertise on some critical </w:t>
            </w:r>
            <w:r>
              <w:rPr>
                <w:rFonts w:ascii="Century Gothic" w:eastAsia="Times New Roman" w:hAnsi="Century Gothic" w:cs="Calibri"/>
                <w:color w:val="000000"/>
                <w:kern w:val="0"/>
                <w:sz w:val="24"/>
                <w:szCs w:val="24"/>
                <w:lang w:eastAsia="en-GB"/>
                <w14:ligatures w14:val="none"/>
              </w:rPr>
              <w:t>asset</w:t>
            </w:r>
            <w:r w:rsidRPr="0077222B">
              <w:rPr>
                <w:rFonts w:ascii="Century Gothic" w:eastAsia="Times New Roman" w:hAnsi="Century Gothic" w:cs="Calibri"/>
                <w:color w:val="000000"/>
                <w:kern w:val="0"/>
                <w:sz w:val="24"/>
                <w:szCs w:val="24"/>
                <w:lang w:eastAsia="en-GB"/>
                <w14:ligatures w14:val="none"/>
              </w:rPr>
              <w:t xml:space="preserve"> for example </w:t>
            </w:r>
            <w:r>
              <w:rPr>
                <w:rFonts w:ascii="Century Gothic" w:eastAsia="Times New Roman" w:hAnsi="Century Gothic" w:cs="Calibri"/>
                <w:color w:val="000000"/>
                <w:kern w:val="0"/>
                <w:sz w:val="24"/>
                <w:szCs w:val="24"/>
                <w:lang w:eastAsia="en-GB"/>
                <w14:ligatures w14:val="none"/>
              </w:rPr>
              <w:t>Impact Report Mapping system</w:t>
            </w:r>
          </w:p>
        </w:tc>
        <w:tc>
          <w:tcPr>
            <w:tcW w:w="1674" w:type="dxa"/>
            <w:tcBorders>
              <w:top w:val="nil"/>
              <w:left w:val="single" w:sz="4" w:space="0" w:color="124F1A" w:themeColor="accent3" w:themeShade="BF"/>
              <w:bottom w:val="single" w:sz="4" w:space="0" w:color="124F1A" w:themeColor="accent3" w:themeShade="BF"/>
              <w:right w:val="single" w:sz="4" w:space="0" w:color="124F1A" w:themeColor="accent3" w:themeShade="BF"/>
            </w:tcBorders>
            <w:shd w:val="clear" w:color="auto" w:fill="FF0000"/>
            <w:noWrap/>
            <w:hideMark/>
          </w:tcPr>
          <w:p w14:paraId="244F6B25"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16)</w:t>
            </w:r>
          </w:p>
        </w:tc>
        <w:tc>
          <w:tcPr>
            <w:tcW w:w="1342" w:type="dxa"/>
            <w:tcBorders>
              <w:top w:val="nil"/>
              <w:left w:val="single" w:sz="4" w:space="0" w:color="auto"/>
              <w:bottom w:val="single" w:sz="4" w:space="0" w:color="000000" w:themeColor="text1"/>
              <w:right w:val="single" w:sz="4" w:space="0" w:color="auto"/>
            </w:tcBorders>
            <w:noWrap/>
          </w:tcPr>
          <w:p w14:paraId="15CE3047"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w:t>
            </w:r>
            <w:r w:rsidRPr="0077222B">
              <w:rPr>
                <w:rFonts w:ascii="Century Gothic" w:eastAsia="Times New Roman" w:hAnsi="Century Gothic" w:cs="Calibri"/>
                <w:color w:val="000000"/>
                <w:kern w:val="0"/>
                <w:sz w:val="24"/>
                <w:szCs w:val="24"/>
                <w:lang w:eastAsia="en-GB"/>
                <w14:ligatures w14:val="none"/>
              </w:rPr>
              <w:t>s</w:t>
            </w:r>
          </w:p>
        </w:tc>
        <w:tc>
          <w:tcPr>
            <w:tcW w:w="3590" w:type="dxa"/>
            <w:tcBorders>
              <w:top w:val="nil"/>
              <w:left w:val="nil"/>
              <w:bottom w:val="single" w:sz="4" w:space="0" w:color="auto"/>
              <w:right w:val="single" w:sz="4" w:space="0" w:color="auto"/>
            </w:tcBorders>
          </w:tcPr>
          <w:p w14:paraId="221ED25C"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single" w:sz="4" w:space="0" w:color="auto"/>
              <w:bottom w:val="single" w:sz="4" w:space="0" w:color="000000" w:themeColor="text1"/>
              <w:right w:val="single" w:sz="4" w:space="0" w:color="auto"/>
            </w:tcBorders>
          </w:tcPr>
          <w:p w14:paraId="1378E09A"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val="en-US" w:eastAsia="en-GB"/>
                <w14:ligatures w14:val="none"/>
              </w:rPr>
            </w:pPr>
          </w:p>
        </w:tc>
        <w:tc>
          <w:tcPr>
            <w:tcW w:w="2468" w:type="dxa"/>
            <w:tcBorders>
              <w:top w:val="nil"/>
              <w:left w:val="nil"/>
              <w:bottom w:val="single" w:sz="4" w:space="0" w:color="auto"/>
              <w:right w:val="single" w:sz="4" w:space="0" w:color="auto"/>
            </w:tcBorders>
            <w:shd w:val="clear" w:color="auto" w:fill="FF0000"/>
          </w:tcPr>
          <w:p w14:paraId="1F4D2ADF"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016A3270" w14:textId="77777777" w:rsidTr="00E30B38">
        <w:trPr>
          <w:trHeight w:val="677"/>
        </w:trPr>
        <w:tc>
          <w:tcPr>
            <w:tcW w:w="1177" w:type="dxa"/>
            <w:vMerge w:val="restart"/>
            <w:tcBorders>
              <w:top w:val="nil"/>
              <w:left w:val="single" w:sz="4" w:space="0" w:color="auto"/>
              <w:bottom w:val="single" w:sz="4" w:space="0" w:color="000000" w:themeColor="text1"/>
              <w:right w:val="single" w:sz="4" w:space="0" w:color="auto"/>
            </w:tcBorders>
            <w:noWrap/>
            <w:hideMark/>
          </w:tcPr>
          <w:p w14:paraId="35BE43A4"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lastRenderedPageBreak/>
              <w:t>R</w:t>
            </w:r>
            <w:r>
              <w:rPr>
                <w:rFonts w:ascii="Century Gothic" w:eastAsia="Times New Roman" w:hAnsi="Century Gothic" w:cs="Calibri"/>
                <w:color w:val="000000"/>
                <w:kern w:val="0"/>
                <w:sz w:val="24"/>
                <w:szCs w:val="24"/>
                <w:lang w:eastAsia="en-GB"/>
                <w14:ligatures w14:val="none"/>
              </w:rPr>
              <w:t>4</w:t>
            </w:r>
          </w:p>
        </w:tc>
        <w:tc>
          <w:tcPr>
            <w:tcW w:w="3245" w:type="dxa"/>
            <w:vMerge w:val="restart"/>
            <w:tcBorders>
              <w:top w:val="nil"/>
              <w:left w:val="single" w:sz="4" w:space="0" w:color="auto"/>
              <w:bottom w:val="single" w:sz="4" w:space="0" w:color="000000" w:themeColor="text1"/>
              <w:right w:val="single" w:sz="4" w:space="0" w:color="auto"/>
            </w:tcBorders>
            <w:hideMark/>
          </w:tcPr>
          <w:p w14:paraId="5F35CA1C"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Delays in purchase and delivery of maintenance related services, spares and equipment which results in loss of time and money, and compromise safety and security (in case of CCTV) of operations </w:t>
            </w:r>
          </w:p>
        </w:tc>
        <w:tc>
          <w:tcPr>
            <w:tcW w:w="1674" w:type="dxa"/>
            <w:tcBorders>
              <w:top w:val="nil"/>
              <w:left w:val="single" w:sz="4" w:space="0" w:color="124F1A" w:themeColor="accent3" w:themeShade="BF"/>
              <w:bottom w:val="single" w:sz="4" w:space="0" w:color="124F1A" w:themeColor="accent3" w:themeShade="BF"/>
              <w:right w:val="single" w:sz="4" w:space="0" w:color="auto"/>
            </w:tcBorders>
            <w:shd w:val="clear" w:color="auto" w:fill="FF0000"/>
            <w:noWrap/>
            <w:hideMark/>
          </w:tcPr>
          <w:p w14:paraId="2D9784B7"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20l)</w:t>
            </w:r>
          </w:p>
        </w:tc>
        <w:tc>
          <w:tcPr>
            <w:tcW w:w="1342" w:type="dxa"/>
            <w:vMerge w:val="restart"/>
            <w:tcBorders>
              <w:top w:val="nil"/>
              <w:left w:val="single" w:sz="4" w:space="0" w:color="auto"/>
              <w:bottom w:val="single" w:sz="4" w:space="0" w:color="auto"/>
              <w:right w:val="single" w:sz="4" w:space="0" w:color="auto"/>
            </w:tcBorders>
            <w:noWrap/>
          </w:tcPr>
          <w:p w14:paraId="28CB3394"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tcPr>
          <w:p w14:paraId="1686791A"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3FE0A719"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val="en-US" w:eastAsia="en-GB"/>
                <w14:ligatures w14:val="none"/>
              </w:rPr>
            </w:pPr>
          </w:p>
        </w:tc>
        <w:tc>
          <w:tcPr>
            <w:tcW w:w="2468" w:type="dxa"/>
            <w:vMerge w:val="restart"/>
            <w:tcBorders>
              <w:top w:val="nil"/>
              <w:left w:val="single" w:sz="4" w:space="0" w:color="auto"/>
              <w:bottom w:val="single" w:sz="4" w:space="0" w:color="000000" w:themeColor="text1"/>
              <w:right w:val="single" w:sz="4" w:space="0" w:color="auto"/>
            </w:tcBorders>
            <w:shd w:val="clear" w:color="auto" w:fill="FF0000"/>
          </w:tcPr>
          <w:p w14:paraId="28773CF4"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1F1A06" w:rsidRPr="0077222B" w14:paraId="67175375" w14:textId="77777777" w:rsidTr="00E30B38">
        <w:trPr>
          <w:trHeight w:val="944"/>
        </w:trPr>
        <w:tc>
          <w:tcPr>
            <w:tcW w:w="1177" w:type="dxa"/>
            <w:vMerge/>
            <w:tcBorders>
              <w:left w:val="single" w:sz="4" w:space="0" w:color="auto"/>
              <w:bottom w:val="single" w:sz="4" w:space="0" w:color="auto"/>
            </w:tcBorders>
            <w:hideMark/>
          </w:tcPr>
          <w:p w14:paraId="621DA556"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tcBorders>
              <w:bottom w:val="single" w:sz="4" w:space="0" w:color="auto"/>
            </w:tcBorders>
            <w:hideMark/>
          </w:tcPr>
          <w:p w14:paraId="265CCC5B"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tcBorders>
              <w:top w:val="nil"/>
              <w:left w:val="single" w:sz="4" w:space="0" w:color="124F1A" w:themeColor="accent3" w:themeShade="BF"/>
              <w:bottom w:val="single" w:sz="4" w:space="0" w:color="auto"/>
              <w:right w:val="nil"/>
            </w:tcBorders>
            <w:shd w:val="clear" w:color="auto" w:fill="FF0000"/>
            <w:noWrap/>
            <w:hideMark/>
          </w:tcPr>
          <w:p w14:paraId="51188484"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w:t>
            </w:r>
          </w:p>
        </w:tc>
        <w:tc>
          <w:tcPr>
            <w:tcW w:w="1342" w:type="dxa"/>
            <w:vMerge/>
            <w:tcBorders>
              <w:top w:val="nil"/>
              <w:left w:val="single" w:sz="4" w:space="0" w:color="auto"/>
              <w:bottom w:val="single" w:sz="4" w:space="0" w:color="auto"/>
              <w:right w:val="single" w:sz="4" w:space="0" w:color="auto"/>
            </w:tcBorders>
          </w:tcPr>
          <w:p w14:paraId="34A0A467"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tcPr>
          <w:p w14:paraId="11CFE534"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6F98B0F0"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2468" w:type="dxa"/>
            <w:vMerge/>
          </w:tcPr>
          <w:p w14:paraId="4FC8D81B" w14:textId="77777777" w:rsidR="001F1A06" w:rsidRPr="0077222B" w:rsidRDefault="001F1A06" w:rsidP="00E30B38">
            <w:pPr>
              <w:spacing w:after="0" w:line="240" w:lineRule="auto"/>
              <w:jc w:val="both"/>
              <w:rPr>
                <w:rFonts w:ascii="Century Gothic" w:eastAsia="Times New Roman" w:hAnsi="Century Gothic" w:cs="Calibri"/>
                <w:color w:val="000000"/>
                <w:kern w:val="0"/>
                <w:sz w:val="24"/>
                <w:szCs w:val="24"/>
                <w:lang w:eastAsia="en-GB"/>
                <w14:ligatures w14:val="none"/>
              </w:rPr>
            </w:pPr>
          </w:p>
        </w:tc>
      </w:tr>
    </w:tbl>
    <w:p w14:paraId="1E6E9D76" w14:textId="77777777" w:rsidR="00335930" w:rsidRDefault="00335930"/>
    <w:sectPr w:rsidR="00335930" w:rsidSect="001F1A0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06"/>
    <w:rsid w:val="001018E3"/>
    <w:rsid w:val="001F1A06"/>
    <w:rsid w:val="00335930"/>
    <w:rsid w:val="00AC70D2"/>
    <w:rsid w:val="00F2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E977"/>
  <w15:chartTrackingRefBased/>
  <w15:docId w15:val="{BD2EF051-E536-4D3E-A511-2D3FA5A5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06"/>
    <w:pPr>
      <w:spacing w:line="259" w:lineRule="auto"/>
    </w:pPr>
    <w:rPr>
      <w:sz w:val="22"/>
      <w:szCs w:val="22"/>
      <w:lang w:val="en-GB"/>
    </w:rPr>
  </w:style>
  <w:style w:type="paragraph" w:styleId="Heading1">
    <w:name w:val="heading 1"/>
    <w:basedOn w:val="Normal"/>
    <w:next w:val="Normal"/>
    <w:link w:val="Heading1Char"/>
    <w:uiPriority w:val="9"/>
    <w:qFormat/>
    <w:rsid w:val="001F1A0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1F1A0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1F1A06"/>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1F1A06"/>
    <w:pPr>
      <w:keepNext/>
      <w:keepLines/>
      <w:spacing w:before="80" w:after="40" w:line="278" w:lineRule="auto"/>
      <w:outlineLvl w:val="3"/>
    </w:pPr>
    <w:rPr>
      <w:rFonts w:eastAsiaTheme="majorEastAsia"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1F1A06"/>
    <w:pPr>
      <w:keepNext/>
      <w:keepLines/>
      <w:spacing w:before="80" w:after="40" w:line="278" w:lineRule="auto"/>
      <w:outlineLvl w:val="4"/>
    </w:pPr>
    <w:rPr>
      <w:rFonts w:eastAsiaTheme="majorEastAsia"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1F1A06"/>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1F1A06"/>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1F1A06"/>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1F1A06"/>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A06"/>
    <w:rPr>
      <w:rFonts w:eastAsiaTheme="majorEastAsia" w:cstheme="majorBidi"/>
      <w:color w:val="272727" w:themeColor="text1" w:themeTint="D8"/>
    </w:rPr>
  </w:style>
  <w:style w:type="paragraph" w:styleId="Title">
    <w:name w:val="Title"/>
    <w:basedOn w:val="Normal"/>
    <w:next w:val="Normal"/>
    <w:link w:val="TitleChar"/>
    <w:uiPriority w:val="10"/>
    <w:qFormat/>
    <w:rsid w:val="001F1A06"/>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F1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A06"/>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1F1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A06"/>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1F1A06"/>
    <w:rPr>
      <w:i/>
      <w:iCs/>
      <w:color w:val="404040" w:themeColor="text1" w:themeTint="BF"/>
    </w:rPr>
  </w:style>
  <w:style w:type="paragraph" w:styleId="ListParagraph">
    <w:name w:val="List Paragraph"/>
    <w:basedOn w:val="Normal"/>
    <w:uiPriority w:val="34"/>
    <w:qFormat/>
    <w:rsid w:val="001F1A06"/>
    <w:pPr>
      <w:spacing w:line="278" w:lineRule="auto"/>
      <w:ind w:left="720"/>
      <w:contextualSpacing/>
    </w:pPr>
    <w:rPr>
      <w:sz w:val="24"/>
      <w:szCs w:val="24"/>
      <w:lang w:val="en-US"/>
    </w:rPr>
  </w:style>
  <w:style w:type="character" w:styleId="IntenseEmphasis">
    <w:name w:val="Intense Emphasis"/>
    <w:basedOn w:val="DefaultParagraphFont"/>
    <w:uiPriority w:val="21"/>
    <w:qFormat/>
    <w:rsid w:val="001F1A06"/>
    <w:rPr>
      <w:i/>
      <w:iCs/>
      <w:color w:val="0F4761" w:themeColor="accent1" w:themeShade="BF"/>
    </w:rPr>
  </w:style>
  <w:style w:type="paragraph" w:styleId="IntenseQuote">
    <w:name w:val="Intense Quote"/>
    <w:basedOn w:val="Normal"/>
    <w:next w:val="Normal"/>
    <w:link w:val="IntenseQuoteChar"/>
    <w:uiPriority w:val="30"/>
    <w:qFormat/>
    <w:rsid w:val="001F1A0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1F1A06"/>
    <w:rPr>
      <w:i/>
      <w:iCs/>
      <w:color w:val="0F4761" w:themeColor="accent1" w:themeShade="BF"/>
    </w:rPr>
  </w:style>
  <w:style w:type="character" w:styleId="IntenseReference">
    <w:name w:val="Intense Reference"/>
    <w:basedOn w:val="DefaultParagraphFont"/>
    <w:uiPriority w:val="32"/>
    <w:qFormat/>
    <w:rsid w:val="001F1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Ogih</dc:creator>
  <cp:keywords/>
  <dc:description/>
  <cp:lastModifiedBy>Gabriel Ogih</cp:lastModifiedBy>
  <cp:revision>1</cp:revision>
  <dcterms:created xsi:type="dcterms:W3CDTF">2025-08-21T11:28:00Z</dcterms:created>
  <dcterms:modified xsi:type="dcterms:W3CDTF">2025-08-21T11:30:00Z</dcterms:modified>
</cp:coreProperties>
</file>