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Risk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Rating</w:t>
            </w:r>
          </w:p>
        </w:tc>
        <w:tc>
          <w:tcPr>
            <w:tcW w:type="dxa" w:w="1234"/>
          </w:tcPr>
          <w:p>
            <w:r>
              <w:t>Site</w:t>
            </w:r>
          </w:p>
        </w:tc>
        <w:tc>
          <w:tcPr>
            <w:tcW w:type="dxa" w:w="1234"/>
          </w:tcPr>
          <w:p>
            <w:r>
              <w:t>Finding</w:t>
            </w:r>
          </w:p>
        </w:tc>
        <w:tc>
          <w:tcPr>
            <w:tcW w:type="dxa" w:w="1234"/>
          </w:tcPr>
          <w:p>
            <w:r>
              <w:t>Ref</w:t>
            </w:r>
          </w:p>
        </w:tc>
        <w:tc>
          <w:tcPr>
            <w:tcW w:type="dxa" w:w="1234"/>
          </w:tcPr>
          <w:p>
            <w:r>
              <w:t>Opinion</w:t>
            </w:r>
          </w:p>
        </w:tc>
      </w:tr>
      <w:tr>
        <w:tc>
          <w:tcPr>
            <w:tcW w:type="dxa" w:w="1234"/>
            <w:vMerge w:val="restart"/>
          </w:tcPr>
          <w:p>
            <w:r>
              <w:t>R1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1234"/>
            <w:vMerge w:val="restart"/>
          </w:tcPr>
          <w:p>
            <w:r>
              <w:t>Non-adherence to approved Preventive Maintenance Plan (PMP)...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1234"/>
            <w:vMerge w:val="restart"/>
          </w:tcPr>
          <w:p>
            <w:r>
              <w:t>VH(16)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1234"/>
            <w:vMerge w:val="restart"/>
          </w:tcPr>
          <w:p>
            <w:r>
              <w:t>Nairobi</w:t>
            </w:r>
          </w:p>
          <w:p>
            <w:r/>
          </w:p>
        </w:tc>
        <w:tc>
          <w:tcPr>
            <w:tcW w:type="dxa" w:w="1234"/>
          </w:tcPr>
          <w:p>
            <w:r>
              <w:t>No preventive maintenance...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Inadequate design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Lack of equipment register...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Appropriate design but operating ineffectively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 w:val="restart"/>
          </w:tcPr>
          <w:p>
            <w:r>
              <w:t>Head Office</w:t>
            </w:r>
          </w:p>
          <w:p>
            <w:r/>
          </w:p>
        </w:tc>
        <w:tc>
          <w:tcPr>
            <w:tcW w:type="dxa" w:w="1234"/>
          </w:tcPr>
          <w:p>
            <w:r>
              <w:t>No proper training schedule...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Appropriate design but operating ineffectively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Underutilisation of SAP maintenance modules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