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rId29.png" ContentType="image/png"/>
  <Override PartName="/word/media/rId44.png" ContentType="image/png"/>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umbrella project documentation</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31" w:name="firstheader"/>
    <w:p>
      <w:pPr>
        <w:pStyle w:val="Heading1"/>
      </w:pPr>
      <w:r>
        <w:t xml:space="preserve">Mental Health Evaluation through Text Analysis: umbrella project documentation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drawing>
                <wp:inline>
                  <wp:extent cx="1714500" cy="434450"/>
                  <wp:effectExtent b="0" l="0" r="0" t="0"/>
                  <wp:docPr descr="" title="" id="27" name="Picture"/>
                  <a:graphic>
                    <a:graphicData uri="http://schemas.openxmlformats.org/drawingml/2006/picture">
                      <pic:pic>
                        <pic:nvPicPr>
                          <pic:cNvPr descr="reports/Logo_RUBRS.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1714500" cy="434450"/>
                          </a:xfrm>
                          <a:prstGeom prst="rect">
                            <a:avLst/>
                          </a:prstGeom>
                          <a:noFill/>
                          <a:ln w="9525">
                            <a:noFill/>
                            <a:headEnd/>
                            <a:tailEnd/>
                          </a:ln>
                        </pic:spPr>
                      </pic:pic>
                    </a:graphicData>
                  </a:graphic>
                </wp:inline>
              </w:drawing>
            </w:r>
          </w:p>
          <w:p>
            <w:pPr>
              <w:pStyle w:val="BodyText"/>
            </w:pPr>
            <w:pPr>
              <w:spacing w:after="16"/>
            </w:pPr>
            <w:r>
              <w:t xml:space="preserve">This project is supported by the</w:t>
            </w:r>
            <w:r>
              <w:t xml:space="preserve"> </w:t>
            </w:r>
            <w:hyperlink r:id="rId30">
              <w:r>
                <w:rPr>
                  <w:rStyle w:val="Hyperlink"/>
                </w:rPr>
                <w:t xml:space="preserve">Ruhr University Bochum Research School</w:t>
              </w:r>
            </w:hyperlink>
            <w:r>
              <w:t xml:space="preserve">.</w:t>
            </w:r>
          </w:p>
          <w:p/>
        </w:tc>
      </w:tr>
    </w:tbl>
    <w:bookmarkEnd w:id="31"/>
    <w:bookmarkStart w:id="32"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assessment practices largely rely on standardized closed-ended scales that, while reliable, may fail to capture the complexity, context and individuality of patients’ mental states. Advances in artificial intelligence (AI) and natural language processing (NLP) enable the measurement of psychological constructs through natural language, offering a promising complement to traditional assessment methods by leveraging patients’ own descriptions of their experiences.</w:t>
      </w:r>
    </w:p>
    <w:p>
      <w:pPr>
        <w:pStyle w:val="BodyText"/>
      </w:pPr>
      <w:r>
        <w:t xml:space="preserve">While previous NLP-based mental health research has primarily focused on social media language, this project applies state-of-the-art large language models (LLMs) to open-ended intake data from a German outpatient psychotherapy clinic. Before therapy, patients describe the development, context, and perceived causes of their problems, as well as their current difficulties and therapy goals, in their own words. These texts are linked to key clinical measures, including diagnoses, symptom severity, functional impairment, and treatment outcomes, providing an ecologically valid resource for studying language-based assessment in real-world clinical settings.</w:t>
      </w:r>
    </w:p>
    <w:p>
      <w:pPr>
        <w:pStyle w:val="BodyText"/>
      </w:pPr>
      <w:r>
        <w:t xml:space="preserve">The project comprises three complementary substudies. First, we examine whether patient language at intake reflects cross-sectional symptom severity and clinician-rated impairment and whether it provides incremental information beyond established self-report questionnaires. Second, we conduct a narrative and thematic analysis of patient responses to different open-ended prompts to characterize recurring themes and selective response patterns in how patients make sense of their mental health problems. Third, we evaluate whether pre-therapy language predicts longitudinal treatment outcomes, including global improvement and individualized goal attainment, beyond baseline symptom measures.</w:t>
      </w:r>
    </w:p>
    <w:p>
      <w:pPr>
        <w:pStyle w:val="BodyText"/>
      </w:pPr>
      <w:r>
        <w:t xml:space="preserve">Together, these studies aim to clarify how patient-generated language can be used for assessment, interpretation, and prognosis in psychotherapy. The findings are intended to inform the development of clinically meaningful, language-based assessment tools that support personalized care and contribute to the modernization of mental health evaluation.</w:t>
      </w:r>
    </w:p>
    <w:bookmarkEnd w:id="32"/>
    <w:bookmarkStart w:id="33"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Recent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present promising solutions to these limitations</w:t>
      </w:r>
      <w:r>
        <w:t xml:space="preserve"> </w:t>
      </w:r>
      <w:r>
        <w:t xml:space="preserve">(</w:t>
      </w:r>
      <w:hyperlink w:anchor="ref-Kjell2024">
        <w:r>
          <w:rPr>
            <w:rStyle w:val="Hyperlink"/>
          </w:rPr>
          <w:t xml:space="preserve">Kjell, Kjell, et al., 2024</w:t>
        </w:r>
      </w:hyperlink>
      <w:r>
        <w:t xml:space="preserve">)</w:t>
      </w:r>
      <w:r>
        <w:t xml:space="preserve">. LLMs excel in analyzing context-rich natural language with remarkable accuracy across diverse tasks</w:t>
      </w:r>
      <w:r>
        <w:t xml:space="preserve"> </w:t>
      </w:r>
      <w:r>
        <w:t xml:space="preserve">(</w:t>
      </w:r>
      <w:hyperlink w:anchor="ref-devlin-etal-2019-bert">
        <w:r>
          <w:rPr>
            <w:rStyle w:val="Hyperlink"/>
          </w:rPr>
          <w:t xml:space="preserve">Devlin et al., 2019</w:t>
        </w:r>
      </w:hyperlink>
      <w:r>
        <w:t xml:space="preserve">)</w:t>
      </w:r>
      <w:r>
        <w:t xml:space="preserve">. Open-ended response formats, where patients describe their experiences in their own words, provide high-dimensional, context-rich information that remains underutilized in current assessment practices. Empirical studies highlight the potential of NLP-based analysis of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 Preliminary research also highlights their potential for predicting clinically significant outcomes, including suicide risk</w:t>
      </w:r>
      <w:r>
        <w:t xml:space="preserve"> </w:t>
      </w:r>
      <w:r>
        <w:t xml:space="preserve">(</w:t>
      </w:r>
      <w:hyperlink w:anchor="ref-matero-etal-2019-suicide">
        <w:r>
          <w:rPr>
            <w:rStyle w:val="Hyperlink"/>
          </w:rPr>
          <w:t xml:space="preserve">Matero et al., 2019</w:t>
        </w:r>
      </w:hyperlink>
      <w:r>
        <w:t xml:space="preserve">;</w:t>
      </w:r>
      <w:r>
        <w:t xml:space="preserve"> </w:t>
      </w:r>
      <w:hyperlink w:anchor="ref-mohammadi-etal-2019-clac-clpsych">
        <w:r>
          <w:rPr>
            <w:rStyle w:val="Hyperlink"/>
          </w:rPr>
          <w:t xml:space="preserve">Mohammadi et al., 2019</w:t>
        </w:r>
      </w:hyperlink>
      <w:r>
        <w:t xml:space="preserve">;</w:t>
      </w:r>
      <w:r>
        <w:t xml:space="preserve"> </w:t>
      </w:r>
      <w:hyperlink w:anchor="ref-zirikly-etal-2019-clpsych">
        <w:r>
          <w:rPr>
            <w:rStyle w:val="Hyperlink"/>
          </w:rPr>
          <w:t xml:space="preserve">Zirikly et al., 2019</w:t>
        </w:r>
      </w:hyperlink>
      <w:r>
        <w:t xml:space="preserve">)</w:t>
      </w:r>
      <w:r>
        <w:t xml:space="preserve">.</w:t>
      </w:r>
    </w:p>
    <w:p>
      <w:pPr>
        <w:pStyle w:val="BodyText"/>
      </w:pPr>
      <w:r>
        <w:t xml:space="preserve">However, much of the existing literature relies on social media or non-clinical text data, raising concerns about ecological validity and clinical relevance. In contrast, open-ended patient responses are routinely collected in clinical settings as part of pre-therapy intake procedures but remain largely underused in empirical research. At the Mental Health Research and Treatment Center at Ruhr University Bochum, patients respond to multiple prompts addressing the development and context of their problems, perceived causes, social reactions, current difficulties, and therapy goals. These narratives are linked to structured diagnostic interviews, repeated symptom assessments, clinician ratings, and longitudinal outcome measures. This unique, large-scale, and longitudinal clinical dataset enables a comprehensive examination of patient language across multiple analytic perspectives.</w:t>
      </w:r>
    </w:p>
    <w:p>
      <w:pPr>
        <w:pStyle w:val="BodyText"/>
      </w:pPr>
      <w:r>
        <w:t xml:space="preserve">Accordingly, the present project is organized into three complementary substudies. The first investigates whether pre-therapy language reflects cross-sectional symptom severity and clinician-rated impairment and whether language-based representations provide incremental information beyond standardized self-report questionnaires. The second focuses on the semantic content and structure of patient narratives, using question-specific analyses to identify recurring themes and selective response patterns in how patients conceptualize their mental health problems. The third evaluates the prognostic value of pre-therapy language by testing whether patient narratives predict treatment response and individualized goal attainment over time, beyond baseline symptom severity.</w:t>
      </w:r>
    </w:p>
    <w:p>
      <w:pPr>
        <w:pStyle w:val="BodyText"/>
      </w:pPr>
      <w:r>
        <w:t xml:space="preserve">By integrating assessment, interpretive, and prognostic perspectives, this project aims to advance the clinical use of natural language in psychotherapy. Ultimately, the findings seek to support more nuanced, patient-centered assessment practices and contribute to the development of language-based tools that complement existing diagnostic frameworks and inform personalized treatment planning.</w:t>
      </w:r>
    </w:p>
    <w:bookmarkEnd w:id="33"/>
    <w:bookmarkStart w:id="49" w:name="shared-methods"/>
    <w:p>
      <w:pPr>
        <w:pStyle w:val="Heading1"/>
      </w:pPr>
      <w:r>
        <w:t xml:space="preserve">Shared Methods</w:t>
      </w:r>
    </w:p>
    <w:p>
      <w:pPr>
        <w:pStyle w:val="FirstParagraph"/>
      </w:pPr>
      <w:r>
        <w:t xml:space="preserve">All substudies draw on the same clinical cohort and share a common set of intake and outcome variables. The shared dataset comprises (a) pre-therapy intake data, including sociodemographics, standardized psychometric questionnaires, and question-specific open-ended patient narratives, and (b) longitudinal clinical measures collected repeatedly during and after treatment. Textual analyses are based exclusively on pre-therapy narratives, while psychometric and clinician-rated measures are used as cross-sectional outcomes, covariates, or longitudinal endpoints depending on the substudy.</w:t>
      </w:r>
    </w:p>
    <w:p>
      <w:pPr>
        <w:pStyle w:val="BodyText"/>
      </w:pPr>
      <w:r>
        <w:t xml:space="preserve">The following sections describe the shared dataset, preprocessing pipeline, and measurement instruments used across all substudies.</w:t>
      </w:r>
    </w:p>
    <w:bookmarkStart w:id="39" w:name="measures"/>
    <w:p>
      <w:pPr>
        <w:pStyle w:val="Heading2"/>
      </w:pPr>
      <w:r>
        <w:t xml:space="preserve">Measures</w:t>
      </w:r>
    </w:p>
    <w:bookmarkStart w:id="34" w:name="sociodemographic-and-context-measures"/>
    <w:p>
      <w:pPr>
        <w:pStyle w:val="Heading3"/>
      </w:pPr>
      <w:r>
        <w:t xml:space="preserve">Sociodemographic and context measures</w:t>
      </w:r>
    </w:p>
    <w:p>
      <w:pPr>
        <w:pStyle w:val="FirstParagraph"/>
      </w:pPr>
      <w:r>
        <w:t xml:space="preserve">Sociodemographic information included age, sex, marital and relationship status, general educational attainment, vocational qualification, and current work ability. Contextual variables captured prior psychological or psychiatric treatment and the manner in which therapy ended (e.g., regular completion, dropout).</w:t>
      </w:r>
    </w:p>
    <w:bookmarkEnd w:id="34"/>
    <w:bookmarkStart w:id="35"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10–12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(german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(german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(german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(german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(german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(german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(german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(german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(german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(german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(german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(german original question: „Was möchten Sie in der Therapie für sich erreichen?“)</w:t>
      </w:r>
    </w:p>
    <w:p>
      <w:pPr>
        <w:pStyle w:val="FirstParagraph"/>
      </w:pPr>
      <w:r>
        <w:t xml:space="preserve">To characterize engagement and heterogeneity in responses to the open-ended intake questions, we computed descriptive statistics for each question, including response length and an entropy-based diversity index</w:t>
      </w:r>
      <w:r>
        <w:t xml:space="preserve"> </w:t>
      </w:r>
      <w:r>
        <w:t xml:space="preserve">(</w:t>
      </w:r>
      <w:hyperlink w:anchor="ref-shannon1948mathematical">
        <w:r>
          <w:rPr>
            <w:rStyle w:val="Hyperlink"/>
          </w:rPr>
          <w:t xml:space="preserve">Shannon, 1948</w:t>
        </w:r>
      </w:hyperlink>
      <w:r>
        <w:t xml:space="preserve">)</w:t>
      </w:r>
      <w:r>
        <w:t xml:space="preserve">. Responses were pooled across participants for each question and tokenized into word types. Shannon entropy was computed over the resulting word probability distribution and transformed into an effective diversity measure, representing the effective number of equally frequent word types elicited by each question. Whereas word count reflects the quantity of text produced, the diversity index captures the dispersion of lexical content across respondents and provides a complementary indicator of how strongly different question constrain or open the response space.</w:t>
      </w:r>
    </w:p>
    <w:bookmarkEnd w:id="35"/>
    <w:bookmarkStart w:id="36"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 </w:t>
      </w:r>
      <w:r>
        <w:rPr>
          <w:i/>
          <w:iCs/>
        </w:rPr>
        <w:t xml:space="preserve">Beck Depression Inventory–II</w:t>
      </w:r>
      <w:r>
        <w:t xml:space="preserve"> </w:t>
      </w:r>
      <w:r>
        <w:t xml:space="preserve">(BDI-II;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General psychological distress was assessed using the</w:t>
      </w:r>
      <w:r>
        <w:t xml:space="preserve"> </w:t>
      </w:r>
      <w:r>
        <w:rPr>
          <w:i/>
          <w:iCs/>
        </w:rPr>
        <w:t xml:space="preserve">Depression Anxiety Stress Scales–42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XXX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w:t>
      </w:r>
      <w:r>
        <w:t xml:space="preserve"> </w:t>
      </w:r>
      <w:r>
        <w:rPr>
          <w:i/>
          <w:iCs/>
        </w:rPr>
        <w:t xml:space="preserve">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w:t>
      </w:r>
      <w:r>
        <w:t xml:space="preserve"> </w:t>
      </w:r>
      <w:r>
        <w:t xml:space="preserve">(</w:t>
      </w:r>
      <w:hyperlink w:anchor="ref-bernstein2003">
        <w:r>
          <w:rPr>
            <w:rStyle w:val="Hyperlink"/>
          </w:rPr>
          <w:t xml:space="preserve">Bernstein et al., 2003</w:t>
        </w:r>
      </w:hyperlink>
      <w:r>
        <w:t xml:space="preserve">)</w:t>
      </w:r>
      <w:r>
        <w:t xml:space="preserve">, a widely used self-report instrument for the retrospective assessment of childhood maltreatment. The CTQ measures five domains of adverse experiences: emotional abuse, physical abuse, sexual abuse, emotional neglect, and physical neglect. Items are rated on a 5-point Likert scale ranging from 1 (</w:t>
      </w:r>
      <w:r>
        <w:t xml:space="preserve">“not at all”</w:t>
      </w:r>
      <w:r>
        <w:t xml:space="preserve">) to 5 (</w:t>
      </w:r>
      <w:r>
        <w:t xml:space="preserve">“very often”</w:t>
      </w:r>
      <w:r>
        <w:t xml:space="preserve">), with higher scores indicating greater exposure to maltreatment. The German version of the CTQ has demonstrated good psychometric properties, including satisfactory reliability and validity in clinical samples</w:t>
      </w:r>
      <w:r>
        <w:t xml:space="preserve"> </w:t>
      </w:r>
      <w:r>
        <w:t xml:space="preserve">(</w:t>
      </w:r>
      <w:hyperlink w:anchor="ref-wingenfeld2010">
        <w:r>
          <w:rPr>
            <w:rStyle w:val="Hyperlink"/>
          </w:rPr>
          <w:t xml:space="preserve">Wingenfeld et al., 2010</w:t>
        </w:r>
      </w:hyperlink>
      <w:r>
        <w:t xml:space="preserve">)</w:t>
      </w:r>
      <w:r>
        <w:t xml:space="preserve">.</w:t>
      </w:r>
    </w:p>
    <w:p>
      <w:pPr>
        <w:pStyle w:val="Heading4"/>
        <w:rPr>
          <w:vanish/>
          <w:specVanish/>
        </w:rPr>
      </w:pPr>
      <w:r>
        <w:t>Clinical Global Impression.</w:t>
      </w:r>
      <w:r>
        <w:t xml:space="preserve"> </w:t>
      </w:r>
    </w:p>
    <w:p>
      <w:pPr>
        <w:pStyle w:val="Heading5"/>
        <w:rPr>
          <w:vanish/>
          <w:specVanish/>
        </w:rPr>
      </w:pPr>
      <w:r>
        <w:t>Severity Scale.</w:t>
      </w:r>
      <w:r>
        <w:t xml:space="preserve"> </w:t>
      </w:r>
    </w:p>
    <w:p>
      <w:pPr>
        <w:pStyle w:val="BodyText"/>
      </w:pPr>
      <w:r>
        <w:t xml:space="preserve">Clinician-rated symptom severity and improvement were assessed using the</w:t>
      </w:r>
      <w:r>
        <w:t xml:space="preserve"> </w:t>
      </w:r>
      <w:r>
        <w:rPr>
          <w:i/>
          <w:iCs/>
        </w:rPr>
        <w:t xml:space="preserve">Clinical Global Impression</w:t>
      </w:r>
      <w:r>
        <w:t xml:space="preserve"> </w:t>
      </w:r>
      <w:r>
        <w:t xml:space="preserve">(CGI) scales. The</w:t>
      </w:r>
      <w:r>
        <w:t xml:space="preserve"> </w:t>
      </w:r>
      <w:r>
        <w:rPr>
          <w:i/>
          <w:iCs/>
        </w:rPr>
        <w:t xml:space="preserve">CGI-Severity</w:t>
      </w:r>
      <w:r>
        <w:t xml:space="preserve"> </w:t>
      </w:r>
      <w:r>
        <w:t xml:space="preserve">scale evaluates the clinician’s global impression of the patient’s current level of mental illness, based on their total clinical experience with this population. The item asks:</w:t>
      </w:r>
      <w:r>
        <w:t xml:space="preserve"> </w:t>
      </w:r>
      <w: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w:t>
      </w:r>
      <w:r>
        <w:t xml:space="preserve"> </w:t>
      </w:r>
      <w:r>
        <w:rPr>
          <w:i/>
          <w:iCs/>
        </w:rPr>
        <w:t xml:space="preserve">CGI-Improvement</w:t>
      </w:r>
      <w:r>
        <w:t xml:space="preserve"> </w:t>
      </w:r>
      <w:r>
        <w:t xml:space="preserve">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6"/>
    <w:bookmarkStart w:id="37"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7"/>
    <w:bookmarkStart w:id="38"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8"/>
    <w:bookmarkEnd w:id="39"/>
    <w:bookmarkStart w:id="40" w:name="measurement-time-points"/>
    <w:p>
      <w:pPr>
        <w:pStyle w:val="Heading2"/>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40"/>
    <w:bookmarkStart w:id="42"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were replaced by placeholders during recording (anonymisation). The transcription was carried out on local hardware using the open source tool Whisper Large v2 (</w:t>
      </w:r>
      <w:hyperlink r:id="rId41">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w:t>
      </w:r>
    </w:p>
    <w:p>
      <w:pPr>
        <w:pStyle w:val="BodyText"/>
      </w:pPr>
      <w:r>
        <w:t xml:space="preserve">As an additional data correction step, the exported transcription table was screened for incomplete entries. Records with missing patient identification codes or without any extracted text were automatically flagged, exported for manual correction, and subsequently re-imported and merged back into the original dataset. The corrected dataset was then used for downstream analyses.</w:t>
      </w:r>
    </w:p>
    <w:bookmarkEnd w:id="42"/>
    <w:bookmarkStart w:id="48" w:name="shared-analytic-framework"/>
    <w:p>
      <w:pPr>
        <w:pStyle w:val="Heading2"/>
      </w:pPr>
      <w:r>
        <w:t xml:space="preserve">Shared analytic framework</w:t>
      </w:r>
    </w:p>
    <w:p>
      <w:pPr>
        <w:pStyle w:val="FirstParagraph"/>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During the model development phase, preprocessing pipelines will be finalized, and exploratory models developed using advanced cross-validation techniques. 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 The final pipelines will be pre-registered for evaluation (e.g.,</w:t>
      </w:r>
      <w:r>
        <w:t xml:space="preserve"> </w:t>
      </w:r>
      <w:hyperlink r:id="rId43">
        <w:r>
          <w:rPr>
            <w:rStyle w:val="Hyperlink"/>
          </w:rPr>
          <w:t xml:space="preserve">https://aspredicted.org/</w:t>
        </w:r>
      </w:hyperlink>
      <w:r>
        <w:t xml:space="preserve">).</w:t>
      </w:r>
    </w:p>
    <w:p>
      <w:pPr>
        <w:pStyle w:val="BodyText"/>
      </w:pPr>
      <w:r>
        <w:t xml:space="preserve">In the evaluation phase, pre-registered models will be tested on held-out datasets, enabling unbiased performance assessments. This phase will include detailed error analysis to identify potential biases and limitations, as well as comparative analyses to benchmark model performance against the HRG’s models.</w:t>
      </w:r>
    </w:p>
    <w:p>
      <w:pPr>
        <w:pStyle w:val="BodyText"/>
      </w:pPr>
      <w:r>
        <w:t xml:space="preserve">Furthermore, topic modeling techniques (e.g., Latent Dirichlet Allocation;</w:t>
      </w:r>
      <w:r>
        <w:t xml:space="preserve"> </w:t>
      </w:r>
      <w:r>
        <w:t xml:space="preserve">(</w:t>
      </w:r>
      <w:hyperlink w:anchor="ref-10.5555/944919.944937">
        <w:r>
          <w:rPr>
            <w:rStyle w:val="Hyperlink"/>
          </w:rPr>
          <w:t xml:space="preserve">Blei et al., 2003</w:t>
        </w:r>
      </w:hyperlink>
      <w:r>
        <w:t xml:space="preserve">)</w:t>
      </w:r>
      <w:r>
        <w:t xml:space="preserve">, or BERTopic;</w:t>
      </w:r>
      <w:r>
        <w:t xml:space="preserve"> </w:t>
      </w:r>
      <w:r>
        <w:t xml:space="preserve">(</w:t>
      </w:r>
      <w:hyperlink w:anchor="X42d14bf6feefa7767011bb8506f2dad315765d4">
        <w:r>
          <w:rPr>
            <w:rStyle w:val="Hyperlink"/>
          </w:rPr>
          <w:t xml:space="preserve">Grootendorst, 2022</w:t>
        </w:r>
      </w:hyperlink>
      <w:r>
        <w:t xml:space="preserve">)</w:t>
      </w:r>
      <w:r>
        <w:t xml:space="preserve">) will be employed to explore themes in patient-generated text.</w:t>
      </w:r>
    </w:p>
    <w:p>
      <w:pPr>
        <w:pStyle w:val="BodyText"/>
      </w:pPr>
      <w:r>
        <w:t xml:space="preserve">Specific operationalizations of text inputs, outcomes, and models differ across substudies and are specified below.</w:t>
      </w:r>
    </w:p>
    <w:p>
      <w:pPr>
        <w:pStyle w:val="BodyText"/>
      </w:pPr>
      <w:r>
        <w:t xml:space="preserve">The open-ended questions were administered in two questionnaire blocks. Analyses were restricted to cases in which the respective questionnaire was present. Within these blocks, item-level nonresponse is descriptively intepreted as potentially informative of selective responding without assuming specific psychological mechanisms.</w:t>
      </w:r>
    </w:p>
    <w:bookmarkStart w:id="47" w:name="figure_1"/>
    <w:p>
      <w:pPr>
        <w:pStyle w:val="CaptionedFigure"/>
      </w:pPr>
      <w:r>
        <w:drawing>
          <wp:inline>
            <wp:extent cx="5943600" cy="2420291"/>
            <wp:effectExtent b="0" l="0" r="0" t="0"/>
            <wp:docPr descr="The step-by-step process of patient narrative analysis, from preprocessing to data evaluation." title="" id="45" name="Picture"/>
            <a:graphic>
              <a:graphicData uri="http://schemas.openxmlformats.org/drawingml/2006/picture">
                <pic:pic>
                  <pic:nvPicPr>
                    <pic:cNvPr descr="reports/Abbildung_Gabriel_eng.png" id="46" name="Picture"/>
                    <pic:cNvPicPr>
                      <a:picLocks noChangeArrowheads="1" noChangeAspect="1"/>
                    </pic:cNvPicPr>
                  </pic:nvPicPr>
                  <pic:blipFill>
                    <a:blip r:embed="rId44"/>
                    <a:stretch>
                      <a:fillRect/>
                    </a:stretch>
                  </pic:blipFill>
                  <pic:spPr bwMode="auto">
                    <a:xfrm>
                      <a:off x="0" y="0"/>
                      <a:ext cx="5943600" cy="2420291"/>
                    </a:xfrm>
                    <a:prstGeom prst="rect">
                      <a:avLst/>
                    </a:prstGeom>
                    <a:noFill/>
                    <a:ln w="9525">
                      <a:noFill/>
                      <a:headEnd/>
                      <a:tailEnd/>
                    </a:ln>
                  </pic:spPr>
                </pic:pic>
              </a:graphicData>
            </a:graphic>
          </wp:inline>
        </w:drawing>
      </w:r>
    </w:p>
    <w:p>
      <w:pPr>
        <w:pStyle w:val="ImageCaption"/>
      </w:pPr>
      <w:r>
        <w:t xml:space="preserve">The step-by-step process of patient narrative analysis, from preprocessing to data evaluation.</w:t>
      </w:r>
    </w:p>
    <w:bookmarkEnd w:id="47"/>
    <w:bookmarkEnd w:id="48"/>
    <w:bookmarkEnd w:id="49"/>
    <w:bookmarkStart w:id="50" w:name="X225e62ace08a84876d701d3a9ccffd0cfb1677a"/>
    <w:p>
      <w:pPr>
        <w:pStyle w:val="Heading1"/>
      </w:pPr>
      <w:r>
        <w:t xml:space="preserve">Preliminary results: dataset characterization</w:t>
      </w:r>
    </w:p>
    <w:p>
      <w:pPr>
        <w:pStyle w:val="FirstParagraph"/>
      </w:pPr>
      <w:r>
        <w:t xml:space="preserve">Descriptive analyses revealed substantial heterogeneity across questions in response rates, length, and lexical diversity. Holistic questions such as problem description (q10) and therapy goals (q12) showed low missingness, longer median response lengths, and high lexical diversity, indicating that patients readily produced extended and heterogeneous narratives when asked to reflect broadly on their difficulties or desired changes. In contrast, prompts targeting causal connections (q4) or constraints (q11) frequently elicited short or missing responses and exhibited lower diversity, consistent with more constrained or confirmatory response formats. Notably, lexical diversity varied independently of response length, suggesting that some prompts elicited shared narrative scripts despite moderate verbosity (e.g., q7 Expected Improvements).</w:t>
      </w:r>
    </w:p>
    <w:p>
      <w:pPr>
        <w:pStyle w:val="TableCaption"/>
      </w:pPr>
      <w:r>
        <w:t xml:space="preserve">Table X. Descriptive statistics of open-ended responses by question.</w:t>
      </w:r>
    </w:p>
    <w:tbl>
      <w:tblPr>
        <w:tblStyle w:val="Table"/>
        <w:tblW w:type="pct" w:w="5000"/>
        <w:tblLayout w:type="fixed"/>
        <w:tblLook w:firstRow="1" w:lastRow="0" w:firstColumn="0" w:lastColumn="0" w:noHBand="0" w:noVBand="0" w:val="0020"/>
        <w:tblCaption w:val="Table X. Descriptive statistics of open-ended responses by question."/>
      </w:tblPr>
      <w:tblGrid>
        <w:gridCol w:w="1541"/>
        <w:gridCol w:w="630"/>
        <w:gridCol w:w="911"/>
        <w:gridCol w:w="1121"/>
        <w:gridCol w:w="981"/>
        <w:gridCol w:w="770"/>
        <w:gridCol w:w="770"/>
        <w:gridCol w:w="1191"/>
      </w:tblGrid>
      <w:tr>
        <w:trPr>
          <w:tblHeader w:val="on"/>
        </w:trPr>
        <w:tc>
          <w:tcPr/>
          <w:p>
            <w:pPr>
              <w:pStyle w:val="Compact"/>
              <w:jc w:val="left"/>
            </w:pPr>
            <w:r>
              <w:t xml:space="preserve">Question</w:t>
            </w:r>
          </w:p>
        </w:tc>
        <w:tc>
          <w:tcPr/>
          <w:p>
            <w:pPr>
              <w:pStyle w:val="Compact"/>
              <w:jc w:val="center"/>
            </w:pPr>
            <w:r>
              <w:t xml:space="preserve">n_total</w:t>
            </w:r>
          </w:p>
        </w:tc>
        <w:tc>
          <w:tcPr/>
          <w:p>
            <w:pPr>
              <w:pStyle w:val="Compact"/>
              <w:jc w:val="center"/>
            </w:pPr>
            <w:r>
              <w:t xml:space="preserve">missing_pct</w:t>
            </w:r>
          </w:p>
        </w:tc>
        <w:tc>
          <w:tcPr/>
          <w:p>
            <w:pPr>
              <w:pStyle w:val="Compact"/>
              <w:jc w:val="center"/>
            </w:pPr>
            <w:r>
              <w:t xml:space="preserve">very_short_pct</w:t>
            </w:r>
          </w:p>
        </w:tc>
        <w:tc>
          <w:tcPr/>
          <w:p>
            <w:pPr>
              <w:pStyle w:val="Compact"/>
              <w:jc w:val="center"/>
            </w:pPr>
            <w:r>
              <w:t xml:space="preserve">median_words</w:t>
            </w:r>
          </w:p>
        </w:tc>
        <w:tc>
          <w:tcPr/>
          <w:p>
            <w:pPr>
              <w:pStyle w:val="Compact"/>
              <w:jc w:val="center"/>
            </w:pPr>
            <w:r>
              <w:t xml:space="preserve">p10_words</w:t>
            </w:r>
          </w:p>
        </w:tc>
        <w:tc>
          <w:tcPr/>
          <w:p>
            <w:pPr>
              <w:pStyle w:val="Compact"/>
              <w:jc w:val="center"/>
            </w:pPr>
            <w:r>
              <w:t xml:space="preserve">p90_words</w:t>
            </w:r>
          </w:p>
        </w:tc>
        <w:tc>
          <w:tcPr/>
          <w:p>
            <w:pPr>
              <w:pStyle w:val="Compact"/>
              <w:jc w:val="center"/>
            </w:pPr>
            <w:r>
              <w:t xml:space="preserve">diversity_index</w:t>
            </w:r>
          </w:p>
        </w:tc>
      </w:tr>
      <w:tr>
        <w:tc>
          <w:tcPr/>
          <w:p>
            <w:pPr>
              <w:pStyle w:val="Compact"/>
              <w:jc w:val="left"/>
            </w:pPr>
            <w:r>
              <w:t xml:space="preserve">Problem development</w:t>
            </w:r>
          </w:p>
        </w:tc>
        <w:tc>
          <w:tcPr/>
          <w:p>
            <w:pPr>
              <w:pStyle w:val="Compact"/>
              <w:jc w:val="center"/>
            </w:pPr>
            <w:r>
              <w:t xml:space="preserve">529</w:t>
            </w:r>
          </w:p>
        </w:tc>
        <w:tc>
          <w:tcPr/>
          <w:p>
            <w:pPr>
              <w:pStyle w:val="Compact"/>
              <w:jc w:val="center"/>
            </w:pPr>
            <w:r>
              <w:t xml:space="preserve">51.606805</w:t>
            </w:r>
          </w:p>
        </w:tc>
        <w:tc>
          <w:tcPr/>
          <w:p>
            <w:pPr>
              <w:pStyle w:val="Compact"/>
              <w:jc w:val="center"/>
            </w:pPr>
            <w:r>
              <w:t xml:space="preserve">2.457467</w:t>
            </w:r>
          </w:p>
        </w:tc>
        <w:tc>
          <w:tcPr/>
          <w:p>
            <w:pPr>
              <w:pStyle w:val="Compact"/>
              <w:jc w:val="center"/>
            </w:pPr>
            <w:r>
              <w:t xml:space="preserve">19.0</w:t>
            </w:r>
          </w:p>
        </w:tc>
        <w:tc>
          <w:tcPr/>
          <w:p>
            <w:pPr>
              <w:pStyle w:val="Compact"/>
              <w:jc w:val="center"/>
            </w:pPr>
            <w:r>
              <w:t xml:space="preserve">6</w:t>
            </w:r>
          </w:p>
        </w:tc>
        <w:tc>
          <w:tcPr/>
          <w:p>
            <w:pPr>
              <w:pStyle w:val="Compact"/>
              <w:jc w:val="center"/>
            </w:pPr>
            <w:r>
              <w:t xml:space="preserve">47.0</w:t>
            </w:r>
          </w:p>
        </w:tc>
        <w:tc>
          <w:tcPr/>
          <w:p>
            <w:pPr>
              <w:pStyle w:val="Compact"/>
              <w:jc w:val="center"/>
            </w:pPr>
            <w:r>
              <w:t xml:space="preserve">638.3720</w:t>
            </w:r>
          </w:p>
        </w:tc>
      </w:tr>
      <w:tr>
        <w:tc>
          <w:tcPr/>
          <w:p>
            <w:pPr>
              <w:pStyle w:val="Compact"/>
              <w:jc w:val="left"/>
            </w:pPr>
            <w:r>
              <w:t xml:space="preserve">Extra stressors</w:t>
            </w:r>
          </w:p>
        </w:tc>
        <w:tc>
          <w:tcPr/>
          <w:p>
            <w:pPr>
              <w:pStyle w:val="Compact"/>
              <w:jc w:val="center"/>
            </w:pPr>
            <w:r>
              <w:t xml:space="preserve">529</w:t>
            </w:r>
          </w:p>
        </w:tc>
        <w:tc>
          <w:tcPr/>
          <w:p>
            <w:pPr>
              <w:pStyle w:val="Compact"/>
              <w:jc w:val="center"/>
            </w:pPr>
            <w:r>
              <w:t xml:space="preserve">54.442344</w:t>
            </w:r>
          </w:p>
        </w:tc>
        <w:tc>
          <w:tcPr/>
          <w:p>
            <w:pPr>
              <w:pStyle w:val="Compact"/>
              <w:jc w:val="center"/>
            </w:pPr>
            <w:r>
              <w:t xml:space="preserve">7.750473</w:t>
            </w:r>
          </w:p>
        </w:tc>
        <w:tc>
          <w:tcPr/>
          <w:p>
            <w:pPr>
              <w:pStyle w:val="Compact"/>
              <w:jc w:val="center"/>
            </w:pPr>
            <w:r>
              <w:t xml:space="preserve">11.0</w:t>
            </w:r>
          </w:p>
        </w:tc>
        <w:tc>
          <w:tcPr/>
          <w:p>
            <w:pPr>
              <w:pStyle w:val="Compact"/>
              <w:jc w:val="center"/>
            </w:pPr>
            <w:r>
              <w:t xml:space="preserve">2</w:t>
            </w:r>
          </w:p>
        </w:tc>
        <w:tc>
          <w:tcPr/>
          <w:p>
            <w:pPr>
              <w:pStyle w:val="Compact"/>
              <w:jc w:val="center"/>
            </w:pPr>
            <w:r>
              <w:t xml:space="preserve">33.0</w:t>
            </w:r>
          </w:p>
        </w:tc>
        <w:tc>
          <w:tcPr/>
          <w:p>
            <w:pPr>
              <w:pStyle w:val="Compact"/>
              <w:jc w:val="center"/>
            </w:pPr>
            <w:r>
              <w:t xml:space="preserve">518.3769</w:t>
            </w:r>
          </w:p>
        </w:tc>
      </w:tr>
      <w:tr>
        <w:tc>
          <w:tcPr/>
          <w:p>
            <w:pPr>
              <w:pStyle w:val="Compact"/>
              <w:jc w:val="left"/>
            </w:pPr>
            <w:r>
              <w:t xml:space="preserve">Pre-onset changes</w:t>
            </w:r>
          </w:p>
        </w:tc>
        <w:tc>
          <w:tcPr/>
          <w:p>
            <w:pPr>
              <w:pStyle w:val="Compact"/>
              <w:jc w:val="center"/>
            </w:pPr>
            <w:r>
              <w:t xml:space="preserve">529</w:t>
            </w:r>
          </w:p>
        </w:tc>
        <w:tc>
          <w:tcPr/>
          <w:p>
            <w:pPr>
              <w:pStyle w:val="Compact"/>
              <w:jc w:val="center"/>
            </w:pPr>
            <w:r>
              <w:t xml:space="preserve">47.069943</w:t>
            </w:r>
          </w:p>
        </w:tc>
        <w:tc>
          <w:tcPr/>
          <w:p>
            <w:pPr>
              <w:pStyle w:val="Compact"/>
              <w:jc w:val="center"/>
            </w:pPr>
            <w:r>
              <w:t xml:space="preserve">15.122873</w:t>
            </w:r>
          </w:p>
        </w:tc>
        <w:tc>
          <w:tcPr/>
          <w:p>
            <w:pPr>
              <w:pStyle w:val="Compact"/>
              <w:jc w:val="center"/>
            </w:pPr>
            <w:r>
              <w:t xml:space="preserve">9.5</w:t>
            </w:r>
          </w:p>
        </w:tc>
        <w:tc>
          <w:tcPr/>
          <w:p>
            <w:pPr>
              <w:pStyle w:val="Compact"/>
              <w:jc w:val="center"/>
            </w:pPr>
            <w:r>
              <w:t xml:space="preserve">1</w:t>
            </w:r>
          </w:p>
        </w:tc>
        <w:tc>
          <w:tcPr/>
          <w:p>
            <w:pPr>
              <w:pStyle w:val="Compact"/>
              <w:jc w:val="center"/>
            </w:pPr>
            <w:r>
              <w:t xml:space="preserve">37.1</w:t>
            </w:r>
          </w:p>
        </w:tc>
        <w:tc>
          <w:tcPr/>
          <w:p>
            <w:pPr>
              <w:pStyle w:val="Compact"/>
              <w:jc w:val="center"/>
            </w:pPr>
            <w:r>
              <w:t xml:space="preserve">466.3284</w:t>
            </w:r>
          </w:p>
        </w:tc>
      </w:tr>
      <w:tr>
        <w:tc>
          <w:tcPr/>
          <w:p>
            <w:pPr>
              <w:pStyle w:val="Compact"/>
              <w:jc w:val="left"/>
            </w:pPr>
            <w:r>
              <w:t xml:space="preserve">Event connection</w:t>
            </w:r>
          </w:p>
        </w:tc>
        <w:tc>
          <w:tcPr/>
          <w:p>
            <w:pPr>
              <w:pStyle w:val="Compact"/>
              <w:jc w:val="center"/>
            </w:pPr>
            <w:r>
              <w:t xml:space="preserve">529</w:t>
            </w:r>
          </w:p>
        </w:tc>
        <w:tc>
          <w:tcPr/>
          <w:p>
            <w:pPr>
              <w:pStyle w:val="Compact"/>
              <w:jc w:val="center"/>
            </w:pPr>
            <w:r>
              <w:t xml:space="preserve">50.094518</w:t>
            </w:r>
          </w:p>
        </w:tc>
        <w:tc>
          <w:tcPr/>
          <w:p>
            <w:pPr>
              <w:pStyle w:val="Compact"/>
              <w:jc w:val="center"/>
            </w:pPr>
            <w:r>
              <w:t xml:space="preserve">20.604915</w:t>
            </w:r>
          </w:p>
        </w:tc>
        <w:tc>
          <w:tcPr/>
          <w:p>
            <w:pPr>
              <w:pStyle w:val="Compact"/>
              <w:jc w:val="center"/>
            </w:pPr>
            <w:r>
              <w:t xml:space="preserve">6.0</w:t>
            </w:r>
          </w:p>
        </w:tc>
        <w:tc>
          <w:tcPr/>
          <w:p>
            <w:pPr>
              <w:pStyle w:val="Compact"/>
              <w:jc w:val="center"/>
            </w:pPr>
            <w:r>
              <w:t xml:space="preserve">1</w:t>
            </w:r>
          </w:p>
        </w:tc>
        <w:tc>
          <w:tcPr/>
          <w:p>
            <w:pPr>
              <w:pStyle w:val="Compact"/>
              <w:jc w:val="center"/>
            </w:pPr>
            <w:r>
              <w:t xml:space="preserve">29.0</w:t>
            </w:r>
          </w:p>
        </w:tc>
        <w:tc>
          <w:tcPr/>
          <w:p>
            <w:pPr>
              <w:pStyle w:val="Compact"/>
              <w:jc w:val="center"/>
            </w:pPr>
            <w:r>
              <w:t xml:space="preserve">416.7281</w:t>
            </w:r>
          </w:p>
        </w:tc>
      </w:tr>
      <w:tr>
        <w:tc>
          <w:tcPr/>
          <w:p>
            <w:pPr>
              <w:pStyle w:val="Compact"/>
              <w:jc w:val="left"/>
            </w:pPr>
            <w:r>
              <w:t xml:space="preserve">Physical symptoms</w:t>
            </w:r>
          </w:p>
        </w:tc>
        <w:tc>
          <w:tcPr/>
          <w:p>
            <w:pPr>
              <w:pStyle w:val="Compact"/>
              <w:jc w:val="center"/>
            </w:pPr>
            <w:r>
              <w:t xml:space="preserve">529</w:t>
            </w:r>
          </w:p>
        </w:tc>
        <w:tc>
          <w:tcPr/>
          <w:p>
            <w:pPr>
              <w:pStyle w:val="Compact"/>
              <w:jc w:val="center"/>
            </w:pPr>
            <w:r>
              <w:t xml:space="preserve">50.094518</w:t>
            </w:r>
          </w:p>
        </w:tc>
        <w:tc>
          <w:tcPr/>
          <w:p>
            <w:pPr>
              <w:pStyle w:val="Compact"/>
              <w:jc w:val="center"/>
            </w:pPr>
            <w:r>
              <w:t xml:space="preserve">14.366730</w:t>
            </w:r>
          </w:p>
        </w:tc>
        <w:tc>
          <w:tcPr/>
          <w:p>
            <w:pPr>
              <w:pStyle w:val="Compact"/>
              <w:jc w:val="center"/>
            </w:pPr>
            <w:r>
              <w:t xml:space="preserve">5.0</w:t>
            </w:r>
          </w:p>
        </w:tc>
        <w:tc>
          <w:tcPr/>
          <w:p>
            <w:pPr>
              <w:pStyle w:val="Compact"/>
              <w:jc w:val="center"/>
            </w:pPr>
            <w:r>
              <w:t xml:space="preserve">2</w:t>
            </w:r>
          </w:p>
        </w:tc>
        <w:tc>
          <w:tcPr/>
          <w:p>
            <w:pPr>
              <w:pStyle w:val="Compact"/>
              <w:jc w:val="center"/>
            </w:pPr>
            <w:r>
              <w:t xml:space="preserve">18.0</w:t>
            </w:r>
          </w:p>
        </w:tc>
        <w:tc>
          <w:tcPr/>
          <w:p>
            <w:pPr>
              <w:pStyle w:val="Compact"/>
              <w:jc w:val="center"/>
            </w:pPr>
            <w:r>
              <w:t xml:space="preserve">392.6414</w:t>
            </w:r>
          </w:p>
        </w:tc>
      </w:tr>
      <w:tr>
        <w:tc>
          <w:tcPr/>
          <w:p>
            <w:pPr>
              <w:pStyle w:val="Compact"/>
              <w:jc w:val="left"/>
            </w:pPr>
            <w:r>
              <w:t xml:space="preserve">Problem causes</w:t>
            </w:r>
          </w:p>
        </w:tc>
        <w:tc>
          <w:tcPr/>
          <w:p>
            <w:pPr>
              <w:pStyle w:val="Compact"/>
              <w:jc w:val="center"/>
            </w:pPr>
            <w:r>
              <w:t xml:space="preserve">529</w:t>
            </w:r>
          </w:p>
        </w:tc>
        <w:tc>
          <w:tcPr/>
          <w:p>
            <w:pPr>
              <w:pStyle w:val="Compact"/>
              <w:jc w:val="center"/>
            </w:pPr>
            <w:r>
              <w:t xml:space="preserve">51.984877</w:t>
            </w:r>
          </w:p>
        </w:tc>
        <w:tc>
          <w:tcPr/>
          <w:p>
            <w:pPr>
              <w:pStyle w:val="Compact"/>
              <w:jc w:val="center"/>
            </w:pPr>
            <w:r>
              <w:t xml:space="preserve">11.531191</w:t>
            </w:r>
          </w:p>
        </w:tc>
        <w:tc>
          <w:tcPr/>
          <w:p>
            <w:pPr>
              <w:pStyle w:val="Compact"/>
              <w:jc w:val="center"/>
            </w:pPr>
            <w:r>
              <w:t xml:space="preserve">8.0</w:t>
            </w:r>
          </w:p>
        </w:tc>
        <w:tc>
          <w:tcPr/>
          <w:p>
            <w:pPr>
              <w:pStyle w:val="Compact"/>
              <w:jc w:val="center"/>
            </w:pPr>
            <w:r>
              <w:t xml:space="preserve">2</w:t>
            </w:r>
          </w:p>
        </w:tc>
        <w:tc>
          <w:tcPr/>
          <w:p>
            <w:pPr>
              <w:pStyle w:val="Compact"/>
              <w:jc w:val="center"/>
            </w:pPr>
            <w:r>
              <w:t xml:space="preserve">27.0</w:t>
            </w:r>
          </w:p>
        </w:tc>
        <w:tc>
          <w:tcPr/>
          <w:p>
            <w:pPr>
              <w:pStyle w:val="Compact"/>
              <w:jc w:val="center"/>
            </w:pPr>
            <w:r>
              <w:t xml:space="preserve">492.3520</w:t>
            </w:r>
          </w:p>
        </w:tc>
      </w:tr>
      <w:tr>
        <w:tc>
          <w:tcPr/>
          <w:p>
            <w:pPr>
              <w:pStyle w:val="Compact"/>
              <w:jc w:val="left"/>
            </w:pPr>
            <w:r>
              <w:t xml:space="preserve">Expected improvements</w:t>
            </w:r>
          </w:p>
        </w:tc>
        <w:tc>
          <w:tcPr/>
          <w:p>
            <w:pPr>
              <w:pStyle w:val="Compact"/>
              <w:jc w:val="center"/>
            </w:pPr>
            <w:r>
              <w:t xml:space="preserve">529</w:t>
            </w:r>
          </w:p>
        </w:tc>
        <w:tc>
          <w:tcPr/>
          <w:p>
            <w:pPr>
              <w:pStyle w:val="Compact"/>
              <w:jc w:val="center"/>
            </w:pPr>
            <w:r>
              <w:t xml:space="preserve">47.826087</w:t>
            </w:r>
          </w:p>
        </w:tc>
        <w:tc>
          <w:tcPr/>
          <w:p>
            <w:pPr>
              <w:pStyle w:val="Compact"/>
              <w:jc w:val="center"/>
            </w:pPr>
            <w:r>
              <w:t xml:space="preserve">5.103970</w:t>
            </w:r>
          </w:p>
        </w:tc>
        <w:tc>
          <w:tcPr/>
          <w:p>
            <w:pPr>
              <w:pStyle w:val="Compact"/>
              <w:jc w:val="center"/>
            </w:pPr>
            <w:r>
              <w:t xml:space="preserve">11.0</w:t>
            </w:r>
          </w:p>
        </w:tc>
        <w:tc>
          <w:tcPr/>
          <w:p>
            <w:pPr>
              <w:pStyle w:val="Compact"/>
              <w:jc w:val="center"/>
            </w:pPr>
            <w:r>
              <w:t xml:space="preserve">4</w:t>
            </w:r>
          </w:p>
        </w:tc>
        <w:tc>
          <w:tcPr/>
          <w:p>
            <w:pPr>
              <w:pStyle w:val="Compact"/>
              <w:jc w:val="center"/>
            </w:pPr>
            <w:r>
              <w:t xml:space="preserve">30.0</w:t>
            </w:r>
          </w:p>
        </w:tc>
        <w:tc>
          <w:tcPr/>
          <w:p>
            <w:pPr>
              <w:pStyle w:val="Compact"/>
              <w:jc w:val="center"/>
            </w:pPr>
            <w:r>
              <w:t xml:space="preserve">323.4887</w:t>
            </w:r>
          </w:p>
        </w:tc>
      </w:tr>
      <w:tr>
        <w:tc>
          <w:tcPr/>
          <w:p>
            <w:pPr>
              <w:pStyle w:val="Compact"/>
              <w:jc w:val="left"/>
            </w:pPr>
            <w:r>
              <w:t xml:space="preserve">Environment response</w:t>
            </w:r>
          </w:p>
        </w:tc>
        <w:tc>
          <w:tcPr/>
          <w:p>
            <w:pPr>
              <w:pStyle w:val="Compact"/>
              <w:jc w:val="center"/>
            </w:pPr>
            <w:r>
              <w:t xml:space="preserve">529</w:t>
            </w:r>
          </w:p>
        </w:tc>
        <w:tc>
          <w:tcPr/>
          <w:p>
            <w:pPr>
              <w:pStyle w:val="Compact"/>
              <w:jc w:val="center"/>
            </w:pPr>
            <w:r>
              <w:t xml:space="preserve">47.826087</w:t>
            </w:r>
          </w:p>
        </w:tc>
        <w:tc>
          <w:tcPr/>
          <w:p>
            <w:pPr>
              <w:pStyle w:val="Compact"/>
              <w:jc w:val="center"/>
            </w:pPr>
            <w:r>
              <w:t xml:space="preserve">11.720227</w:t>
            </w:r>
          </w:p>
        </w:tc>
        <w:tc>
          <w:tcPr/>
          <w:p>
            <w:pPr>
              <w:pStyle w:val="Compact"/>
              <w:jc w:val="center"/>
            </w:pPr>
            <w:r>
              <w:t xml:space="preserve">9.0</w:t>
            </w:r>
          </w:p>
        </w:tc>
        <w:tc>
          <w:tcPr/>
          <w:p>
            <w:pPr>
              <w:pStyle w:val="Compact"/>
              <w:jc w:val="center"/>
            </w:pPr>
            <w:r>
              <w:t xml:space="preserve">2</w:t>
            </w:r>
          </w:p>
        </w:tc>
        <w:tc>
          <w:tcPr/>
          <w:p>
            <w:pPr>
              <w:pStyle w:val="Compact"/>
              <w:jc w:val="center"/>
            </w:pPr>
            <w:r>
              <w:t xml:space="preserve">30.5</w:t>
            </w:r>
          </w:p>
        </w:tc>
        <w:tc>
          <w:tcPr/>
          <w:p>
            <w:pPr>
              <w:pStyle w:val="Compact"/>
              <w:jc w:val="center"/>
            </w:pPr>
            <w:r>
              <w:t xml:space="preserve">310.6291</w:t>
            </w:r>
          </w:p>
        </w:tc>
      </w:tr>
      <w:tr>
        <w:tc>
          <w:tcPr/>
          <w:p>
            <w:pPr>
              <w:pStyle w:val="Compact"/>
              <w:jc w:val="left"/>
            </w:pPr>
            <w:r>
              <w:t xml:space="preserve">No change required</w:t>
            </w:r>
          </w:p>
        </w:tc>
        <w:tc>
          <w:tcPr/>
          <w:p>
            <w:pPr>
              <w:pStyle w:val="Compact"/>
              <w:jc w:val="center"/>
            </w:pPr>
            <w:r>
              <w:t xml:space="preserve">529</w:t>
            </w:r>
          </w:p>
        </w:tc>
        <w:tc>
          <w:tcPr/>
          <w:p>
            <w:pPr>
              <w:pStyle w:val="Compact"/>
              <w:jc w:val="center"/>
            </w:pPr>
            <w:r>
              <w:t xml:space="preserve">71.266541</w:t>
            </w:r>
          </w:p>
        </w:tc>
        <w:tc>
          <w:tcPr/>
          <w:p>
            <w:pPr>
              <w:pStyle w:val="Compact"/>
              <w:jc w:val="center"/>
            </w:pPr>
            <w:r>
              <w:t xml:space="preserve">7.750473</w:t>
            </w:r>
          </w:p>
        </w:tc>
        <w:tc>
          <w:tcPr/>
          <w:p>
            <w:pPr>
              <w:pStyle w:val="Compact"/>
              <w:jc w:val="center"/>
            </w:pPr>
            <w:r>
              <w:t xml:space="preserve">6.0</w:t>
            </w:r>
          </w:p>
        </w:tc>
        <w:tc>
          <w:tcPr/>
          <w:p>
            <w:pPr>
              <w:pStyle w:val="Compact"/>
              <w:jc w:val="center"/>
            </w:pPr>
            <w:r>
              <w:t xml:space="preserve">2</w:t>
            </w:r>
          </w:p>
        </w:tc>
        <w:tc>
          <w:tcPr/>
          <w:p>
            <w:pPr>
              <w:pStyle w:val="Compact"/>
              <w:jc w:val="center"/>
            </w:pPr>
            <w:r>
              <w:t xml:space="preserve">19.9</w:t>
            </w:r>
          </w:p>
        </w:tc>
        <w:tc>
          <w:tcPr/>
          <w:p>
            <w:pPr>
              <w:pStyle w:val="Compact"/>
              <w:jc w:val="center"/>
            </w:pPr>
            <w:r>
              <w:t xml:space="preserve">241.5367</w:t>
            </w:r>
          </w:p>
        </w:tc>
      </w:tr>
      <w:tr>
        <w:tc>
          <w:tcPr/>
          <w:p>
            <w:pPr>
              <w:pStyle w:val="Compact"/>
              <w:jc w:val="left"/>
            </w:pPr>
            <w:r>
              <w:t xml:space="preserve">Problem description</w:t>
            </w:r>
          </w:p>
        </w:tc>
        <w:tc>
          <w:tcPr/>
          <w:p>
            <w:pPr>
              <w:pStyle w:val="Compact"/>
              <w:jc w:val="center"/>
            </w:pPr>
            <w:r>
              <w:t xml:space="preserve">529</w:t>
            </w:r>
          </w:p>
        </w:tc>
        <w:tc>
          <w:tcPr/>
          <w:p>
            <w:pPr>
              <w:pStyle w:val="Compact"/>
              <w:jc w:val="center"/>
            </w:pPr>
            <w:r>
              <w:t xml:space="preserve">6.994329</w:t>
            </w:r>
          </w:p>
        </w:tc>
        <w:tc>
          <w:tcPr/>
          <w:p>
            <w:pPr>
              <w:pStyle w:val="Compact"/>
              <w:jc w:val="center"/>
            </w:pPr>
            <w:r>
              <w:t xml:space="preserve">4.158790</w:t>
            </w:r>
          </w:p>
        </w:tc>
        <w:tc>
          <w:tcPr/>
          <w:p>
            <w:pPr>
              <w:pStyle w:val="Compact"/>
              <w:jc w:val="center"/>
            </w:pPr>
            <w:r>
              <w:t xml:space="preserve">23.0</w:t>
            </w:r>
          </w:p>
        </w:tc>
        <w:tc>
          <w:tcPr/>
          <w:p>
            <w:pPr>
              <w:pStyle w:val="Compact"/>
              <w:jc w:val="center"/>
            </w:pPr>
            <w:r>
              <w:t xml:space="preserve">6</w:t>
            </w:r>
          </w:p>
        </w:tc>
        <w:tc>
          <w:tcPr/>
          <w:p>
            <w:pPr>
              <w:pStyle w:val="Compact"/>
              <w:jc w:val="center"/>
            </w:pPr>
            <w:r>
              <w:t xml:space="preserve">51.0</w:t>
            </w:r>
          </w:p>
        </w:tc>
        <w:tc>
          <w:tcPr/>
          <w:p>
            <w:pPr>
              <w:pStyle w:val="Compact"/>
              <w:jc w:val="center"/>
            </w:pPr>
            <w:r>
              <w:t xml:space="preserve">626.1284</w:t>
            </w:r>
          </w:p>
        </w:tc>
      </w:tr>
      <w:tr>
        <w:tc>
          <w:tcPr/>
          <w:p>
            <w:pPr>
              <w:pStyle w:val="Compact"/>
              <w:jc w:val="left"/>
            </w:pPr>
            <w:r>
              <w:t xml:space="preserve">Impacted life areas</w:t>
            </w:r>
          </w:p>
        </w:tc>
        <w:tc>
          <w:tcPr/>
          <w:p>
            <w:pPr>
              <w:pStyle w:val="Compact"/>
              <w:jc w:val="center"/>
            </w:pPr>
            <w:r>
              <w:t xml:space="preserve">529</w:t>
            </w:r>
          </w:p>
        </w:tc>
        <w:tc>
          <w:tcPr/>
          <w:p>
            <w:pPr>
              <w:pStyle w:val="Compact"/>
              <w:jc w:val="center"/>
            </w:pPr>
            <w:r>
              <w:t xml:space="preserve">9.829868</w:t>
            </w:r>
          </w:p>
        </w:tc>
        <w:tc>
          <w:tcPr/>
          <w:p>
            <w:pPr>
              <w:pStyle w:val="Compact"/>
              <w:jc w:val="center"/>
            </w:pPr>
            <w:r>
              <w:t xml:space="preserve">30.056711</w:t>
            </w:r>
          </w:p>
        </w:tc>
        <w:tc>
          <w:tcPr/>
          <w:p>
            <w:pPr>
              <w:pStyle w:val="Compact"/>
              <w:jc w:val="center"/>
            </w:pPr>
            <w:r>
              <w:t xml:space="preserve">6.0</w:t>
            </w:r>
          </w:p>
        </w:tc>
        <w:tc>
          <w:tcPr/>
          <w:p>
            <w:pPr>
              <w:pStyle w:val="Compact"/>
              <w:jc w:val="center"/>
            </w:pPr>
            <w:r>
              <w:t xml:space="preserve">2</w:t>
            </w:r>
          </w:p>
        </w:tc>
        <w:tc>
          <w:tcPr/>
          <w:p>
            <w:pPr>
              <w:pStyle w:val="Compact"/>
              <w:jc w:val="center"/>
            </w:pPr>
            <w:r>
              <w:t xml:space="preserve">32.4</w:t>
            </w:r>
          </w:p>
        </w:tc>
        <w:tc>
          <w:tcPr/>
          <w:p>
            <w:pPr>
              <w:pStyle w:val="Compact"/>
              <w:jc w:val="center"/>
            </w:pPr>
            <w:r>
              <w:t xml:space="preserve">407.2106</w:t>
            </w:r>
          </w:p>
        </w:tc>
      </w:tr>
      <w:tr>
        <w:tc>
          <w:tcPr/>
          <w:p>
            <w:pPr>
              <w:pStyle w:val="Compact"/>
              <w:jc w:val="left"/>
            </w:pPr>
            <w:r>
              <w:t xml:space="preserve">Therapy goals</w:t>
            </w:r>
          </w:p>
        </w:tc>
        <w:tc>
          <w:tcPr/>
          <w:p>
            <w:pPr>
              <w:pStyle w:val="Compact"/>
              <w:jc w:val="center"/>
            </w:pPr>
            <w:r>
              <w:t xml:space="preserve">529</w:t>
            </w:r>
          </w:p>
        </w:tc>
        <w:tc>
          <w:tcPr/>
          <w:p>
            <w:pPr>
              <w:pStyle w:val="Compact"/>
              <w:jc w:val="center"/>
            </w:pPr>
            <w:r>
              <w:t xml:space="preserve">5.293006</w:t>
            </w:r>
          </w:p>
        </w:tc>
        <w:tc>
          <w:tcPr/>
          <w:p>
            <w:pPr>
              <w:pStyle w:val="Compact"/>
              <w:jc w:val="center"/>
            </w:pPr>
            <w:r>
              <w:t xml:space="preserve">5.671077</w:t>
            </w:r>
          </w:p>
        </w:tc>
        <w:tc>
          <w:tcPr/>
          <w:p>
            <w:pPr>
              <w:pStyle w:val="Compact"/>
              <w:jc w:val="center"/>
            </w:pPr>
            <w:r>
              <w:t xml:space="preserve">15.0</w:t>
            </w:r>
          </w:p>
        </w:tc>
        <w:tc>
          <w:tcPr/>
          <w:p>
            <w:pPr>
              <w:pStyle w:val="Compact"/>
              <w:jc w:val="center"/>
            </w:pPr>
            <w:r>
              <w:t xml:space="preserve">4</w:t>
            </w:r>
          </w:p>
        </w:tc>
        <w:tc>
          <w:tcPr/>
          <w:p>
            <w:pPr>
              <w:pStyle w:val="Compact"/>
              <w:jc w:val="center"/>
            </w:pPr>
            <w:r>
              <w:t xml:space="preserve">36.0</w:t>
            </w:r>
          </w:p>
        </w:tc>
        <w:tc>
          <w:tcPr/>
          <w:p>
            <w:pPr>
              <w:pStyle w:val="Compact"/>
              <w:jc w:val="center"/>
            </w:pPr>
            <w:r>
              <w:t xml:space="preserve">411.6541</w:t>
            </w:r>
          </w:p>
        </w:tc>
      </w:tr>
    </w:tbl>
    <w:bookmarkEnd w:id="50"/>
    <w:bookmarkStart w:id="55" w:name="substudies-planned-manuscripts"/>
    <w:p>
      <w:pPr>
        <w:pStyle w:val="Heading1"/>
      </w:pPr>
      <w:r>
        <w:t xml:space="preserve">Substudies / planned manuscripts</w:t>
      </w:r>
    </w:p>
    <w:p>
      <w:pPr>
        <w:pStyle w:val="FirstParagraph"/>
      </w:pPr>
      <w:r>
        <w:t xml:space="preserve">This project comprises multiple complementary substudies that share a common dataset and preprocessing pipeline but address distinct research questions. To avoid analytic flexibility and to maximize interpretability, each substudy pre-specifies its text inputs, outcomes, and evaluation strategy.</w:t>
      </w:r>
    </w:p>
    <w:bookmarkStart w:id="51" w:name="Xc49ac80e9621cdf00fb16f6eb432fb61b91e2f8"/>
    <w:p>
      <w:pPr>
        <w:pStyle w:val="Heading2"/>
      </w:pPr>
      <w:r>
        <w:t xml:space="preserve">Substudy 1: Language as clinical assessment (cross-sectional)</w:t>
      </w:r>
    </w:p>
    <w:p>
      <w:pPr>
        <w:pStyle w:val="FirstParagraph"/>
      </w:pPr>
      <w:r>
        <w:rPr>
          <w:b/>
          <w:bCs/>
        </w:rPr>
        <w:t xml:space="preserve">Core research question.</w:t>
      </w:r>
      <w:r>
        <w:br/>
      </w:r>
      <w:r>
        <w:t xml:space="preserve">Does patients’ pre-therapy language provide clinically meaningful information about symptom severity and functioning, and does it add predictive value beyond established self-report questionnaires? Additionally, to what extent is this information captured by large language model (LLM)–based representations compared with simpler linguistic features?</w:t>
      </w:r>
    </w:p>
    <w:p>
      <w:pPr>
        <w:pStyle w:val="BodyText"/>
      </w:pPr>
      <w:r>
        <w:rPr>
          <w:b/>
          <w:bCs/>
        </w:rPr>
        <w:t xml:space="preserve">Conceptual contribution.</w:t>
      </w:r>
      <w:r>
        <w:br/>
      </w:r>
      <w:r>
        <w:t xml:space="preserve">This substudy conceptualizes patient-generated language as an independent assessment modality rather than a proxy for existing symptom scales. While prior work has demonstrated correlations between language and self-reported symptoms, few studies have tested whether language captures incremental clinical information beyond standardized questionnaires, particularly for clinician-rated outcomes.</w:t>
      </w:r>
    </w:p>
    <w:p>
      <w:pPr>
        <w:pStyle w:val="BodyText"/>
      </w:pPr>
      <w:r>
        <w:rPr>
          <w:b/>
          <w:bCs/>
        </w:rPr>
        <w:t xml:space="preserve">Text inputs.</w:t>
      </w:r>
    </w:p>
    <w:p>
      <w:pPr>
        <w:numPr>
          <w:ilvl w:val="0"/>
          <w:numId w:val="1002"/>
        </w:numPr>
      </w:pPr>
      <w:r>
        <w:t xml:space="preserve">Primary: Q10</w:t>
      </w:r>
      <w:r>
        <w:t xml:space="preserve"> </w:t>
      </w:r>
      <w:r>
        <w:rPr>
          <w:i/>
          <w:iCs/>
        </w:rPr>
        <w:t xml:space="preserve">Problem description</w:t>
      </w:r>
    </w:p>
    <w:p>
      <w:pPr>
        <w:numPr>
          <w:ilvl w:val="0"/>
          <w:numId w:val="1002"/>
        </w:numPr>
      </w:pPr>
      <w:r>
        <w:t xml:space="preserve">Secondary: Q12</w:t>
      </w:r>
      <w:r>
        <w:t xml:space="preserve"> </w:t>
      </w:r>
      <w:r>
        <w:rPr>
          <w:i/>
          <w:iCs/>
        </w:rPr>
        <w:t xml:space="preserve">Therapy goals</w:t>
      </w:r>
    </w:p>
    <w:p>
      <w:pPr>
        <w:pStyle w:val="FirstParagraph"/>
      </w:pPr>
      <w:r>
        <w:rPr>
          <w:b/>
          <w:bCs/>
        </w:rPr>
        <w:t xml:space="preserve">Outcomes.</w:t>
      </w:r>
    </w:p>
    <w:p>
      <w:pPr>
        <w:numPr>
          <w:ilvl w:val="0"/>
          <w:numId w:val="1003"/>
        </w:numPr>
      </w:pPr>
      <w:r>
        <w:t xml:space="preserve">Convergent validity outcomes: Cross-sectional self-report symptom measures (BDI-II, BSI/GSI, DASS-42).</w:t>
      </w:r>
    </w:p>
    <w:p>
      <w:pPr>
        <w:numPr>
          <w:ilvl w:val="0"/>
          <w:numId w:val="1003"/>
        </w:numPr>
      </w:pPr>
      <w:r>
        <w:t xml:space="preserve">Incremental validity outcomes: Clinician-rated symptom severity (CGI-Severity).</w:t>
      </w:r>
    </w:p>
    <w:p>
      <w:pPr>
        <w:pStyle w:val="FirstParagraph"/>
      </w:pPr>
      <w:r>
        <w:rPr>
          <w:b/>
          <w:bCs/>
        </w:rPr>
        <w:t xml:space="preserve">Models &amp; evaluation.</w:t>
      </w:r>
      <w:r>
        <w:t xml:space="preserve"> </w:t>
      </w:r>
      <w:r>
        <w:t xml:space="preserve">Baselines (length, pronouns/negations) vs. LLM embeddings + ridge/lasso; holdout evaluation; incremental validity over scales (e.g., language adds predictive value beyond baseline questionnaires).</w:t>
      </w:r>
    </w:p>
    <w:bookmarkEnd w:id="51"/>
    <w:bookmarkStart w:id="52" w:name="substudy-2-patient-narratives-and-themes"/>
    <w:p>
      <w:pPr>
        <w:pStyle w:val="Heading2"/>
      </w:pPr>
      <w:r>
        <w:t xml:space="preserve">Substudy 2: Patient narratives and themes</w:t>
      </w:r>
    </w:p>
    <w:p>
      <w:pPr>
        <w:pStyle w:val="FirstParagraph"/>
      </w:pPr>
      <w:r>
        <w:rPr>
          <w:b/>
          <w:bCs/>
        </w:rPr>
        <w:t xml:space="preserve">Core research question.</w:t>
      </w:r>
      <w:r>
        <w:br/>
      </w:r>
      <w:r>
        <w:t xml:space="preserve">How do patients conceptualize the development, context, and perceived causes of their mental health problems, as well as anticipated improvements, and how do these narrative patterns vary across individuals and clinical groups?</w:t>
      </w:r>
    </w:p>
    <w:p>
      <w:pPr>
        <w:pStyle w:val="BodyText"/>
      </w:pPr>
      <w:r>
        <w:rPr>
          <w:b/>
          <w:bCs/>
        </w:rPr>
        <w:t xml:space="preserve">Conceptual contribution.</w:t>
      </w:r>
      <w:r>
        <w:br/>
      </w:r>
      <w:r>
        <w:t xml:space="preserve">This substudy emphasizes interpretation and theory generation, using patient language to uncover recurring narrative themes related to problem development, stressors, causal attributions, social context, and desired change. By analyzing these themes, this substudy provides insight into how narrative content and response patterns relate to diagnostic categories, baseline severity or sociodemographic and anamnestic characteristics.</w:t>
      </w:r>
    </w:p>
    <w:p>
      <w:pPr>
        <w:pStyle w:val="BodyText"/>
      </w:pPr>
      <w:r>
        <w:rPr>
          <w:b/>
          <w:bCs/>
        </w:rPr>
        <w:t xml:space="preserve">Text inputs.</w:t>
      </w:r>
      <w:r>
        <w:t xml:space="preserve"> </w:t>
      </w:r>
      <w:r>
        <w:t xml:space="preserve">Q1</w:t>
      </w:r>
      <w:r>
        <w:t xml:space="preserve"> </w:t>
      </w:r>
      <w:r>
        <w:rPr>
          <w:i/>
          <w:iCs/>
        </w:rPr>
        <w:t xml:space="preserve">Problem development</w:t>
      </w:r>
      <w:r>
        <w:t xml:space="preserve">, Q2</w:t>
      </w:r>
      <w:r>
        <w:t xml:space="preserve"> </w:t>
      </w:r>
      <w:r>
        <w:rPr>
          <w:i/>
          <w:iCs/>
        </w:rPr>
        <w:t xml:space="preserve">Extra stressors</w:t>
      </w:r>
      <w:r>
        <w:t xml:space="preserve">, Q3</w:t>
      </w:r>
      <w:r>
        <w:t xml:space="preserve"> </w:t>
      </w:r>
      <w:r>
        <w:rPr>
          <w:i/>
          <w:iCs/>
        </w:rPr>
        <w:t xml:space="preserve">Pre-onset changes</w:t>
      </w:r>
      <w:r>
        <w:t xml:space="preserve">, Q6</w:t>
      </w:r>
      <w:r>
        <w:t xml:space="preserve"> </w:t>
      </w:r>
      <w:r>
        <w:rPr>
          <w:i/>
          <w:iCs/>
        </w:rPr>
        <w:t xml:space="preserve">Problem causes</w:t>
      </w:r>
      <w:r>
        <w:t xml:space="preserve">, Q7</w:t>
      </w:r>
      <w:r>
        <w:t xml:space="preserve"> </w:t>
      </w:r>
      <w:r>
        <w:rPr>
          <w:i/>
          <w:iCs/>
        </w:rPr>
        <w:t xml:space="preserve">Expected improvements</w:t>
      </w:r>
      <w:r>
        <w:t xml:space="preserve">, Q8</w:t>
      </w:r>
      <w:r>
        <w:t xml:space="preserve"> </w:t>
      </w:r>
      <w:r>
        <w:rPr>
          <w:i/>
          <w:iCs/>
        </w:rPr>
        <w:t xml:space="preserve">Environment response</w:t>
      </w:r>
      <w:r>
        <w:t xml:space="preserve">. Question-wise modeling.</w:t>
      </w:r>
    </w:p>
    <w:p>
      <w:pPr>
        <w:pStyle w:val="BodyText"/>
      </w:pPr>
      <w:r>
        <w:rPr>
          <w:b/>
          <w:bCs/>
        </w:rPr>
        <w:t xml:space="preserve">Outcomes.</w:t>
      </w:r>
      <w:r>
        <w:t xml:space="preserve"> </w:t>
      </w:r>
      <w:r>
        <w:t xml:space="preserve">No single predictive outcome is specified, as the primary aim is interpretive and theory-generating rather than predictive.</w:t>
      </w:r>
    </w:p>
    <w:p>
      <w:pPr>
        <w:pStyle w:val="BodyText"/>
      </w:pPr>
      <w:r>
        <w:rPr>
          <w:b/>
          <w:bCs/>
        </w:rPr>
        <w:t xml:space="preserve">Models &amp; evaluation.</w:t>
      </w:r>
      <w:r>
        <w:t xml:space="preserve"> </w:t>
      </w:r>
      <w:r>
        <w:t xml:space="preserve">Topic modeling / embedding-based clustering; interpretive labeling; comparison of topic prevalence across patient groups.</w:t>
      </w:r>
    </w:p>
    <w:bookmarkEnd w:id="52"/>
    <w:bookmarkStart w:id="53" w:name="X3d1d2be5ec130d76274023a658dcd4b4de2f784"/>
    <w:p>
      <w:pPr>
        <w:pStyle w:val="Heading2"/>
      </w:pPr>
      <w:r>
        <w:t xml:space="preserve">Substudy 3: Predicting treatment response and goal attainment (longitudinal prediction)</w:t>
      </w:r>
    </w:p>
    <w:p>
      <w:pPr>
        <w:pStyle w:val="FirstParagraph"/>
      </w:pPr>
      <w:r>
        <w:rPr>
          <w:b/>
          <w:bCs/>
        </w:rPr>
        <w:t xml:space="preserve">Core research question.</w:t>
      </w:r>
      <w:r>
        <w:br/>
      </w:r>
      <w:r>
        <w:t xml:space="preserve">Can patients’ pre-therapy language predict clinically meaningful treatment outcomes beyond baseline symptom severity and demographic characteristics?</w:t>
      </w:r>
    </w:p>
    <w:p>
      <w:pPr>
        <w:pStyle w:val="BodyText"/>
      </w:pPr>
      <w:r>
        <w:rPr>
          <w:b/>
          <w:bCs/>
        </w:rPr>
        <w:t xml:space="preserve">Conceptual contribution.</w:t>
      </w:r>
      <w:r>
        <w:br/>
      </w:r>
      <w:r>
        <w:t xml:space="preserve">This substudy extends language-based mental health assessment from cross-sectional validity to prognostic utility. While prior work has primarily examined whether language reflects current symptom severity, far less is known about whether pre-therapy narratives encode information relevant for future treatment response, such as motivation, goal clarity, perceived agency, or narrative coherence. By evaluating the ability of pre-therapy language to predict longitudinal outcomes above and beyond baseline symptom measures, this substudy tests whether patient-generated text captures clinically actionable signals that are not accessible through standard intake questionnaires alone.</w:t>
      </w:r>
    </w:p>
    <w:p>
      <w:pPr>
        <w:pStyle w:val="BodyText"/>
      </w:pPr>
      <w:r>
        <w:rPr>
          <w:b/>
          <w:bCs/>
        </w:rPr>
        <w:t xml:space="preserve">Text inputs.</w:t>
      </w:r>
      <w:r>
        <w:t xml:space="preserve"> </w:t>
      </w:r>
      <w:r>
        <w:t xml:space="preserve">Primary: Q10 and Q12; Secondary: concatenation models.</w:t>
      </w:r>
    </w:p>
    <w:p>
      <w:pPr>
        <w:pStyle w:val="BodyText"/>
      </w:pPr>
      <w:r>
        <w:rPr>
          <w:b/>
          <w:bCs/>
        </w:rPr>
        <w:t xml:space="preserve">Outcomes.</w:t>
      </w:r>
    </w:p>
    <w:p>
      <w:pPr>
        <w:numPr>
          <w:ilvl w:val="0"/>
          <w:numId w:val="1004"/>
        </w:numPr>
      </w:pPr>
      <w:r>
        <w:t xml:space="preserve">Clinician-rated improvement (CGI-Improvement) at 6 months-follow-up assessment.</w:t>
      </w:r>
    </w:p>
    <w:p>
      <w:pPr>
        <w:numPr>
          <w:ilvl w:val="0"/>
          <w:numId w:val="1004"/>
        </w:numPr>
      </w:pPr>
      <w:r>
        <w:t xml:space="preserve">Global therapy outcome ratings (patient- and therapist-reported) at 6 months-follow-up assessment.</w:t>
      </w:r>
    </w:p>
    <w:p>
      <w:pPr>
        <w:numPr>
          <w:ilvl w:val="0"/>
          <w:numId w:val="1004"/>
        </w:numPr>
      </w:pPr>
      <w:r>
        <w:t xml:space="preserve">Goal Attainment Scale at 6 months-follow-up assessment.</w:t>
      </w:r>
    </w:p>
    <w:p>
      <w:pPr>
        <w:numPr>
          <w:ilvl w:val="0"/>
          <w:numId w:val="1004"/>
        </w:numPr>
      </w:pPr>
      <w:r>
        <w:t xml:space="preserve">Pre-Post Differences in Symptom Rating Scales ((BDI-II, BSI/GSI, DASS-42).</w:t>
      </w:r>
    </w:p>
    <w:p>
      <w:pPr>
        <w:pStyle w:val="FirstParagraph"/>
      </w:pPr>
      <w:r>
        <w:rPr>
          <w:b/>
          <w:bCs/>
        </w:rPr>
        <w:t xml:space="preserve">Models &amp; evaluation.</w:t>
      </w:r>
    </w:p>
    <w:p>
      <w:pPr>
        <w:numPr>
          <w:ilvl w:val="0"/>
          <w:numId w:val="1005"/>
        </w:numPr>
      </w:pPr>
      <w:r>
        <w:t xml:space="preserve">Baseline prognostic models: Demographic variables and baseline symptom severity (e.g., BDI-II, BSI/GSI, CGI-Severity).</w:t>
      </w:r>
    </w:p>
    <w:p>
      <w:pPr>
        <w:numPr>
          <w:ilvl w:val="0"/>
          <w:numId w:val="1005"/>
        </w:numPr>
      </w:pPr>
      <w:r>
        <w:t xml:space="preserve">Language-augmented models: Baseline predictors plus language representations derived from pre-therapy text.</w:t>
      </w:r>
    </w:p>
    <w:bookmarkEnd w:id="53"/>
    <w:bookmarkStart w:id="54" w:name="X6d694b847965ba7689c2916a7035a8d57419ec2"/>
    <w:p>
      <w:pPr>
        <w:pStyle w:val="Heading2"/>
      </w:pPr>
      <w:r>
        <w:t xml:space="preserve">Substudy 4: Prompt-based LLM rubrics for interpretable language assessment</w:t>
      </w:r>
    </w:p>
    <w:p>
      <w:pPr>
        <w:pStyle w:val="FirstParagraph"/>
      </w:pPr>
      <w:r>
        <w:rPr>
          <w:b/>
          <w:bCs/>
        </w:rPr>
        <w:t xml:space="preserve">Core research question.</w:t>
      </w:r>
      <w:r>
        <w:br/>
      </w:r>
      <w:r>
        <w:t xml:space="preserve">Can prompt-based large language models (LLMs) reliably extract interpretable, clinically meaningful rubric scores from pre-therapy narratives, and do these rubric-based language measures add incremental value beyond (a) standardized questionnaires and (b) embedding-based language representations?</w:t>
      </w:r>
    </w:p>
    <w:bookmarkEnd w:id="54"/>
    <w:bookmarkEnd w:id="55"/>
    <w:p>
      <w:pPr>
        <w:pStyle w:val="Heading1"/>
      </w:pPr>
      <w:r>
        <w:t xml:space="preserve">References</w:t>
      </w:r>
    </w:p>
    <w:bookmarkStart w:id="109" w:name="refs"/>
    <w:bookmarkStart w:id="56"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56"/>
    <w:bookmarkStart w:id="58" w:name="ref-bernstein2003"/>
    <w:p>
      <w:pPr>
        <w:pStyle w:val="Bibliography"/>
      </w:pPr>
      <w:r>
        <w:t xml:space="preserve">Bernstein, D. P., Stein, J. A., Newcomb, M. D., Walker, E., Pogge, D., Ahluvalia, T., Stokes, J., Handelsman, L., Medrano, M., Desmond, D., &amp; Zule, W. (2003). Development and validation of a brief screening version of the Childhood Trauma Questionnaire.</w:t>
      </w:r>
      <w:r>
        <w:t xml:space="preserve"> </w:t>
      </w:r>
      <w:r>
        <w:rPr>
          <w:i/>
          <w:iCs/>
        </w:rPr>
        <w:t xml:space="preserve">Child Abuse &amp; Neglect</w:t>
      </w:r>
      <w:r>
        <w:t xml:space="preserve">,</w:t>
      </w:r>
      <w:r>
        <w:t xml:space="preserve"> </w:t>
      </w:r>
      <w:r>
        <w:rPr>
          <w:i/>
          <w:iCs/>
        </w:rPr>
        <w:t xml:space="preserve">27</w:t>
      </w:r>
      <w:r>
        <w:t xml:space="preserve">(2), 169–190.</w:t>
      </w:r>
      <w:r>
        <w:t xml:space="preserve"> </w:t>
      </w:r>
      <w:hyperlink r:id="rId57">
        <w:r>
          <w:rPr>
            <w:rStyle w:val="Hyperlink"/>
          </w:rPr>
          <w:t xml:space="preserve">https://doi.org/10.1016/s0145-2134(02)00541-0</w:t>
        </w:r>
      </w:hyperlink>
    </w:p>
    <w:bookmarkEnd w:id="58"/>
    <w:bookmarkStart w:id="59" w:name="ref-10.5555/944919.944937"/>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(null), 993–1022.</w:t>
      </w:r>
    </w:p>
    <w:bookmarkEnd w:id="59"/>
    <w:bookmarkStart w:id="60"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60"/>
    <w:bookmarkStart w:id="62"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61">
        <w:r>
          <w:rPr>
            <w:rStyle w:val="Hyperlink"/>
          </w:rPr>
          <w:t xml:space="preserve">https://doi.org/10.18653/v1/N19-1423</w:t>
        </w:r>
      </w:hyperlink>
    </w:p>
    <w:bookmarkEnd w:id="62"/>
    <w:bookmarkStart w:id="63" w:name="ref-book"/>
    <w:p>
      <w:pPr>
        <w:pStyle w:val="Bibliography"/>
      </w:pPr>
      <w:r>
        <w:t xml:space="preserve">Franke, G. (2002).</w:t>
      </w:r>
      <w:r>
        <w:t xml:space="preserve"> </w:t>
      </w:r>
      <w:r>
        <w:rPr>
          <w:i/>
          <w:iCs/>
        </w:rPr>
        <w:t xml:space="preserve">Franke, g.h. (2000). BSI. Brief symptom inventory - deutsche version. Manual. Göttingen: beltz.</w:t>
      </w:r>
    </w:p>
    <w:bookmarkEnd w:id="63"/>
    <w:bookmarkStart w:id="65" w:name="X42d14bf6feefa7767011bb8506f2dad315765d4"/>
    <w:p>
      <w:pPr>
        <w:pStyle w:val="Bibliography"/>
      </w:pPr>
      <w:r>
        <w:t xml:space="preserve">Grootendorst, M. (2022).</w:t>
      </w:r>
      <w:r>
        <w:t xml:space="preserve"> </w:t>
      </w:r>
      <w:r>
        <w:rPr>
          <w:i/>
          <w:iCs/>
        </w:rPr>
        <w:t xml:space="preserve">BERTopic</w:t>
      </w:r>
      <w:r>
        <w:rPr>
          <w:i/>
          <w:iCs/>
        </w:rPr>
        <w:t xml:space="preserve">:</w:t>
      </w:r>
      <w:r>
        <w:rPr>
          <w:i/>
          <w:iCs/>
        </w:rPr>
        <w:t xml:space="preserve"> </w:t>
      </w:r>
      <w:r>
        <w:rPr>
          <w:i/>
          <w:iCs/>
        </w:rPr>
        <w:t xml:space="preserve">Neural</w:t>
      </w:r>
      <w:r>
        <w:rPr>
          <w:i/>
          <w:iCs/>
        </w:rPr>
        <w:t xml:space="preserve"> </w:t>
      </w:r>
      <w:r>
        <w:rPr>
          <w:i/>
          <w:iCs/>
        </w:rPr>
        <w:t xml:space="preserve">topic modeling with a class-based</w:t>
      </w:r>
      <w:r>
        <w:rPr>
          <w:i/>
          <w:iCs/>
        </w:rPr>
        <w:t xml:space="preserve"> </w:t>
      </w:r>
      <w:r>
        <w:rPr>
          <w:i/>
          <w:iCs/>
        </w:rPr>
        <w:t xml:space="preserve">TF-IDF</w:t>
      </w:r>
      <w:r>
        <w:rPr>
          <w:i/>
          <w:iCs/>
        </w:rPr>
        <w:t xml:space="preserve"> </w:t>
      </w:r>
      <w:r>
        <w:rPr>
          <w:i/>
          <w:iCs/>
        </w:rPr>
        <w:t xml:space="preserve">procedure</w:t>
      </w:r>
      <w:r>
        <w:t xml:space="preserve">.</w:t>
      </w:r>
      <w:r>
        <w:t xml:space="preserve"> </w:t>
      </w:r>
      <w:hyperlink r:id="rId64">
        <w:r>
          <w:rPr>
            <w:rStyle w:val="Hyperlink"/>
          </w:rPr>
          <w:t xml:space="preserve">https://arxiv.org/abs/2203.05794</w:t>
        </w:r>
      </w:hyperlink>
    </w:p>
    <w:bookmarkEnd w:id="65"/>
    <w:bookmarkStart w:id="67"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66">
        <w:r>
          <w:rPr>
            <w:rStyle w:val="Hyperlink"/>
          </w:rPr>
          <w:t xml:space="preserve">https://doi.org/10.1109/ICDAR.1995.598994</w:t>
        </w:r>
      </w:hyperlink>
    </w:p>
    <w:bookmarkEnd w:id="67"/>
    <w:bookmarkStart w:id="69"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68">
        <w:r>
          <w:rPr>
            <w:rStyle w:val="Hyperlink"/>
          </w:rPr>
          <w:t xml:space="preserve">https://doi.org/10.1080/00401706.1970.10488634</w:t>
        </w:r>
      </w:hyperlink>
    </w:p>
    <w:bookmarkEnd w:id="69"/>
    <w:bookmarkStart w:id="71"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70">
        <w:r>
          <w:rPr>
            <w:rStyle w:val="Hyperlink"/>
          </w:rPr>
          <w:t xml:space="preserve">https://doi.org/10.1037/0022-006X.76.5.711</w:t>
        </w:r>
      </w:hyperlink>
    </w:p>
    <w:bookmarkEnd w:id="71"/>
    <w:bookmarkStart w:id="73"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72">
        <w:r>
          <w:rPr>
            <w:rStyle w:val="Hyperlink"/>
          </w:rPr>
          <w:t xml:space="preserve">https://doi.org/10.1007/BF01530764</w:t>
        </w:r>
      </w:hyperlink>
    </w:p>
    <w:bookmarkEnd w:id="73"/>
    <w:bookmarkStart w:id="75"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74">
        <w:r>
          <w:rPr>
            <w:rStyle w:val="Hyperlink"/>
          </w:rPr>
          <w:t xml:space="preserve">https://doi.org/10.31234/osf.io/xw24e</w:t>
        </w:r>
      </w:hyperlink>
    </w:p>
    <w:bookmarkEnd w:id="75"/>
    <w:bookmarkStart w:id="77"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76">
        <w:r>
          <w:rPr>
            <w:rStyle w:val="Hyperlink"/>
          </w:rPr>
          <w:t xml:space="preserve">https://doi.org/10.1037/met0000191</w:t>
        </w:r>
      </w:hyperlink>
    </w:p>
    <w:bookmarkEnd w:id="77"/>
    <w:bookmarkStart w:id="79"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78">
        <w:r>
          <w:rPr>
            <w:rStyle w:val="Hyperlink"/>
          </w:rPr>
          <w:t xml:space="preserve">https://doi.org/10.1016/j.psychres.2023.115667</w:t>
        </w:r>
      </w:hyperlink>
    </w:p>
    <w:bookmarkEnd w:id="79"/>
    <w:bookmarkStart w:id="81"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80">
        <w:r>
          <w:rPr>
            <w:rStyle w:val="Hyperlink"/>
          </w:rPr>
          <w:t xml:space="preserve">https://doi.org/10.1038/s41598-022-07520-w</w:t>
        </w:r>
      </w:hyperlink>
    </w:p>
    <w:bookmarkEnd w:id="81"/>
    <w:bookmarkStart w:id="82"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82"/>
    <w:bookmarkStart w:id="84"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83">
        <w:r>
          <w:rPr>
            <w:rStyle w:val="Hyperlink"/>
          </w:rPr>
          <w:t xml:space="preserve">https://doi.org/10.1016/0005-7967(94)00075-u</w:t>
        </w:r>
      </w:hyperlink>
    </w:p>
    <w:bookmarkEnd w:id="84"/>
    <w:bookmarkStart w:id="86"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85">
        <w:r>
          <w:rPr>
            <w:rStyle w:val="Hyperlink"/>
          </w:rPr>
          <w:t xml:space="preserve">https://doi.org/10.1186/s40359-016-0111-x</w:t>
        </w:r>
      </w:hyperlink>
    </w:p>
    <w:bookmarkEnd w:id="86"/>
    <w:bookmarkStart w:id="88"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87">
        <w:r>
          <w:rPr>
            <w:rStyle w:val="Hyperlink"/>
          </w:rPr>
          <w:t xml:space="preserve">https://doi.org/10.1146/annurev-clinpsy-071720-014821</w:t>
        </w:r>
      </w:hyperlink>
    </w:p>
    <w:bookmarkEnd w:id="88"/>
    <w:bookmarkStart w:id="90"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89">
        <w:r>
          <w:rPr>
            <w:rStyle w:val="Hyperlink"/>
          </w:rPr>
          <w:t xml:space="preserve">https://doi.org/10.46586/rub.172.149</w:t>
        </w:r>
      </w:hyperlink>
    </w:p>
    <w:bookmarkEnd w:id="90"/>
    <w:bookmarkStart w:id="92" w:name="ref-matero-etal-2019-suicide"/>
    <w:p>
      <w:pPr>
        <w:pStyle w:val="Bibliography"/>
      </w:pPr>
      <w:r>
        <w:t xml:space="preserve">Matero, M., Idnani, A., Son, Y., Giorgi, S., Vu, H., Zamani, M., Limbachiya, P., Guntuku, S. C., &amp; Schwartz, H. A. (2019). Suicide risk assessment with multi-level dual-context language and</w:t>
      </w:r>
      <w:r>
        <w:t xml:space="preserve"> </w:t>
      </w:r>
      <w:r>
        <w:t xml:space="preserve">BERT</w:t>
      </w:r>
      <w:r>
        <w:t xml:space="preserve">.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39–44). Association for Computational Linguistics.</w:t>
      </w:r>
      <w:r>
        <w:t xml:space="preserve"> </w:t>
      </w:r>
      <w:hyperlink r:id="rId91">
        <w:r>
          <w:rPr>
            <w:rStyle w:val="Hyperlink"/>
          </w:rPr>
          <w:t xml:space="preserve">https://doi.org/10.18653/v1/W19-3005</w:t>
        </w:r>
      </w:hyperlink>
    </w:p>
    <w:bookmarkEnd w:id="92"/>
    <w:bookmarkStart w:id="94"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93">
        <w:r>
          <w:rPr>
            <w:rStyle w:val="Hyperlink"/>
          </w:rPr>
          <w:t xml:space="preserve">https://doi.org/10.1026/0084-5345.32.2.94</w:t>
        </w:r>
      </w:hyperlink>
    </w:p>
    <w:bookmarkEnd w:id="94"/>
    <w:bookmarkStart w:id="96" w:name="ref-mohammadi-etal-2019-clac-clpsych"/>
    <w:p>
      <w:pPr>
        <w:pStyle w:val="Bibliography"/>
      </w:pPr>
      <w:r>
        <w:t xml:space="preserve">Mohammadi, E., Amini, H., &amp; Kosseim, L. (2019).</w:t>
      </w:r>
      <w:r>
        <w:t xml:space="preserve"> </w:t>
      </w:r>
      <w:r>
        <w:t xml:space="preserve">CLaC</w:t>
      </w:r>
      <w:r>
        <w:t xml:space="preserve"> </w:t>
      </w:r>
      <w:r>
        <w:t xml:space="preserve">at</w:t>
      </w:r>
      <w:r>
        <w:t xml:space="preserve"> </w:t>
      </w:r>
      <w:r>
        <w:t xml:space="preserve">CLPsych</w:t>
      </w:r>
      <w:r>
        <w:t xml:space="preserve"> </w:t>
      </w:r>
      <w:r>
        <w:t xml:space="preserve">2019:</w:t>
      </w:r>
      <w:r>
        <w:t xml:space="preserve"> </w:t>
      </w:r>
      <w:r>
        <w:t xml:space="preserve">Fusion</w:t>
      </w:r>
      <w:r>
        <w:t xml:space="preserve"> </w:t>
      </w:r>
      <w:r>
        <w:t xml:space="preserve">of neural features and predicted class probabilities for suicide risk assessment based on online 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34–38). Association for Computational Linguistics.</w:t>
      </w:r>
      <w:r>
        <w:t xml:space="preserve"> </w:t>
      </w:r>
      <w:hyperlink r:id="rId95">
        <w:r>
          <w:rPr>
            <w:rStyle w:val="Hyperlink"/>
          </w:rPr>
          <w:t xml:space="preserve">https://doi.org/10.18653/v1/W19-3004</w:t>
        </w:r>
      </w:hyperlink>
    </w:p>
    <w:bookmarkEnd w:id="96"/>
    <w:bookmarkStart w:id="98"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97">
        <w:r>
          <w:rPr>
            <w:rStyle w:val="Hyperlink"/>
          </w:rPr>
          <w:t xml:space="preserve">https://arxiv.org/abs/2212.04356</w:t>
        </w:r>
      </w:hyperlink>
    </w:p>
    <w:bookmarkEnd w:id="98"/>
    <w:bookmarkStart w:id="99" w:name="ref-shannon1948mathematical"/>
    <w:p>
      <w:pPr>
        <w:pStyle w:val="Bibliography"/>
      </w:pPr>
      <w:r>
        <w:t xml:space="preserve">Shannon, C. E. (1948). A mathematical theory of communication.</w:t>
      </w:r>
      <w:r>
        <w:t xml:space="preserve"> </w:t>
      </w:r>
      <w:r>
        <w:rPr>
          <w:i/>
          <w:iCs/>
        </w:rPr>
        <w:t xml:space="preserve">The Bell System Technical Journal</w:t>
      </w:r>
      <w:r>
        <w:t xml:space="preserve">,</w:t>
      </w:r>
      <w:r>
        <w:t xml:space="preserve"> </w:t>
      </w:r>
      <w:r>
        <w:rPr>
          <w:i/>
          <w:iCs/>
        </w:rPr>
        <w:t xml:space="preserve">27</w:t>
      </w:r>
      <w:r>
        <w:t xml:space="preserve">(3), 379423.</w:t>
      </w:r>
    </w:p>
    <w:bookmarkEnd w:id="99"/>
    <w:bookmarkStart w:id="101"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100">
        <w:r>
          <w:rPr>
            <w:rStyle w:val="Hyperlink"/>
          </w:rPr>
          <w:t xml:space="preserve">https://doi.org/10.1111/j.2517-6161.1996.tb02080.x</w:t>
        </w:r>
      </w:hyperlink>
    </w:p>
    <w:bookmarkEnd w:id="101"/>
    <w:bookmarkStart w:id="102"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102"/>
    <w:bookmarkStart w:id="103"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103"/>
    <w:bookmarkStart w:id="105" w:name="ref-wingenfeld2010"/>
    <w:p>
      <w:pPr>
        <w:pStyle w:val="Bibliography"/>
      </w:pPr>
      <w:r>
        <w:t xml:space="preserve">Wingenfeld, K., Spitzer, C., Mensebach, C., Grabe, H., Hill, A., Gast, U., Schlosser, N., Höpp, H., Beblo, T., &amp; Driessen, M. (2010). Die deutsche Version des Childhood Trauma Questionnaire (CTQ): Erste Befunde zu den psychometrischen Kennwerten.</w:t>
      </w:r>
      <w:r>
        <w:t xml:space="preserve"> </w:t>
      </w:r>
      <w:r>
        <w:rPr>
          <w:i/>
          <w:iCs/>
        </w:rPr>
        <w:t xml:space="preserve">PPmP - Psychotherapie · Psychosomatik · Medizinische Psychologie</w:t>
      </w:r>
      <w:r>
        <w:t xml:space="preserve">,</w:t>
      </w:r>
      <w:r>
        <w:t xml:space="preserve"> </w:t>
      </w:r>
      <w:r>
        <w:rPr>
          <w:i/>
          <w:iCs/>
        </w:rPr>
        <w:t xml:space="preserve">60</w:t>
      </w:r>
      <w:r>
        <w:t xml:space="preserve">(08), e13–e13.</w:t>
      </w:r>
      <w:r>
        <w:t xml:space="preserve"> </w:t>
      </w:r>
      <w:hyperlink r:id="rId104">
        <w:r>
          <w:rPr>
            <w:rStyle w:val="Hyperlink"/>
          </w:rPr>
          <w:t xml:space="preserve">https://doi.org/10.1055/s-0030-1253494</w:t>
        </w:r>
      </w:hyperlink>
    </w:p>
    <w:bookmarkEnd w:id="105"/>
    <w:bookmarkStart w:id="106"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106"/>
    <w:bookmarkStart w:id="108" w:name="ref-zirikly-etal-2019-clpsych"/>
    <w:p>
      <w:pPr>
        <w:pStyle w:val="Bibliography"/>
      </w:pPr>
      <w:r>
        <w:t xml:space="preserve">Zirikly, A., Resnik, P., Uzuner, Ö., &amp; Hollingshead, K. (2019).</w:t>
      </w:r>
      <w:r>
        <w:t xml:space="preserve"> </w:t>
      </w:r>
      <w:r>
        <w:t xml:space="preserve">CLPsych</w:t>
      </w:r>
      <w:r>
        <w:t xml:space="preserve"> </w:t>
      </w:r>
      <w:r>
        <w:t xml:space="preserve">2019 shared task:</w:t>
      </w:r>
      <w:r>
        <w:t xml:space="preserve"> </w:t>
      </w:r>
      <w:r>
        <w:t xml:space="preserve">Predicting</w:t>
      </w:r>
      <w:r>
        <w:t xml:space="preserve"> </w:t>
      </w:r>
      <w:r>
        <w:t xml:space="preserve">the degree of suicide risk in</w:t>
      </w:r>
      <w:r>
        <w:t xml:space="preserve"> </w:t>
      </w:r>
      <w:r>
        <w:t xml:space="preserve">Reddit</w:t>
      </w:r>
      <w:r>
        <w:t xml:space="preserve"> </w:t>
      </w:r>
      <w:r>
        <w:t xml:space="preserve">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24–33). Association for Computational Linguistics.</w:t>
      </w:r>
      <w:r>
        <w:t xml:space="preserve"> </w:t>
      </w:r>
      <w:hyperlink r:id="rId107">
        <w:r>
          <w:rPr>
            <w:rStyle w:val="Hyperlink"/>
          </w:rPr>
          <w:t xml:space="preserve">https://doi.org/10.18653/v1/W19-3003</w:t>
        </w:r>
      </w:hyperlink>
    </w:p>
    <w:bookmarkEnd w:id="108"/>
    <w:bookmarkEnd w:id="10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26" Target="media/rId26.svg" /><Relationship Type="http://schemas.openxmlformats.org/officeDocument/2006/relationships/hyperlink" Id="rId64" Target="https://arxiv.org/abs/2203.05794" TargetMode="External" /><Relationship Type="http://schemas.openxmlformats.org/officeDocument/2006/relationships/hyperlink" Id="rId97" Target="https://arxiv.org/abs/2212.04356" TargetMode="External" /><Relationship Type="http://schemas.openxmlformats.org/officeDocument/2006/relationships/hyperlink" Id="rId43" Target="https://aspredicted.org/" TargetMode="External" /><Relationship Type="http://schemas.openxmlformats.org/officeDocument/2006/relationships/hyperlink" Id="rId72" Target="https://doi.org/10.1007/BF01530764" TargetMode="External" /><Relationship Type="http://schemas.openxmlformats.org/officeDocument/2006/relationships/hyperlink" Id="rId83" Target="https://doi.org/10.1016/0005-7967(94)00075-u" TargetMode="External" /><Relationship Type="http://schemas.openxmlformats.org/officeDocument/2006/relationships/hyperlink" Id="rId78" Target="https://doi.org/10.1016/j.psychres.2023.115667" TargetMode="External" /><Relationship Type="http://schemas.openxmlformats.org/officeDocument/2006/relationships/hyperlink" Id="rId57" Target="https://doi.org/10.1016/s0145-2134(02)00541-0" TargetMode="External" /><Relationship Type="http://schemas.openxmlformats.org/officeDocument/2006/relationships/hyperlink" Id="rId93" Target="https://doi.org/10.1026/0084-5345.32.2.94" TargetMode="External" /><Relationship Type="http://schemas.openxmlformats.org/officeDocument/2006/relationships/hyperlink" Id="rId70" Target="https://doi.org/10.1037/0022-006X.76.5.711" TargetMode="External" /><Relationship Type="http://schemas.openxmlformats.org/officeDocument/2006/relationships/hyperlink" Id="rId76" Target="https://doi.org/10.1037/met0000191" TargetMode="External" /><Relationship Type="http://schemas.openxmlformats.org/officeDocument/2006/relationships/hyperlink" Id="rId80" Target="https://doi.org/10.1038/s41598-022-07520-w" TargetMode="External" /><Relationship Type="http://schemas.openxmlformats.org/officeDocument/2006/relationships/hyperlink" Id="rId104" Target="https://doi.org/10.1055/s-0030-1253494" TargetMode="External" /><Relationship Type="http://schemas.openxmlformats.org/officeDocument/2006/relationships/hyperlink" Id="rId68" Target="https://doi.org/10.1080/00401706.1970.10488634" TargetMode="External" /><Relationship Type="http://schemas.openxmlformats.org/officeDocument/2006/relationships/hyperlink" Id="rId66" Target="https://doi.org/10.1109/ICDAR.1995.598994" TargetMode="External" /><Relationship Type="http://schemas.openxmlformats.org/officeDocument/2006/relationships/hyperlink" Id="rId100" Target="https://doi.org/10.1111/j.2517-6161.1996.tb02080.x" TargetMode="External" /><Relationship Type="http://schemas.openxmlformats.org/officeDocument/2006/relationships/hyperlink" Id="rId87" Target="https://doi.org/10.1146/annurev-clinpsy-071720-014821" TargetMode="External" /><Relationship Type="http://schemas.openxmlformats.org/officeDocument/2006/relationships/hyperlink" Id="rId85" Target="https://doi.org/10.1186/s40359-016-0111-x" TargetMode="External" /><Relationship Type="http://schemas.openxmlformats.org/officeDocument/2006/relationships/hyperlink" Id="rId61" Target="https://doi.org/10.18653/v1/N19-1423" TargetMode="External" /><Relationship Type="http://schemas.openxmlformats.org/officeDocument/2006/relationships/hyperlink" Id="rId107" Target="https://doi.org/10.18653/v1/W19-3003" TargetMode="External" /><Relationship Type="http://schemas.openxmlformats.org/officeDocument/2006/relationships/hyperlink" Id="rId95" Target="https://doi.org/10.18653/v1/W19-3004" TargetMode="External" /><Relationship Type="http://schemas.openxmlformats.org/officeDocument/2006/relationships/hyperlink" Id="rId91" Target="https://doi.org/10.18653/v1/W19-3005" TargetMode="External" /><Relationship Type="http://schemas.openxmlformats.org/officeDocument/2006/relationships/hyperlink" Id="rId74" Target="https://doi.org/10.31234/osf.io/xw24e" TargetMode="External" /><Relationship Type="http://schemas.openxmlformats.org/officeDocument/2006/relationships/hyperlink" Id="rId89"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64" Target="https://arxiv.org/abs/2203.05794" TargetMode="External" /><Relationship Type="http://schemas.openxmlformats.org/officeDocument/2006/relationships/hyperlink" Id="rId97" Target="https://arxiv.org/abs/2212.04356" TargetMode="External" /><Relationship Type="http://schemas.openxmlformats.org/officeDocument/2006/relationships/hyperlink" Id="rId43" Target="https://aspredicted.org/" TargetMode="External" /><Relationship Type="http://schemas.openxmlformats.org/officeDocument/2006/relationships/hyperlink" Id="rId72" Target="https://doi.org/10.1007/BF01530764" TargetMode="External" /><Relationship Type="http://schemas.openxmlformats.org/officeDocument/2006/relationships/hyperlink" Id="rId83" Target="https://doi.org/10.1016/0005-7967(94)00075-u" TargetMode="External" /><Relationship Type="http://schemas.openxmlformats.org/officeDocument/2006/relationships/hyperlink" Id="rId78" Target="https://doi.org/10.1016/j.psychres.2023.115667" TargetMode="External" /><Relationship Type="http://schemas.openxmlformats.org/officeDocument/2006/relationships/hyperlink" Id="rId57" Target="https://doi.org/10.1016/s0145-2134(02)00541-0" TargetMode="External" /><Relationship Type="http://schemas.openxmlformats.org/officeDocument/2006/relationships/hyperlink" Id="rId93" Target="https://doi.org/10.1026/0084-5345.32.2.94" TargetMode="External" /><Relationship Type="http://schemas.openxmlformats.org/officeDocument/2006/relationships/hyperlink" Id="rId70" Target="https://doi.org/10.1037/0022-006X.76.5.711" TargetMode="External" /><Relationship Type="http://schemas.openxmlformats.org/officeDocument/2006/relationships/hyperlink" Id="rId76" Target="https://doi.org/10.1037/met0000191" TargetMode="External" /><Relationship Type="http://schemas.openxmlformats.org/officeDocument/2006/relationships/hyperlink" Id="rId80" Target="https://doi.org/10.1038/s41598-022-07520-w" TargetMode="External" /><Relationship Type="http://schemas.openxmlformats.org/officeDocument/2006/relationships/hyperlink" Id="rId104" Target="https://doi.org/10.1055/s-0030-1253494" TargetMode="External" /><Relationship Type="http://schemas.openxmlformats.org/officeDocument/2006/relationships/hyperlink" Id="rId68" Target="https://doi.org/10.1080/00401706.1970.10488634" TargetMode="External" /><Relationship Type="http://schemas.openxmlformats.org/officeDocument/2006/relationships/hyperlink" Id="rId66" Target="https://doi.org/10.1109/ICDAR.1995.598994" TargetMode="External" /><Relationship Type="http://schemas.openxmlformats.org/officeDocument/2006/relationships/hyperlink" Id="rId100" Target="https://doi.org/10.1111/j.2517-6161.1996.tb02080.x" TargetMode="External" /><Relationship Type="http://schemas.openxmlformats.org/officeDocument/2006/relationships/hyperlink" Id="rId87" Target="https://doi.org/10.1146/annurev-clinpsy-071720-014821" TargetMode="External" /><Relationship Type="http://schemas.openxmlformats.org/officeDocument/2006/relationships/hyperlink" Id="rId85" Target="https://doi.org/10.1186/s40359-016-0111-x" TargetMode="External" /><Relationship Type="http://schemas.openxmlformats.org/officeDocument/2006/relationships/hyperlink" Id="rId61" Target="https://doi.org/10.18653/v1/N19-1423" TargetMode="External" /><Relationship Type="http://schemas.openxmlformats.org/officeDocument/2006/relationships/hyperlink" Id="rId107" Target="https://doi.org/10.18653/v1/W19-3003" TargetMode="External" /><Relationship Type="http://schemas.openxmlformats.org/officeDocument/2006/relationships/hyperlink" Id="rId95" Target="https://doi.org/10.18653/v1/W19-3004" TargetMode="External" /><Relationship Type="http://schemas.openxmlformats.org/officeDocument/2006/relationships/hyperlink" Id="rId91" Target="https://doi.org/10.18653/v1/W19-3005" TargetMode="External" /><Relationship Type="http://schemas.openxmlformats.org/officeDocument/2006/relationships/hyperlink" Id="rId74" Target="https://doi.org/10.31234/osf.io/xw24e" TargetMode="External" /><Relationship Type="http://schemas.openxmlformats.org/officeDocument/2006/relationships/hyperlink" Id="rId89"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dc:description>
  <cp:keywords/>
  <dcterms:created xsi:type="dcterms:W3CDTF">2026-01-01T22:32:23Z</dcterms:created>
  <dcterms:modified xsi:type="dcterms:W3CDTF">2026-01-01T22:32:23Z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subtitle">
    <vt:lpwstr>umbrella project documentation</vt:lpwstr>
  </property>
  <property fmtid="{D5CDD505-2E9C-101B-9397-08002B2CF9AE}" pid="6" name="apatitle">
    <vt:lpwstr>MENTAL HEALTH EVALUATION THROUGH TEXT ANALYSIS</vt:lpwstr>
  </property>
  <property fmtid="{D5CDD505-2E9C-101B-9397-08002B2CF9AE}" pid="7" name="apatitledisplay">
    <vt:lpwstr>Mental Health Evaluation through Text Analysis: umbrella project documentation</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rossref">
    <vt:lpwstr/>
  </property>
  <property fmtid="{D5CDD505-2E9C-101B-9397-08002B2CF9AE}" pid="15" name="csl">
    <vt:lpwstr>references/apa-2.csl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emplate-partials">
    <vt:lpwstr/>
  </property>
  <property fmtid="{D5CDD505-2E9C-101B-9397-08002B2CF9AE}" pid="64" name="theme">
    <vt:lpwstr>cosmo</vt:lpwstr>
  </property>
  <property fmtid="{D5CDD505-2E9C-101B-9397-08002B2CF9AE}" pid="65" name="title-block-style">
    <vt:lpwstr>manuscript</vt:lpwstr>
  </property>
  <property fmtid="{D5CDD505-2E9C-101B-9397-08002B2CF9AE}" pid="66" name="toc-title">
    <vt:lpwstr>Table of contents</vt:lpwstr>
  </property>
  <property fmtid="{D5CDD505-2E9C-101B-9397-08002B2CF9AE}" pid="67" name="unroll-markdown-cells">
    <vt:lpwstr>True</vt:lpwstr>
  </property>
  <property fmtid="{D5CDD505-2E9C-101B-9397-08002B2CF9AE}" pid="68" name="wordn">
    <vt:lpwstr>3953</vt:lpwstr>
  </property>
  <property fmtid="{D5CDD505-2E9C-101B-9397-08002B2CF9AE}" pid="69" name="zerocitations">
    <vt:lpwstr>False</vt:lpwstr>
  </property>
</Properties>
</file>