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(META)</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23" w:name="firstheader"/>
    <w:p>
      <w:pPr>
        <w:pStyle w:val="Heading1"/>
      </w:pPr>
      <w:r>
        <w:t xml:space="preserve">Mental Health Evaluation through Text Analysis (META)</w:t>
      </w:r>
    </w:p>
    <w:bookmarkEnd w:id="23"/>
    <w:bookmarkStart w:id="24"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diagnostic tools often use standardized closed-ended scales that, while reliable, may fail to capture the complexity and individuality of mental states. In collaboration with Dr. Oscar Kjell at Lund University, this project leverages advances in artificial intelligence (AI) and natural language processing (NLP) to transform the way mental health is assessed.</w:t>
      </w:r>
    </w:p>
    <w:p>
      <w:pPr>
        <w:pStyle w:val="BodyText"/>
      </w:pPr>
      <w:r>
        <w:t xml:space="preserve">This project is based on a unique longitudinal dataset collected over 10 years at the Mental Health Research and Treatment Center (FBZ) at Ruhr University Bochum. It consists of written self-reports in which patients describe their mental health problems, functional impairment, and therapy goals in their own words. These texts are linked to key clinical outcomes such as diagnoses, symptom severity, functional impairment, and treatment success, providing a rich, ecologically valid resource for understanding patient progress in psychotherapy.</w:t>
      </w:r>
    </w:p>
    <w:p>
      <w:pPr>
        <w:pStyle w:val="BodyText"/>
      </w:pPr>
      <w:r>
        <w:t xml:space="preserve">While previous NLP-based mental health studies have focused on social media posts, limiting their clinical applicability, this project applies state-of-the-art large language models (LLMs) to real-world clinical data. By analyzing patients’ open-ended responses, we aim to uncover patterns in how they articulate mental health, emotions, and treatment trajectories. These insights will inform the development of AI-powered tools that offer more personalized and clinically relevant assessments, surpassing traditional methods in accuracy and depth. Ultimately, this research aims to support clinicians in making more informed treatment decisions, enhance personalized care, and contribute to the modernization of mental health assessment.</w:t>
      </w:r>
    </w:p>
    <w:bookmarkEnd w:id="24"/>
    <w:bookmarkStart w:id="25"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Current assessment practices typically combine subjective self-reports with clinical observations</w:t>
      </w:r>
      <w:r>
        <w:t xml:space="preserve"> </w:t>
      </w:r>
      <w:r>
        <w:t xml:space="preserve">(</w:t>
      </w:r>
      <w:hyperlink w:anchor="ref-Bonnin2024a">
        <w:r>
          <w:rPr>
            <w:rStyle w:val="Hyperlink"/>
          </w:rPr>
          <w:t xml:space="preserve">Bonnin et al., 2024</w:t>
        </w:r>
      </w:hyperlink>
      <w:r>
        <w:t xml:space="preserve">)</w:t>
      </w:r>
      <w:r>
        <w:t xml:space="preserve">. 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At the FBZ at Ruhr University Bochum, open-ended patient responses have been routinely collected from approximately 3,000 patients pre-therapy. While previous studies have explored the use of NLP for mental health assessment, they have largely relied on social media language, limiting their clinical applicability. My project moves beyond the current state-of-the-art by applying LLMs to analyze this unique, large-scale, and longitudinal clinical dataset, assessing the relationship between patients’ probed mental health responses and clinically relevant constructs such as diagnosis, symptom severity, and functional impairment. Additionally, it will predict key clinical outcomes such as treatment response and therapy goal attainment. Furthermore, the project seeks to generate clinically meaningful, data-driven insights that go beyond traditional diagnostic categories, offering a more nuanced and patient-centered understanding of mental health trajectories.</w:t>
      </w:r>
    </w:p>
    <w:bookmarkEnd w:id="25"/>
    <w:bookmarkStart w:id="41" w:name="methods"/>
    <w:p>
      <w:pPr>
        <w:pStyle w:val="Heading1"/>
      </w:pPr>
      <w:r>
        <w:t xml:space="preserve">Methods</w:t>
      </w:r>
    </w:p>
    <w:bookmarkStart w:id="27"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(anonymisation). The transcription was carried out on local hardware using the open source tool Whisper Large v2 (</w:t>
      </w:r>
      <w:hyperlink r:id="rId26">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27"/>
    <w:bookmarkStart w:id="34" w:name="measures"/>
    <w:p>
      <w:pPr>
        <w:pStyle w:val="Heading2"/>
      </w:pPr>
      <w:r>
        <w:t xml:space="preserve">Measures</w:t>
      </w:r>
    </w:p>
    <w:bookmarkStart w:id="28"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28"/>
    <w:bookmarkStart w:id="29"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10–13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(geman original question: „Was möchten Sie in der Therapie für sich erreichen?“)</w:t>
      </w:r>
    </w:p>
    <w:bookmarkEnd w:id="29"/>
    <w:bookmarkStart w:id="30"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 </w:t>
      </w:r>
      <w:r>
        <w:rPr>
          <w:i/>
          <w:iCs/>
        </w:rPr>
        <w:t xml:space="preserve">Beck Depression Inventory–II</w:t>
      </w:r>
      <w:r>
        <w:t xml:space="preserve"> (BDI-II;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General psychological distress was assessed using the</w:t>
      </w:r>
      <w:r>
        <w:t xml:space="preserve"> </w:t>
      </w:r>
      <w:r>
        <w:rPr>
          <w:i/>
          <w:iCs/>
        </w:rPr>
        <w:t xml:space="preserve">Depression Anxiety Stress Scales–42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XXX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 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p>
    <w:p>
      <w:pPr>
        <w:pStyle w:val="BodyText"/>
      </w:pPr>
      <w:r>
        <w:t xml:space="preserve">Wingenfeld, Katja &amp; Spitzer, Carsten &amp; Mensebach, Christoph &amp; Grabe, Hans &amp; Hill, Andreas &amp; Gast, Ursula &amp; Schlosser, Nicole &amp; Höpp, Hella &amp; Beblo, Thomas &amp; Driessen, Martin. (2010). The German Version of the Childhood Trauma Questionnaire (CTQ): Preliminary Psychometric Properties. Psychotherapie, Psychosomatik, medizinische Psychologie. 60. 10.1055/s-0030-1253494.</w:t>
      </w:r>
    </w:p>
    <w:p>
      <w:pPr>
        <w:pStyle w:val="Heading4"/>
        <w:rPr>
          <w:vanish/>
          <w:specVanish/>
        </w:rPr>
      </w:pPr>
      <w:r>
        <w:t>Clinical Global Impression.</w:t>
      </w:r>
      <w:r>
        <w:t xml:space="preserve"> </w:t>
      </w:r>
    </w:p>
    <w:p>
      <w:pPr>
        <w:pStyle w:val="Heading5"/>
        <w:rPr>
          <w:vanish/>
          <w:specVanish/>
        </w:rPr>
      </w:pPr>
      <w:r>
        <w:t>Severity Scale.</w:t>
      </w:r>
      <w:r>
        <w:t xml:space="preserve"> </w:t>
      </w:r>
    </w:p>
    <w:p>
      <w:pPr>
        <w:pStyle w:val="BodyText"/>
      </w:pPr>
      <w:r>
        <w:t xml:space="preserve">Clinician-rated symptom severity and improvement were assessed using the </w:t>
      </w:r>
      <w:r>
        <w:rPr>
          <w:i/>
          <w:iCs/>
        </w:rPr>
        <w:t xml:space="preserve">Clinical Global Impression</w:t>
      </w:r>
      <w:r>
        <w:t xml:space="preserve"> (CGI) scales. The </w:t>
      </w:r>
      <w:r>
        <w:rPr>
          <w:i/>
          <w:iCs/>
        </w:rPr>
        <w:t xml:space="preserve">CGI-Severity</w:t>
      </w:r>
      <w:r>
        <w:t xml:space="preserve"> scale evaluates the clinician’s global impression of the patient’s current level of mental illness, based on their total clinical experience with this population. The item asks:</w:t>
      </w:r>
      <w:r>
        <w:t xml:space="preserve"> </w:t>
      </w:r>
      <w: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 </w:t>
      </w:r>
      <w:r>
        <w:rPr>
          <w:i/>
          <w:iCs/>
        </w:rPr>
        <w:t xml:space="preserve">CGI-Improvement</w:t>
      </w:r>
      <w:r>
        <w:t xml:space="preserve"> 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0"/>
    <w:bookmarkStart w:id="31"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1"/>
    <w:bookmarkStart w:id="32"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2"/>
    <w:bookmarkStart w:id="33" w:name="measurement-time-points"/>
    <w:p>
      <w:pPr>
        <w:pStyle w:val="Heading3"/>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33"/>
    <w:bookmarkEnd w:id="34"/>
    <w:bookmarkStart w:id="40" w:name="analysis"/>
    <w:p>
      <w:pPr>
        <w:pStyle w:val="Heading2"/>
      </w:pPr>
      <w:r>
        <w:t xml:space="preserve">Analysis</w:t>
      </w:r>
    </w:p>
    <w:p>
      <w:pPr>
        <w:pStyle w:val="FirstParagraph"/>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35">
        <w:r>
          <w:rPr>
            <w:rStyle w:val="Hyperlink"/>
          </w:rPr>
          <w:t xml:space="preserve">https://aspredicted.org/</w:t>
        </w:r>
      </w:hyperlink>
      <w:r>
        <w:t xml:space="preserve">).</w:t>
      </w:r>
    </w:p>
    <w:p>
      <w:pPr>
        <w:pStyle w:val="BodyText"/>
      </w:pPr>
      <w:r>
        <w:t xml:space="preserve">In the evaluation phase, pre-registered models will be tested on held-out datasets, enabling unbiased performance assessments. This phase will include detailed error analysis to identify potential biases and limitations, as well as comparative analyses to benchmark model performance against the HRG’s models.</w:t>
      </w:r>
    </w:p>
    <w:p>
      <w:pPr>
        <w:pStyle w:val="BodyText"/>
      </w:pPr>
      <w:r>
        <w:t xml:space="preserve">Furthermore, topic modeling techniques (e.g., Latent Dirichlet Allocation;</w:t>
      </w:r>
      <w:r>
        <w:t xml:space="preserve"> </w:t>
      </w:r>
      <w:r>
        <w:t xml:space="preserve">(</w:t>
      </w:r>
      <w:hyperlink w:anchor="ref-10.5555/944919.944937">
        <w:r>
          <w:rPr>
            <w:rStyle w:val="Hyperlink"/>
          </w:rPr>
          <w:t xml:space="preserve">Blei et al., 2003</w:t>
        </w:r>
      </w:hyperlink>
      <w:r>
        <w:t xml:space="preserve">)</w:t>
      </w:r>
      <w:r>
        <w:t xml:space="preserve">, or BERTopic;</w:t>
      </w:r>
      <w:r>
        <w:t xml:space="preserve"> </w:t>
      </w:r>
      <w:r>
        <w:t xml:space="preserve">(</w:t>
      </w:r>
      <w:hyperlink w:anchor="X42d14bf6feefa7767011bb8506f2dad315765d4">
        <w:r>
          <w:rPr>
            <w:rStyle w:val="Hyperlink"/>
          </w:rPr>
          <w:t xml:space="preserve">Grootendorst, 2022</w:t>
        </w:r>
      </w:hyperlink>
      <w:r>
        <w:t xml:space="preserve">)</w:t>
      </w:r>
      <w:r>
        <w:t xml:space="preserve">) will be employed to explore themes in patient-generated text. These analyses will provide valuable clinical insights into patients’ subjective experiences, including their perceived problems, impairments, and goals. By analyzing these insights, I aim to highlight commonalities and differences in patient narratives across diverse populations or conditions. This process may also reveal nuanced linguistic cues that correlate with clinical outcomes, offering a richer understanding of patient perspectives and informing personalized care strategies.</w:t>
      </w:r>
    </w:p>
    <w:bookmarkStart w:id="39" w:name="figure_1"/>
    <w:p>
      <w:pPr>
        <w:pStyle w:val="CaptionedFigure"/>
      </w:pPr>
      <w:r>
        <w:drawing>
          <wp:inline>
            <wp:extent cx="5943600" cy="2420291"/>
            <wp:effectExtent b="0" l="0" r="0" t="0"/>
            <wp:docPr descr="The step-by-step process of patient narrative analysis, from preprocessing to data evaluation." title="" id="37" name="Picture"/>
            <a:graphic>
              <a:graphicData uri="http://schemas.openxmlformats.org/drawingml/2006/picture">
                <pic:pic>
                  <pic:nvPicPr>
                    <pic:cNvPr descr="reports/Abbildung_Gabriel_eng.png" id="38" name="Picture"/>
                    <pic:cNvPicPr>
                      <a:picLocks noChangeArrowheads="1" noChangeAspect="1"/>
                    </pic:cNvPicPr>
                  </pic:nvPicPr>
                  <pic:blipFill>
                    <a:blip r:embed="rId36"/>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39"/>
    <w:bookmarkEnd w:id="40"/>
    <w:bookmarkEnd w:id="41"/>
    <w:bookmarkStart w:id="42" w:name="results"/>
    <w:p>
      <w:pPr>
        <w:pStyle w:val="Heading1"/>
      </w:pPr>
      <w:r>
        <w:t xml:space="preserve">Results</w:t>
      </w:r>
    </w:p>
    <w:bookmarkEnd w:id="42"/>
    <w:p>
      <w:pPr>
        <w:pStyle w:val="Heading1"/>
      </w:pPr>
      <w:r>
        <w:t xml:space="preserve">References</w:t>
      </w:r>
    </w:p>
    <w:bookmarkStart w:id="92" w:name="refs"/>
    <w:bookmarkStart w:id="43"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43"/>
    <w:bookmarkStart w:id="44" w:name="ref-10.5555/944919.944937"/>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(null), 993–1022.</w:t>
      </w:r>
    </w:p>
    <w:bookmarkEnd w:id="44"/>
    <w:bookmarkStart w:id="45" w:name="ref-Bonnin2024a"/>
    <w:p>
      <w:pPr>
        <w:pStyle w:val="Bibliography"/>
      </w:pPr>
      <w:r>
        <w:t xml:space="preserve">Bonnin, G., Kröber, S., &amp; Brachel, R. von. (2024). Die</w:t>
      </w:r>
      <w:r>
        <w:t xml:space="preserve"> </w:t>
      </w:r>
      <w:r>
        <w:t xml:space="preserve">Klassifikation</w:t>
      </w:r>
      <w:r>
        <w:t xml:space="preserve"> </w:t>
      </w:r>
      <w:r>
        <w:t xml:space="preserve">psychischer</w:t>
      </w:r>
      <w:r>
        <w:t xml:space="preserve"> </w:t>
      </w:r>
      <w:r>
        <w:t xml:space="preserve">St</w:t>
      </w:r>
      <w:r>
        <w:t xml:space="preserve">ö</w:t>
      </w:r>
      <w:r>
        <w:t xml:space="preserve">rungen</w:t>
      </w:r>
      <w:r>
        <w:t xml:space="preserve"> </w:t>
      </w:r>
      <w:r>
        <w:t xml:space="preserve">mit diagnostischen</w:t>
      </w:r>
      <w:r>
        <w:t xml:space="preserve"> </w:t>
      </w:r>
      <w:r>
        <w:t xml:space="preserve">Interviews</w:t>
      </w:r>
      <w:r>
        <w:t xml:space="preserve">. In T. Teismann, P. Thoma, S. Taubner, A. Wannemüller, &amp; K. von Sydow (Eds.),</w:t>
      </w:r>
      <w:r>
        <w:t xml:space="preserve"> </w:t>
      </w:r>
      <w:r>
        <w:rPr>
          <w:i/>
          <w:iCs/>
        </w:rPr>
        <w:t xml:space="preserve">Klinische</w:t>
      </w:r>
      <w:r>
        <w:rPr>
          <w:i/>
          <w:iCs/>
        </w:rPr>
        <w:t xml:space="preserve"> </w:t>
      </w:r>
      <w:r>
        <w:rPr>
          <w:i/>
          <w:iCs/>
        </w:rPr>
        <w:t xml:space="preserve">Psychologie</w:t>
      </w:r>
      <w:r>
        <w:rPr>
          <w:i/>
          <w:iCs/>
        </w:rPr>
        <w:t xml:space="preserve"> </w:t>
      </w:r>
      <w:r>
        <w:rPr>
          <w:i/>
          <w:iCs/>
        </w:rPr>
        <w:t xml:space="preserve">und</w:t>
      </w:r>
      <w:r>
        <w:rPr>
          <w:i/>
          <w:iCs/>
        </w:rPr>
        <w:t xml:space="preserve"> </w:t>
      </w:r>
      <w:r>
        <w:rPr>
          <w:i/>
          <w:iCs/>
        </w:rPr>
        <w:t xml:space="preserve">Psychotherapie</w:t>
      </w:r>
      <w:r>
        <w:rPr>
          <w:i/>
          <w:iCs/>
        </w:rPr>
        <w:t xml:space="preserve">:</w:t>
      </w:r>
      <w:r>
        <w:rPr>
          <w:i/>
          <w:iCs/>
        </w:rPr>
        <w:t xml:space="preserve"> </w:t>
      </w:r>
      <w:r>
        <w:rPr>
          <w:i/>
          <w:iCs/>
        </w:rPr>
        <w:t xml:space="preserve">Ein</w:t>
      </w:r>
      <w:r>
        <w:rPr>
          <w:i/>
          <w:iCs/>
        </w:rPr>
        <w:t xml:space="preserve"> </w:t>
      </w:r>
      <w:r>
        <w:rPr>
          <w:i/>
          <w:iCs/>
        </w:rPr>
        <w:t xml:space="preserve">verfahrens</w:t>
      </w:r>
      <w:r>
        <w:rPr>
          <w:i/>
          <w:iCs/>
        </w:rPr>
        <w:t xml:space="preserve">ü</w:t>
      </w:r>
      <w:r>
        <w:rPr>
          <w:i/>
          <w:iCs/>
        </w:rPr>
        <w:t xml:space="preserve">bergreifendes</w:t>
      </w:r>
      <w:r>
        <w:rPr>
          <w:i/>
          <w:iCs/>
        </w:rPr>
        <w:t xml:space="preserve"> </w:t>
      </w:r>
      <w:r>
        <w:rPr>
          <w:i/>
          <w:iCs/>
        </w:rPr>
        <w:t xml:space="preserve">Lehr-</w:t>
      </w:r>
      <w:r>
        <w:rPr>
          <w:i/>
          <w:iCs/>
        </w:rPr>
        <w:t xml:space="preserve"> </w:t>
      </w:r>
      <w:r>
        <w:rPr>
          <w:i/>
          <w:iCs/>
        </w:rPr>
        <w:t xml:space="preserve">und</w:t>
      </w:r>
      <w:r>
        <w:rPr>
          <w:i/>
          <w:iCs/>
        </w:rPr>
        <w:t xml:space="preserve"> </w:t>
      </w:r>
      <w:r>
        <w:rPr>
          <w:i/>
          <w:iCs/>
        </w:rPr>
        <w:t xml:space="preserve">Lernbuch</w:t>
      </w:r>
      <w:r>
        <w:t xml:space="preserve">. Hogrefe.</w:t>
      </w:r>
    </w:p>
    <w:bookmarkEnd w:id="45"/>
    <w:bookmarkStart w:id="46"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46"/>
    <w:bookmarkStart w:id="48"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47">
        <w:r>
          <w:rPr>
            <w:rStyle w:val="Hyperlink"/>
          </w:rPr>
          <w:t xml:space="preserve">https://doi.org/10.18653/v1/N19-1423</w:t>
        </w:r>
      </w:hyperlink>
    </w:p>
    <w:bookmarkEnd w:id="48"/>
    <w:bookmarkStart w:id="49" w:name="ref-book"/>
    <w:p>
      <w:pPr>
        <w:pStyle w:val="Bibliography"/>
      </w:pPr>
      <w:r>
        <w:t xml:space="preserve">Franke, G. (2002).</w:t>
      </w:r>
      <w:r>
        <w:t xml:space="preserve"> </w:t>
      </w:r>
      <w:r>
        <w:rPr>
          <w:i/>
          <w:iCs/>
        </w:rPr>
        <w:t xml:space="preserve">Franke, g.h. (2000). BSI. Brief symptom inventory - deutsche version. Manual. Göttingen: beltz.</w:t>
      </w:r>
    </w:p>
    <w:bookmarkEnd w:id="49"/>
    <w:bookmarkStart w:id="51" w:name="X42d14bf6feefa7767011bb8506f2dad315765d4"/>
    <w:p>
      <w:pPr>
        <w:pStyle w:val="Bibliography"/>
      </w:pPr>
      <w:r>
        <w:t xml:space="preserve">Grootendorst, M. (2022).</w:t>
      </w:r>
      <w:r>
        <w:t xml:space="preserve"> </w:t>
      </w:r>
      <w:r>
        <w:rPr>
          <w:i/>
          <w:iCs/>
        </w:rPr>
        <w:t xml:space="preserve">BERTopic</w:t>
      </w:r>
      <w:r>
        <w:rPr>
          <w:i/>
          <w:iCs/>
        </w:rPr>
        <w:t xml:space="preserve">:</w:t>
      </w:r>
      <w:r>
        <w:rPr>
          <w:i/>
          <w:iCs/>
        </w:rPr>
        <w:t xml:space="preserve"> </w:t>
      </w:r>
      <w:r>
        <w:rPr>
          <w:i/>
          <w:iCs/>
        </w:rPr>
        <w:t xml:space="preserve">Neural</w:t>
      </w:r>
      <w:r>
        <w:rPr>
          <w:i/>
          <w:iCs/>
        </w:rPr>
        <w:t xml:space="preserve"> </w:t>
      </w:r>
      <w:r>
        <w:rPr>
          <w:i/>
          <w:iCs/>
        </w:rPr>
        <w:t xml:space="preserve">topic modeling with a class-based</w:t>
      </w:r>
      <w:r>
        <w:rPr>
          <w:i/>
          <w:iCs/>
        </w:rPr>
        <w:t xml:space="preserve"> </w:t>
      </w:r>
      <w:r>
        <w:rPr>
          <w:i/>
          <w:iCs/>
        </w:rPr>
        <w:t xml:space="preserve">TF-IDF</w:t>
      </w:r>
      <w:r>
        <w:rPr>
          <w:i/>
          <w:iCs/>
        </w:rPr>
        <w:t xml:space="preserve"> </w:t>
      </w:r>
      <w:r>
        <w:rPr>
          <w:i/>
          <w:iCs/>
        </w:rPr>
        <w:t xml:space="preserve">procedure</w:t>
      </w:r>
      <w:r>
        <w:t xml:space="preserve">.</w:t>
      </w:r>
      <w:r>
        <w:t xml:space="preserve"> </w:t>
      </w:r>
      <w:hyperlink r:id="rId50">
        <w:r>
          <w:rPr>
            <w:rStyle w:val="Hyperlink"/>
          </w:rPr>
          <w:t xml:space="preserve">https://arxiv.org/abs/2203.05794</w:t>
        </w:r>
      </w:hyperlink>
    </w:p>
    <w:bookmarkEnd w:id="51"/>
    <w:bookmarkStart w:id="53"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52">
        <w:r>
          <w:rPr>
            <w:rStyle w:val="Hyperlink"/>
          </w:rPr>
          <w:t xml:space="preserve">https://doi.org/10.1109/ICDAR.1995.598994</w:t>
        </w:r>
      </w:hyperlink>
    </w:p>
    <w:bookmarkEnd w:id="53"/>
    <w:bookmarkStart w:id="55"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54">
        <w:r>
          <w:rPr>
            <w:rStyle w:val="Hyperlink"/>
          </w:rPr>
          <w:t xml:space="preserve">https://doi.org/10.1080/00401706.1970.10488634</w:t>
        </w:r>
      </w:hyperlink>
    </w:p>
    <w:bookmarkEnd w:id="55"/>
    <w:bookmarkStart w:id="57"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56">
        <w:r>
          <w:rPr>
            <w:rStyle w:val="Hyperlink"/>
          </w:rPr>
          <w:t xml:space="preserve">https://doi.org/10.1037/0022-006X.76.5.711</w:t>
        </w:r>
      </w:hyperlink>
    </w:p>
    <w:bookmarkEnd w:id="57"/>
    <w:bookmarkStart w:id="59"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58">
        <w:r>
          <w:rPr>
            <w:rStyle w:val="Hyperlink"/>
          </w:rPr>
          <w:t xml:space="preserve">https://doi.org/10.1007/BF01530764</w:t>
        </w:r>
      </w:hyperlink>
    </w:p>
    <w:bookmarkEnd w:id="59"/>
    <w:bookmarkStart w:id="61"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60">
        <w:r>
          <w:rPr>
            <w:rStyle w:val="Hyperlink"/>
          </w:rPr>
          <w:t xml:space="preserve">https://doi.org/10.31234/osf.io/xw24e</w:t>
        </w:r>
      </w:hyperlink>
    </w:p>
    <w:bookmarkEnd w:id="61"/>
    <w:bookmarkStart w:id="63"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62">
        <w:r>
          <w:rPr>
            <w:rStyle w:val="Hyperlink"/>
          </w:rPr>
          <w:t xml:space="preserve">https://doi.org/10.1037/met0000191</w:t>
        </w:r>
      </w:hyperlink>
    </w:p>
    <w:bookmarkEnd w:id="63"/>
    <w:bookmarkStart w:id="65"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64">
        <w:r>
          <w:rPr>
            <w:rStyle w:val="Hyperlink"/>
          </w:rPr>
          <w:t xml:space="preserve">https://doi.org/10.1016/j.psychres.2023.115667</w:t>
        </w:r>
      </w:hyperlink>
    </w:p>
    <w:bookmarkEnd w:id="65"/>
    <w:bookmarkStart w:id="67"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66">
        <w:r>
          <w:rPr>
            <w:rStyle w:val="Hyperlink"/>
          </w:rPr>
          <w:t xml:space="preserve">https://doi.org/10.1038/s41598-022-07520-w</w:t>
        </w:r>
      </w:hyperlink>
    </w:p>
    <w:bookmarkEnd w:id="67"/>
    <w:bookmarkStart w:id="68"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68"/>
    <w:bookmarkStart w:id="70"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69">
        <w:r>
          <w:rPr>
            <w:rStyle w:val="Hyperlink"/>
          </w:rPr>
          <w:t xml:space="preserve">https://doi.org/10.1016/0005-7967(94)00075-u</w:t>
        </w:r>
      </w:hyperlink>
    </w:p>
    <w:bookmarkEnd w:id="70"/>
    <w:bookmarkStart w:id="72"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71">
        <w:r>
          <w:rPr>
            <w:rStyle w:val="Hyperlink"/>
          </w:rPr>
          <w:t xml:space="preserve">https://doi.org/10.1186/s40359-016-0111-x</w:t>
        </w:r>
      </w:hyperlink>
    </w:p>
    <w:bookmarkEnd w:id="72"/>
    <w:bookmarkStart w:id="74"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73">
        <w:r>
          <w:rPr>
            <w:rStyle w:val="Hyperlink"/>
          </w:rPr>
          <w:t xml:space="preserve">https://doi.org/10.1146/annurev-clinpsy-071720-014821</w:t>
        </w:r>
      </w:hyperlink>
    </w:p>
    <w:bookmarkEnd w:id="74"/>
    <w:bookmarkStart w:id="76"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75">
        <w:r>
          <w:rPr>
            <w:rStyle w:val="Hyperlink"/>
          </w:rPr>
          <w:t xml:space="preserve">https://doi.org/10.46586/rub.172.149</w:t>
        </w:r>
      </w:hyperlink>
    </w:p>
    <w:bookmarkEnd w:id="76"/>
    <w:bookmarkStart w:id="78"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77">
        <w:r>
          <w:rPr>
            <w:rStyle w:val="Hyperlink"/>
          </w:rPr>
          <w:t xml:space="preserve">https://doi.org/10.18653/v1/W19-3005</w:t>
        </w:r>
      </w:hyperlink>
    </w:p>
    <w:bookmarkEnd w:id="78"/>
    <w:bookmarkStart w:id="80"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79">
        <w:r>
          <w:rPr>
            <w:rStyle w:val="Hyperlink"/>
          </w:rPr>
          <w:t xml:space="preserve">https://doi.org/10.1026/0084-5345.32.2.94</w:t>
        </w:r>
      </w:hyperlink>
    </w:p>
    <w:bookmarkEnd w:id="80"/>
    <w:bookmarkStart w:id="82"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81">
        <w:r>
          <w:rPr>
            <w:rStyle w:val="Hyperlink"/>
          </w:rPr>
          <w:t xml:space="preserve">https://doi.org/10.18653/v1/W19-3004</w:t>
        </w:r>
      </w:hyperlink>
    </w:p>
    <w:bookmarkEnd w:id="82"/>
    <w:bookmarkStart w:id="84"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83">
        <w:r>
          <w:rPr>
            <w:rStyle w:val="Hyperlink"/>
          </w:rPr>
          <w:t xml:space="preserve">https://arxiv.org/abs/2212.04356</w:t>
        </w:r>
      </w:hyperlink>
    </w:p>
    <w:bookmarkEnd w:id="84"/>
    <w:bookmarkStart w:id="86"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85">
        <w:r>
          <w:rPr>
            <w:rStyle w:val="Hyperlink"/>
          </w:rPr>
          <w:t xml:space="preserve">https://doi.org/10.1111/j.2517-6161.1996.tb02080.x</w:t>
        </w:r>
      </w:hyperlink>
    </w:p>
    <w:bookmarkEnd w:id="86"/>
    <w:bookmarkStart w:id="87"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87"/>
    <w:bookmarkStart w:id="88"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88"/>
    <w:bookmarkStart w:id="89"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89"/>
    <w:bookmarkStart w:id="91"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90">
        <w:r>
          <w:rPr>
            <w:rStyle w:val="Hyperlink"/>
          </w:rPr>
          <w:t xml:space="preserve">https://doi.org/10.18653/v1/W19-3003</w:t>
        </w:r>
      </w:hyperlink>
    </w:p>
    <w:bookmarkEnd w:id="91"/>
    <w:bookmarkEnd w:id="9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6" Target="media/rId36.png" /><Relationship Type="http://schemas.openxmlformats.org/officeDocument/2006/relationships/hyperlink" Id="rId50" Target="https://arxiv.org/abs/2203.05794" TargetMode="External" /><Relationship Type="http://schemas.openxmlformats.org/officeDocument/2006/relationships/hyperlink" Id="rId83" Target="https://arxiv.org/abs/2212.04356" TargetMode="External" /><Relationship Type="http://schemas.openxmlformats.org/officeDocument/2006/relationships/hyperlink" Id="rId35" Target="https://aspredicted.org/" TargetMode="External" /><Relationship Type="http://schemas.openxmlformats.org/officeDocument/2006/relationships/hyperlink" Id="rId58" Target="https://doi.org/10.1007/BF01530764" TargetMode="External" /><Relationship Type="http://schemas.openxmlformats.org/officeDocument/2006/relationships/hyperlink" Id="rId69" Target="https://doi.org/10.1016/0005-7967(94)00075-u" TargetMode="External" /><Relationship Type="http://schemas.openxmlformats.org/officeDocument/2006/relationships/hyperlink" Id="rId64" Target="https://doi.org/10.1016/j.psychres.2023.115667" TargetMode="External" /><Relationship Type="http://schemas.openxmlformats.org/officeDocument/2006/relationships/hyperlink" Id="rId79" Target="https://doi.org/10.1026/0084-5345.32.2.94" TargetMode="External" /><Relationship Type="http://schemas.openxmlformats.org/officeDocument/2006/relationships/hyperlink" Id="rId56" Target="https://doi.org/10.1037/0022-006X.76.5.711" TargetMode="External" /><Relationship Type="http://schemas.openxmlformats.org/officeDocument/2006/relationships/hyperlink" Id="rId62" Target="https://doi.org/10.1037/met0000191" TargetMode="External" /><Relationship Type="http://schemas.openxmlformats.org/officeDocument/2006/relationships/hyperlink" Id="rId66" Target="https://doi.org/10.1038/s41598-022-07520-w" TargetMode="External" /><Relationship Type="http://schemas.openxmlformats.org/officeDocument/2006/relationships/hyperlink" Id="rId54" Target="https://doi.org/10.1080/00401706.1970.10488634" TargetMode="External" /><Relationship Type="http://schemas.openxmlformats.org/officeDocument/2006/relationships/hyperlink" Id="rId52" Target="https://doi.org/10.1109/ICDAR.1995.598994" TargetMode="External" /><Relationship Type="http://schemas.openxmlformats.org/officeDocument/2006/relationships/hyperlink" Id="rId85" Target="https://doi.org/10.1111/j.2517-6161.1996.tb02080.x" TargetMode="External" /><Relationship Type="http://schemas.openxmlformats.org/officeDocument/2006/relationships/hyperlink" Id="rId73" Target="https://doi.org/10.1146/annurev-clinpsy-071720-014821" TargetMode="External" /><Relationship Type="http://schemas.openxmlformats.org/officeDocument/2006/relationships/hyperlink" Id="rId71" Target="https://doi.org/10.1186/s40359-016-0111-x" TargetMode="External" /><Relationship Type="http://schemas.openxmlformats.org/officeDocument/2006/relationships/hyperlink" Id="rId47" Target="https://doi.org/10.18653/v1/N19-1423" TargetMode="External" /><Relationship Type="http://schemas.openxmlformats.org/officeDocument/2006/relationships/hyperlink" Id="rId90" Target="https://doi.org/10.18653/v1/W19-3003" TargetMode="External" /><Relationship Type="http://schemas.openxmlformats.org/officeDocument/2006/relationships/hyperlink" Id="rId81" Target="https://doi.org/10.18653/v1/W19-3004" TargetMode="External" /><Relationship Type="http://schemas.openxmlformats.org/officeDocument/2006/relationships/hyperlink" Id="rId77" Target="https://doi.org/10.18653/v1/W19-3005" TargetMode="External" /><Relationship Type="http://schemas.openxmlformats.org/officeDocument/2006/relationships/hyperlink" Id="rId60" Target="https://doi.org/10.31234/osf.io/xw24e" TargetMode="External" /><Relationship Type="http://schemas.openxmlformats.org/officeDocument/2006/relationships/hyperlink" Id="rId75" Target="https://doi.org/10.46586/rub.172.149" TargetMode="External" /><Relationship Type="http://schemas.openxmlformats.org/officeDocument/2006/relationships/hyperlink" Id="rId26" Target="https://github.com/openai/whisper"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50" Target="https://arxiv.org/abs/2203.05794" TargetMode="External" /><Relationship Type="http://schemas.openxmlformats.org/officeDocument/2006/relationships/hyperlink" Id="rId83" Target="https://arxiv.org/abs/2212.04356" TargetMode="External" /><Relationship Type="http://schemas.openxmlformats.org/officeDocument/2006/relationships/hyperlink" Id="rId35" Target="https://aspredicted.org/" TargetMode="External" /><Relationship Type="http://schemas.openxmlformats.org/officeDocument/2006/relationships/hyperlink" Id="rId58" Target="https://doi.org/10.1007/BF01530764" TargetMode="External" /><Relationship Type="http://schemas.openxmlformats.org/officeDocument/2006/relationships/hyperlink" Id="rId69" Target="https://doi.org/10.1016/0005-7967(94)00075-u" TargetMode="External" /><Relationship Type="http://schemas.openxmlformats.org/officeDocument/2006/relationships/hyperlink" Id="rId64" Target="https://doi.org/10.1016/j.psychres.2023.115667" TargetMode="External" /><Relationship Type="http://schemas.openxmlformats.org/officeDocument/2006/relationships/hyperlink" Id="rId79" Target="https://doi.org/10.1026/0084-5345.32.2.94" TargetMode="External" /><Relationship Type="http://schemas.openxmlformats.org/officeDocument/2006/relationships/hyperlink" Id="rId56" Target="https://doi.org/10.1037/0022-006X.76.5.711" TargetMode="External" /><Relationship Type="http://schemas.openxmlformats.org/officeDocument/2006/relationships/hyperlink" Id="rId62" Target="https://doi.org/10.1037/met0000191" TargetMode="External" /><Relationship Type="http://schemas.openxmlformats.org/officeDocument/2006/relationships/hyperlink" Id="rId66" Target="https://doi.org/10.1038/s41598-022-07520-w" TargetMode="External" /><Relationship Type="http://schemas.openxmlformats.org/officeDocument/2006/relationships/hyperlink" Id="rId54" Target="https://doi.org/10.1080/00401706.1970.10488634" TargetMode="External" /><Relationship Type="http://schemas.openxmlformats.org/officeDocument/2006/relationships/hyperlink" Id="rId52" Target="https://doi.org/10.1109/ICDAR.1995.598994" TargetMode="External" /><Relationship Type="http://schemas.openxmlformats.org/officeDocument/2006/relationships/hyperlink" Id="rId85" Target="https://doi.org/10.1111/j.2517-6161.1996.tb02080.x" TargetMode="External" /><Relationship Type="http://schemas.openxmlformats.org/officeDocument/2006/relationships/hyperlink" Id="rId73" Target="https://doi.org/10.1146/annurev-clinpsy-071720-014821" TargetMode="External" /><Relationship Type="http://schemas.openxmlformats.org/officeDocument/2006/relationships/hyperlink" Id="rId71" Target="https://doi.org/10.1186/s40359-016-0111-x" TargetMode="External" /><Relationship Type="http://schemas.openxmlformats.org/officeDocument/2006/relationships/hyperlink" Id="rId47" Target="https://doi.org/10.18653/v1/N19-1423" TargetMode="External" /><Relationship Type="http://schemas.openxmlformats.org/officeDocument/2006/relationships/hyperlink" Id="rId90" Target="https://doi.org/10.18653/v1/W19-3003" TargetMode="External" /><Relationship Type="http://schemas.openxmlformats.org/officeDocument/2006/relationships/hyperlink" Id="rId81" Target="https://doi.org/10.18653/v1/W19-3004" TargetMode="External" /><Relationship Type="http://schemas.openxmlformats.org/officeDocument/2006/relationships/hyperlink" Id="rId77" Target="https://doi.org/10.18653/v1/W19-3005" TargetMode="External" /><Relationship Type="http://schemas.openxmlformats.org/officeDocument/2006/relationships/hyperlink" Id="rId60" Target="https://doi.org/10.31234/osf.io/xw24e" TargetMode="External" /><Relationship Type="http://schemas.openxmlformats.org/officeDocument/2006/relationships/hyperlink" Id="rId75" Target="https://doi.org/10.46586/rub.172.149" TargetMode="External" /><Relationship Type="http://schemas.openxmlformats.org/officeDocument/2006/relationships/hyperlink" Id="rId26" Target="https://github.com/openai/whisper"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 (META)</dc:description>
  <cp:keywords/>
  <dcterms:created xsi:type="dcterms:W3CDTF">2025-12-23T07:09:41Z</dcterms:created>
  <dcterms:modified xsi:type="dcterms:W3CDTF">2025-12-23T07:09:41Z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MENTAL HEALTH EVALUATION THROUGH TEXT ANALYSIS (META)</vt:lpwstr>
  </property>
  <property fmtid="{D5CDD505-2E9C-101B-9397-08002B2CF9AE}" pid="6" name="apatitledisplay">
    <vt:lpwstr>Mental Health Evaluation through Text Analysis (META)</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rossref">
    <vt:lpwstr/>
  </property>
  <property fmtid="{D5CDD505-2E9C-101B-9397-08002B2CF9AE}" pid="14" name="csl">
    <vt:lpwstr>references/apa-2.csl</vt:lpwstr>
  </property>
  <property fmtid="{D5CDD505-2E9C-101B-9397-08002B2CF9AE}" pid="15" name="documentmode">
    <vt:lpwstr>man</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tebook-preview-options">
    <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True</vt:lpwstr>
  </property>
  <property fmtid="{D5CDD505-2E9C-101B-9397-08002B2CF9AE}" pid="33" name="quarto-internal">
    <vt:lpwstr/>
  </property>
  <property fmtid="{D5CDD505-2E9C-101B-9397-08002B2CF9AE}" pid="34" name="references">
    <vt:lpwstr/>
  </property>
  <property fmtid="{D5CDD505-2E9C-101B-9397-08002B2CF9AE}" pid="35" name="remove-hidden">
    <vt:lpwstr>all</vt:lpwstr>
  </property>
  <property fmtid="{D5CDD505-2E9C-101B-9397-08002B2CF9AE}" pid="36" name="revealjs-plugins">
    <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wordn">
    <vt:lpwstr>2291</vt:lpwstr>
  </property>
  <property fmtid="{D5CDD505-2E9C-101B-9397-08002B2CF9AE}" pid="68" name="zerocitations">
    <vt:lpwstr>False</vt:lpwstr>
  </property>
</Properties>
</file>