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3.png" ContentType="image/png"/>
  <Override PartName="/word/media/rId29.png" ContentType="image/png"/>
  <Override PartName="/word/media/rId26.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Mental Health Evaluation through Text Analysis: umbrella project documentation</w:t>
      </w:r>
    </w:p>
    <w:p>
      <w:pPr>
        <w:pStyle w:val="Author"/>
      </w:pPr>
      <w:r>
        <w:t xml:space="preserve"> </w:t>
      </w:r>
    </w:p>
    <w:p>
      <w:pPr>
        <w:pStyle w:val="Author"/>
      </w:pPr>
      <w:r>
        <w:t xml:space="preserve">Gabriel Bonnin</w:t>
      </w:r>
    </w:p>
    <w:p>
      <w:pPr>
        <w:pStyle w:val="Author"/>
      </w:pPr>
      <w:r>
        <w:t xml:space="preserve">Ruhr University Bochum, Germany</w:t>
      </w:r>
    </w:p>
    <w:p>
      <w:pPr>
        <w:pStyle w:val="BodyText"/>
      </w:pPr>
      <w:r>
        <w:t xml:space="preserve"> </w:t>
      </w:r>
    </w:p>
    <w:p>
      <w:pPr>
        <w:pStyle w:val="BodyText"/>
      </w:pPr>
      <w:r>
        <w:t xml:space="preserve"> </w:t>
      </w:r>
    </w:p>
    <w:bookmarkEnd w:id="20"/>
    <w:bookmarkStart w:id="22" w:name="author-note"/>
    <w:p>
      <w:pPr>
        <w:pStyle w:val="Heading1"/>
      </w:pPr>
      <w:r>
        <w:t xml:space="preserve">Author Note</w:t>
      </w:r>
    </w:p>
    <w:p>
      <w:pPr>
        <w:pStyle w:val="FirstParagraph"/>
      </w:pPr>
      <w:r>
        <w:t xml:space="preserve">Correspondence concerning this article should be addressed to Gabriel Bonnin, Ruhr University Bochum, Germany, Email:</w:t>
      </w:r>
      <w:r>
        <w:t xml:space="preserve"> </w:t>
      </w:r>
      <w:hyperlink r:id="rId21">
        <w:r>
          <w:rPr>
            <w:rStyle w:val="Hyperlink"/>
          </w:rPr>
          <w:t xml:space="preserve">gabriel.bonnin@ruhr-uni-bochum.de</w:t>
        </w:r>
      </w:hyperlink>
    </w:p>
    <w:p>
      <w:r>
        <w:br w:type="page"/>
      </w:r>
    </w:p>
    <w:bookmarkEnd w:id="22"/>
    <w:bookmarkStart w:id="31" w:name="firstheader"/>
    <w:p>
      <w:pPr>
        <w:pStyle w:val="Heading1"/>
      </w:pPr>
      <w:r>
        <w:t xml:space="preserve">Mental Health Evaluation through Text Analysis: umbrella project documentation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note.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drawing>
                <wp:inline>
                  <wp:extent cx="1714500" cy="434450"/>
                  <wp:effectExtent b="0" l="0" r="0" t="0"/>
                  <wp:docPr descr="" title="" id="27" name="Picture"/>
                  <a:graphic>
                    <a:graphicData uri="http://schemas.openxmlformats.org/drawingml/2006/picture">
                      <pic:pic>
                        <pic:nvPicPr>
                          <pic:cNvPr descr="reports/Logo_RUBRS.svg" id="28" name="Picture"/>
                          <pic:cNvPicPr>
                            <a:picLocks noChangeArrowheads="1" noChangeAspect="1"/>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bwMode="auto">
                          <a:xfrm>
                            <a:off x="0" y="0"/>
                            <a:ext cx="1714500" cy="434450"/>
                          </a:xfrm>
                          <a:prstGeom prst="rect">
                            <a:avLst/>
                          </a:prstGeom>
                          <a:noFill/>
                          <a:ln w="9525">
                            <a:noFill/>
                            <a:headEnd/>
                            <a:tailEnd/>
                          </a:ln>
                        </pic:spPr>
                      </pic:pic>
                    </a:graphicData>
                  </a:graphic>
                </wp:inline>
              </w:drawing>
            </w:r>
          </w:p>
          <w:p>
            <w:pPr>
              <w:pStyle w:val="BodyText"/>
            </w:pPr>
            <w:pPr>
              <w:spacing w:after="16"/>
            </w:pPr>
            <w:r>
              <w:t xml:space="preserve">This project is supported by the</w:t>
            </w:r>
            <w:r>
              <w:t xml:space="preserve"> </w:t>
            </w:r>
            <w:hyperlink r:id="rId30">
              <w:r>
                <w:rPr>
                  <w:rStyle w:val="Hyperlink"/>
                </w:rPr>
                <w:t xml:space="preserve">Ruhr University Bochum Research School</w:t>
              </w:r>
            </w:hyperlink>
            <w:r>
              <w:t xml:space="preserve">.</w:t>
            </w:r>
          </w:p>
          <w:p/>
        </w:tc>
      </w:tr>
    </w:tbl>
    <w:bookmarkEnd w:id="31"/>
    <w:bookmarkStart w:id="32" w:name="abstract"/>
    <w:p>
      <w:pPr>
        <w:pStyle w:val="Heading1"/>
      </w:pPr>
      <w:r>
        <w:t xml:space="preserve">Abstract</w:t>
      </w:r>
    </w:p>
    <w:p>
      <w:pPr>
        <w:pStyle w:val="FirstParagraph"/>
      </w:pPr>
      <w:r>
        <w:t xml:space="preserve">Psychotherapy is one of the most effective treatments for mental health problems, but its success depends on accurate diagnostic assessments. Current assessment practices largely rely on standardized closed-ended scales that, while reliable, may fail to capture the complexity, context and individuality of patients’ mental states. Advances in artificial intelligence (AI) and natural language processing (NLP) enable the measurement of psychological constructs through natural language, offering a promising complement to traditional assessment methods by leveraging patients’ own descriptions of their experiences.</w:t>
      </w:r>
    </w:p>
    <w:p>
      <w:pPr>
        <w:pStyle w:val="BodyText"/>
      </w:pPr>
      <w:r>
        <w:t xml:space="preserve">While previous research has primarily focused on social media or non-clinical language, this project applies state-of-the-art large language models (LLMs) to open-ended intake data from a German outpatient psychotherapy clinic, providing an ecologically valid resource for studying language-based assessment in real-world clinical settings.</w:t>
      </w:r>
    </w:p>
    <w:p>
      <w:pPr>
        <w:pStyle w:val="BodyText"/>
      </w:pPr>
      <w:r>
        <w:t xml:space="preserve">The project comprises several complementary research areas. First, we examine whether patient language at intake reflects cross-sectional symptom severity and impairment and whether it provides incremental information beyond established self-report questionnaires. Second, we conduct a thematic analysis of patient responses to different open-ended prompts to characterize recurring themes. Third, we evaluate whether pre-therapy language predicts longitudinal treatment outcomes beyond baseline symptom measures.</w:t>
      </w:r>
    </w:p>
    <w:p>
      <w:pPr>
        <w:pStyle w:val="BodyText"/>
      </w:pPr>
      <w:r>
        <w:t xml:space="preserve">Together, these studies aim to clarify how patient-generated language can be used for assessment, interpretation, and prognosis in psychotherapy. The findings are intended to inform the development of clinically meaningful, language-based assessment tools that support personalized care and contribute to the modernization of mental health evaluation.</w:t>
      </w:r>
    </w:p>
    <w:bookmarkEnd w:id="32"/>
    <w:bookmarkStart w:id="33" w:name="introduction"/>
    <w:p>
      <w:pPr>
        <w:pStyle w:val="Heading1"/>
      </w:pPr>
      <w:r>
        <w:t xml:space="preserve">Introduction</w:t>
      </w:r>
    </w:p>
    <w:p>
      <w:pPr>
        <w:pStyle w:val="FirstParagraph"/>
      </w:pPr>
      <w:r>
        <w:t xml:space="preserve">Mental health problems pose a significant global challenge, accounting for a considerable proportion of deaths and disability-adjusted life years</w:t>
      </w:r>
      <w:r>
        <w:t xml:space="preserve"> </w:t>
      </w:r>
      <w:r>
        <w:t xml:space="preserve">(</w:t>
      </w:r>
      <w:hyperlink w:anchor="ref-WorldHealthOrganization2017">
        <w:r>
          <w:rPr>
            <w:rStyle w:val="Hyperlink"/>
          </w:rPr>
          <w:t xml:space="preserve">World Health Organization, 2017</w:t>
        </w:r>
      </w:hyperlink>
      <w:r>
        <w:t xml:space="preserve">)</w:t>
      </w:r>
      <w:r>
        <w:t xml:space="preserve">. Psychotherapy is an effective and sustainable intervention for reducing symptoms and improving quality of life</w:t>
      </w:r>
      <w:r>
        <w:t xml:space="preserve"> </w:t>
      </w:r>
      <w:r>
        <w:t xml:space="preserve">(</w:t>
      </w:r>
      <w:hyperlink w:anchor="ref-chorpita2011evidence">
        <w:r>
          <w:rPr>
            <w:rStyle w:val="Hyperlink"/>
          </w:rPr>
          <w:t xml:space="preserve">Chorpita et al., 2011</w:t>
        </w:r>
      </w:hyperlink>
      <w:r>
        <w:t xml:space="preserve">;</w:t>
      </w:r>
      <w:r>
        <w:t xml:space="preserve"> </w:t>
      </w:r>
      <w:hyperlink w:anchor="ref-wampold2015great">
        <w:r>
          <w:rPr>
            <w:rStyle w:val="Hyperlink"/>
          </w:rPr>
          <w:t xml:space="preserve">Wampold &amp; Imel, 2015</w:t>
        </w:r>
      </w:hyperlink>
      <w:r>
        <w:t xml:space="preserve">)</w:t>
      </w:r>
      <w:r>
        <w:t xml:space="preserve">, but its success critically depends on accurate assessments</w:t>
      </w:r>
      <w:r>
        <w:t xml:space="preserve"> </w:t>
      </w:r>
      <w:r>
        <w:t xml:space="preserve">(</w:t>
      </w:r>
      <w:hyperlink w:anchor="ref-Jensen-Doss2008">
        <w:r>
          <w:rPr>
            <w:rStyle w:val="Hyperlink"/>
          </w:rPr>
          <w:t xml:space="preserve">Jensen-Doss &amp; Weisz, 2008</w:t>
        </w:r>
      </w:hyperlink>
      <w:r>
        <w:t xml:space="preserve">;</w:t>
      </w:r>
      <w:r>
        <w:t xml:space="preserve"> </w:t>
      </w:r>
      <w:hyperlink w:anchor="ref-Lutz2022">
        <w:r>
          <w:rPr>
            <w:rStyle w:val="Hyperlink"/>
          </w:rPr>
          <w:t xml:space="preserve">Lutz et al., 2022</w:t>
        </w:r>
      </w:hyperlink>
      <w:r>
        <w:t xml:space="preserve">)</w:t>
      </w:r>
      <w:r>
        <w:t xml:space="preserve">.</w:t>
      </w:r>
    </w:p>
    <w:p>
      <w:pPr>
        <w:pStyle w:val="BodyText"/>
      </w:pPr>
      <w:r>
        <w:t xml:space="preserve">Standardized closed-ended tools such as the Beck Depression Inventory-II</w:t>
      </w:r>
      <w:r>
        <w:t xml:space="preserve"> </w:t>
      </w:r>
      <w:r>
        <w:t xml:space="preserve">(</w:t>
      </w:r>
      <w:hyperlink w:anchor="ref-Beck1996">
        <w:r>
          <w:rPr>
            <w:rStyle w:val="Hyperlink"/>
          </w:rPr>
          <w:t xml:space="preserve">Beck et al., 1996</w:t>
        </w:r>
      </w:hyperlink>
      <w:r>
        <w:t xml:space="preserve">)</w:t>
      </w:r>
      <w:r>
        <w:t xml:space="preserve"> </w:t>
      </w:r>
      <w:r>
        <w:t xml:space="preserve">rely on numerical scales</w:t>
      </w:r>
      <w:r>
        <w:t xml:space="preserve"> </w:t>
      </w:r>
      <w:r>
        <w:t xml:space="preserve">(</w:t>
      </w:r>
      <w:hyperlink w:anchor="ref-Likert1932">
        <w:r>
          <w:rPr>
            <w:rStyle w:val="Hyperlink"/>
          </w:rPr>
          <w:t xml:space="preserve">Likert, 1932</w:t>
        </w:r>
      </w:hyperlink>
      <w:r>
        <w:t xml:space="preserve">)</w:t>
      </w:r>
      <w:r>
        <w:t xml:space="preserve"> </w:t>
      </w:r>
      <w:r>
        <w:t xml:space="preserve">to structure and standardize assessments and are widely used in clinical research and practice. While these methods have advanced replicability and reliability in psychological assessment, they can miss important individual differences by restricting responses to pre-defined categories, limiting the ability to capture the complexity of mental states</w:t>
      </w:r>
      <w:r>
        <w:t xml:space="preserve"> </w:t>
      </w:r>
      <w:r>
        <w:t xml:space="preserve">(</w:t>
      </w:r>
      <w:hyperlink w:anchor="ref-Kjell2024">
        <w:r>
          <w:rPr>
            <w:rStyle w:val="Hyperlink"/>
          </w:rPr>
          <w:t xml:space="preserve">Kjell, Kjell, et al., 2024</w:t>
        </w:r>
      </w:hyperlink>
      <w:r>
        <w:t xml:space="preserve">)</w:t>
      </w:r>
      <w:r>
        <w:t xml:space="preserve">.</w:t>
      </w:r>
    </w:p>
    <w:p>
      <w:pPr>
        <w:pStyle w:val="BodyText"/>
      </w:pPr>
      <w:r>
        <w:t xml:space="preserve">To address this limitation, researchers have turned to patients’ natural language, which provides high-dimensional, context-rich information that remains underutilized in current assessment practices. Advances in AI, particularly transformer-based LLMs</w:t>
      </w:r>
      <w:r>
        <w:t xml:space="preserve"> </w:t>
      </w:r>
      <w:r>
        <w:t xml:space="preserve">(</w:t>
      </w:r>
      <w:hyperlink w:anchor="ref-Vaswani2017">
        <w:r>
          <w:rPr>
            <w:rStyle w:val="Hyperlink"/>
          </w:rPr>
          <w:t xml:space="preserve">Vaswani et al., 2017</w:t>
        </w:r>
      </w:hyperlink>
      <w:r>
        <w:t xml:space="preserve">)</w:t>
      </w:r>
      <w:r>
        <w:t xml:space="preserve">, enable the context-rich analysis of natural language with remarkable accuracy</w:t>
      </w:r>
      <w:r>
        <w:t xml:space="preserve"> </w:t>
      </w:r>
      <w:r>
        <w:t xml:space="preserve">(</w:t>
      </w:r>
      <w:hyperlink w:anchor="ref-devlin-etal-2019-bert">
        <w:r>
          <w:rPr>
            <w:rStyle w:val="Hyperlink"/>
          </w:rPr>
          <w:t xml:space="preserve">Devlin et al., 2019</w:t>
        </w:r>
      </w:hyperlink>
      <w:r>
        <w:t xml:space="preserve">)</w:t>
      </w:r>
      <w:r>
        <w:t xml:space="preserve">. When applying LLMs to mental health assessment, two primary measurement contexts emerge. On the one hand, ecologically collected speech data can be analysed that was not primarily generated for measurement purposes. Examples include the prediction of depression levels on the basis of social-media-posts</w:t>
      </w:r>
      <w:r>
        <w:t xml:space="preserve"> </w:t>
      </w:r>
      <w:r>
        <w:t xml:space="preserve">(</w:t>
      </w:r>
      <w:hyperlink w:anchor="ref-eichstaedt2018">
        <w:r>
          <w:rPr>
            <w:rStyle w:val="Hyperlink"/>
          </w:rPr>
          <w:t xml:space="preserve">Eichstaedt et al., 2018</w:t>
        </w:r>
      </w:hyperlink>
      <w:r>
        <w:t xml:space="preserve">)</w:t>
      </w:r>
      <w:r>
        <w:t xml:space="preserve">, or psychotherapy session transcripts for analyzing emotional reaction</w:t>
      </w:r>
      <w:r>
        <w:t xml:space="preserve"> </w:t>
      </w:r>
      <w:r>
        <w:t xml:space="preserve">(</w:t>
      </w:r>
      <w:hyperlink w:anchor="ref-eberhardt2024">
        <w:r>
          <w:rPr>
            <w:rStyle w:val="Hyperlink"/>
          </w:rPr>
          <w:t xml:space="preserve">Eberhardt et al., 2024</w:t>
        </w:r>
      </w:hyperlink>
      <w:r>
        <w:t xml:space="preserve">;</w:t>
      </w:r>
      <w:r>
        <w:t xml:space="preserve"> </w:t>
      </w:r>
      <w:hyperlink w:anchor="ref-tanana2021">
        <w:r>
          <w:rPr>
            <w:rStyle w:val="Hyperlink"/>
          </w:rPr>
          <w:t xml:space="preserve">Tanana et al., 2021</w:t>
        </w:r>
      </w:hyperlink>
      <w:r>
        <w:t xml:space="preserve">)</w:t>
      </w:r>
      <w:r>
        <w:t xml:space="preserve">. On the other hand, language-based self-reporting can be used specifically for measurement purposes, for example in the form of standardized questions (</w:t>
      </w:r>
      <w:r>
        <w:t xml:space="preserve">“</w:t>
      </w:r>
      <w:r>
        <w:rPr>
          <w:i/>
          <w:iCs/>
        </w:rPr>
        <w:t xml:space="preserve">Please describe how you have been feeling over the past two weeks.</w:t>
      </w:r>
      <w:r>
        <w:t xml:space="preserve">”</w:t>
      </w:r>
      <w:r>
        <w:t xml:space="preserve">). Empirical studies highlight the potential of NLP-based analysis of prompted open-ended responses, achieving moderate convergence with closed-ended rating scales using traditional NLP methods</w:t>
      </w:r>
      <w:r>
        <w:t xml:space="preserve"> </w:t>
      </w:r>
      <w:r>
        <w:t xml:space="preserve">(</w:t>
      </w:r>
      <w:hyperlink w:anchor="ref-kjell2019semantic">
        <w:r>
          <w:rPr>
            <w:rStyle w:val="Hyperlink"/>
          </w:rPr>
          <w:t xml:space="preserve">Kjell et al., 2019</w:t>
        </w:r>
      </w:hyperlink>
      <w:r>
        <w:t xml:space="preserve">)</w:t>
      </w:r>
      <w:r>
        <w:t xml:space="preserve"> </w:t>
      </w:r>
      <w:r>
        <w:t xml:space="preserve">and nearing theoretical upper limits of accuracy with LLMs</w:t>
      </w:r>
      <w:r>
        <w:t xml:space="preserve"> </w:t>
      </w:r>
      <w:r>
        <w:t xml:space="preserve">(</w:t>
      </w:r>
      <w:hyperlink w:anchor="ref-Kjell2022">
        <w:r>
          <w:rPr>
            <w:rStyle w:val="Hyperlink"/>
          </w:rPr>
          <w:t xml:space="preserve">Kjell et al., 2022</w:t>
        </w:r>
      </w:hyperlink>
      <w:r>
        <w:t xml:space="preserve">)</w:t>
      </w:r>
      <w:r>
        <w:t xml:space="preserve">.</w:t>
      </w:r>
    </w:p>
    <w:p>
      <w:pPr>
        <w:pStyle w:val="BodyText"/>
      </w:pPr>
      <w:r>
        <w:t xml:space="preserve">However, much of the existing literature relies on online survey data or non-clinical text data, leaving a gap in our understanding of how these methods perform in real-world clinical contexts. In contrast, open-ended patient responses are routinely collected in clinical settings as part of pre-therapy intake procedures but remain largely underused in empirical research. The present project leverages data from an outpatient psychotherapy clinic at Ruhr University Bochum, where patients respond to multiple prompts addressing the development and context of their mental health problems, perceived causes, social reactions, current difficulties, and therapy goals. These narratives are linked to structured diagnostic interviews, repeated symptom assessments, clinician ratings, and longitudinal outcome measures. This longitudinal clinical dataset enables a comprehensive examination of patient language across multiple analytic perspectives.</w:t>
      </w:r>
    </w:p>
    <w:p>
      <w:pPr>
        <w:pStyle w:val="BodyText"/>
      </w:pPr>
      <w:r>
        <w:t xml:space="preserve">Accordingly, the present project is organized into three complementary research areas. The first investigates whether pre-therapy language reflects cross-sectional symptom severity and clinician-rated impairment and whether language-based representations provide incremental information beyond standardized self-report questionnaires. The second focuses on the semantic content and structure of pre-therapy patient narratives, using question-specific analyses to identify recurring themes and selective response patterns in how patients conceptualize their mental health problems before therapy. The third evaluates the prognostic value of pre-therapy language by testing whether patient narratives predict treatment response and individualized goal attainment over time, beyond baseline symptom severity.</w:t>
      </w:r>
    </w:p>
    <w:p>
      <w:pPr>
        <w:pStyle w:val="BodyText"/>
      </w:pPr>
      <w:r>
        <w:t xml:space="preserve">By integrating assessment, interpretive, and prognostic perspectives, this project aims to advance the clinical use of natural language in psychotherapy. Ultimately, the findings seek to support more nuanced, patient-centered assessment practices and contribute to the development of language-based tools that complement existing diagnostic frameworks and inform personalized treatment planning.</w:t>
      </w:r>
    </w:p>
    <w:bookmarkEnd w:id="33"/>
    <w:bookmarkStart w:id="44" w:name="shared-methods"/>
    <w:p>
      <w:pPr>
        <w:pStyle w:val="Heading1"/>
      </w:pPr>
      <w:r>
        <w:t xml:space="preserve">Shared Methods</w:t>
      </w:r>
    </w:p>
    <w:p>
      <w:pPr>
        <w:pStyle w:val="FirstParagraph"/>
      </w:pPr>
      <w:r>
        <w:t xml:space="preserve">All substudies draw on the same clinical cohort and share a common set of intake and outcome variables. The shared dataset comprises (a) pre-therapy intake data, including sociodemographics, standardized psychometric questionnaires, and question-specific open-ended patient narratives, and (b) longitudinal clinical measures collected repeatedly during and after treatment. Textual analyses are based exclusively on pre-therapy narratives, while psychometric and clinician-rated measures are used as cross-sectional outcomes, covariates, or longitudinal endpoints depending on the substudy.</w:t>
      </w:r>
    </w:p>
    <w:p>
      <w:pPr>
        <w:pStyle w:val="BodyText"/>
      </w:pPr>
      <w:r>
        <w:t xml:space="preserve">The following sections describe the shared dataset, preprocessing pipeline, and measurement instruments used across all substudies.</w:t>
      </w:r>
    </w:p>
    <w:bookmarkStart w:id="39" w:name="measures"/>
    <w:p>
      <w:pPr>
        <w:pStyle w:val="Heading2"/>
      </w:pPr>
      <w:r>
        <w:t xml:space="preserve">Measures</w:t>
      </w:r>
    </w:p>
    <w:bookmarkStart w:id="34" w:name="sociodemographic-and-context-measures"/>
    <w:p>
      <w:pPr>
        <w:pStyle w:val="Heading3"/>
      </w:pPr>
      <w:r>
        <w:t xml:space="preserve">Sociodemographic and context measures</w:t>
      </w:r>
    </w:p>
    <w:p>
      <w:pPr>
        <w:pStyle w:val="FirstParagraph"/>
      </w:pPr>
      <w:r>
        <w:t xml:space="preserve">Sociodemographic information included age, sex, marital and relationship status, general educational attainment, vocational qualification, and current work ability. Contextual variables captured prior psychological or psychiatric treatment and the manner in which therapy ended (e.g., regular completion, dropout).</w:t>
      </w:r>
    </w:p>
    <w:bookmarkEnd w:id="34"/>
    <w:bookmarkStart w:id="35" w:name="X382854fb51e286cef5fba145eedea3477f651c6"/>
    <w:p>
      <w:pPr>
        <w:pStyle w:val="Heading3"/>
      </w:pPr>
      <w:r>
        <w:t xml:space="preserve">Responses from open-ended questions before therapy</w:t>
      </w:r>
    </w:p>
    <w:p>
      <w:pPr>
        <w:pStyle w:val="FirstParagraph"/>
      </w:pPr>
      <w:r>
        <w:t xml:space="preserve">At the start of therapy, patients complete two separate questionnaires designed to assess key aspects of their mental health concerns, functional impairments, and expectations for treatment. Questions 1–9 come from the first questionnaire (</w:t>
      </w:r>
      <w:r>
        <w:rPr>
          <w:i/>
          <w:iCs/>
        </w:rPr>
        <w:t xml:space="preserve">Fragebogen zur Lebensgeschichte</w:t>
      </w:r>
      <w:r>
        <w:t xml:space="preserve">), and questions 10–12 come from the second (</w:t>
      </w:r>
      <w:r>
        <w:rPr>
          <w:i/>
          <w:iCs/>
        </w:rPr>
        <w:t xml:space="preserve">Eingangsfragebogen</w:t>
      </w:r>
      <w:r>
        <w:t xml:space="preserve">). The questions include:</w:t>
      </w:r>
    </w:p>
    <w:p>
      <w:pPr>
        <w:pStyle w:val="Compact"/>
        <w:numPr>
          <w:ilvl w:val="0"/>
          <w:numId w:val="1001"/>
        </w:numPr>
      </w:pPr>
      <w:r>
        <w:rPr>
          <w:b/>
          <w:bCs/>
        </w:rPr>
        <w:t xml:space="preserve">Problem development:</w:t>
      </w:r>
      <w:r>
        <w:t xml:space="preserve"> </w:t>
      </w:r>
      <w:r>
        <w:t xml:space="preserve">‘Briefly describe how the problems for which you are seeking treatment have developed over time.’</w:t>
      </w:r>
      <w:r>
        <w:t xml:space="preserve"> </w:t>
      </w:r>
      <w:r>
        <w:t xml:space="preserve">(german original question: „Beschreiben Sie kurz, wie sich Ihre Probleme, wegen derer Sie eine Behandlung aufsuchen, im Laufe der Zeit entwickelt haben.”)</w:t>
      </w:r>
    </w:p>
    <w:p>
      <w:pPr>
        <w:pStyle w:val="Compact"/>
        <w:numPr>
          <w:ilvl w:val="0"/>
          <w:numId w:val="1001"/>
        </w:numPr>
      </w:pPr>
      <w:r>
        <w:rPr>
          <w:b/>
          <w:bCs/>
        </w:rPr>
        <w:t xml:space="preserve">Extra stressors:</w:t>
      </w:r>
      <w:r>
        <w:t xml:space="preserve"> </w:t>
      </w:r>
      <w:r>
        <w:t xml:space="preserve">‘What causes you stress in addition to your everyday problems (e.g. finances, housing situation)?’</w:t>
      </w:r>
      <w:r>
        <w:t xml:space="preserve"> </w:t>
      </w:r>
      <w:r>
        <w:t xml:space="preserve">(german original question: „Was macht Ihnen zusätzlich zu Ihren Problemen im Alltag Stress (z. B. Finanzen, Wohnsituation)?“)</w:t>
      </w:r>
    </w:p>
    <w:p>
      <w:pPr>
        <w:pStyle w:val="Compact"/>
        <w:numPr>
          <w:ilvl w:val="0"/>
          <w:numId w:val="1001"/>
        </w:numPr>
      </w:pPr>
      <w:r>
        <w:rPr>
          <w:b/>
          <w:bCs/>
        </w:rPr>
        <w:t xml:space="preserve">Pre-onset changes:</w:t>
      </w:r>
      <w:r>
        <w:t xml:space="preserve"> </w:t>
      </w:r>
      <w:r>
        <w:t xml:space="preserve">‘Did something special change in your life before the onset of your symptoms? (e.g. death of an important person, divorce or separation, change in work situation or income, addition to the family)’</w:t>
      </w:r>
      <w:r>
        <w:t xml:space="preserve"> </w:t>
      </w:r>
      <w:r>
        <w:t xml:space="preserve">(german original question: „Hat sich vor dem Beginn Ihrer Beschwerden etwas Besonderes in Ihrem Leben verändert? (z. B. Tod einer wichtigen Bezugsperson, Scheidung oder Trennung, Veränderung der Arbeitssituation oder des Einkommens, Familienzuwachs)“)</w:t>
      </w:r>
    </w:p>
    <w:p>
      <w:pPr>
        <w:pStyle w:val="Compact"/>
        <w:numPr>
          <w:ilvl w:val="0"/>
          <w:numId w:val="1001"/>
        </w:numPr>
      </w:pPr>
      <w:r>
        <w:rPr>
          <w:b/>
          <w:bCs/>
        </w:rPr>
        <w:t xml:space="preserve">Event connection:</w:t>
      </w:r>
      <w:r>
        <w:t xml:space="preserve"> </w:t>
      </w:r>
      <w:r>
        <w:t xml:space="preserve">‘Do you see a connection between the event(s) and the development of your problems?’</w:t>
      </w:r>
      <w:r>
        <w:t xml:space="preserve"> </w:t>
      </w:r>
      <w:r>
        <w:t xml:space="preserve">(german original question: „Sehen Sie einen Zusammenhang zwischen dem Ereignis/den Ereignissen und der Entwicklung Ihrer Probleme?“)</w:t>
      </w:r>
    </w:p>
    <w:p>
      <w:pPr>
        <w:pStyle w:val="Compact"/>
        <w:numPr>
          <w:ilvl w:val="0"/>
          <w:numId w:val="1001"/>
        </w:numPr>
      </w:pPr>
      <w:r>
        <w:rPr>
          <w:b/>
          <w:bCs/>
        </w:rPr>
        <w:t xml:space="preserve">Physical symptoms:</w:t>
      </w:r>
      <w:r>
        <w:t xml:space="preserve"> </w:t>
      </w:r>
      <w:r>
        <w:t xml:space="preserve">‘Are there any physical side effects when your problems occur?’</w:t>
      </w:r>
      <w:r>
        <w:t xml:space="preserve"> </w:t>
      </w:r>
      <w:r>
        <w:t xml:space="preserve">(german original question: „Gibt es körperliche Begleiterscheinungen, wenn Ihre Probleme auftreten?“)</w:t>
      </w:r>
    </w:p>
    <w:p>
      <w:pPr>
        <w:pStyle w:val="Compact"/>
        <w:numPr>
          <w:ilvl w:val="0"/>
          <w:numId w:val="1001"/>
        </w:numPr>
      </w:pPr>
      <w:r>
        <w:rPr>
          <w:b/>
          <w:bCs/>
        </w:rPr>
        <w:t xml:space="preserve">Problem causes:</w:t>
      </w:r>
      <w:r>
        <w:t xml:space="preserve"> </w:t>
      </w:r>
      <w:r>
        <w:t xml:space="preserve">‘What do you think are the causes of your problems?’</w:t>
      </w:r>
      <w:r>
        <w:t xml:space="preserve"> </w:t>
      </w:r>
      <w:r>
        <w:t xml:space="preserve">(german original question: „Welche Ursachen sehen Sie für Ihre Probleme?“)</w:t>
      </w:r>
    </w:p>
    <w:p>
      <w:pPr>
        <w:pStyle w:val="Compact"/>
        <w:numPr>
          <w:ilvl w:val="0"/>
          <w:numId w:val="1001"/>
        </w:numPr>
      </w:pPr>
      <w:r>
        <w:rPr>
          <w:b/>
          <w:bCs/>
        </w:rPr>
        <w:t xml:space="preserve">Expected improvements:</w:t>
      </w:r>
      <w:r>
        <w:t xml:space="preserve"> </w:t>
      </w:r>
      <w:r>
        <w:t xml:space="preserve">‘What would improve in your life if you no longer had your problems?’</w:t>
      </w:r>
      <w:r>
        <w:t xml:space="preserve"> </w:t>
      </w:r>
      <w:r>
        <w:t xml:space="preserve">(german original question: „Was würde sich in Ihrem Leben verbessern, wenn Sie ihre Probleme nicht mehr hätten?“)</w:t>
      </w:r>
    </w:p>
    <w:p>
      <w:pPr>
        <w:pStyle w:val="Compact"/>
        <w:numPr>
          <w:ilvl w:val="0"/>
          <w:numId w:val="1001"/>
        </w:numPr>
      </w:pPr>
      <w:r>
        <w:rPr>
          <w:b/>
          <w:bCs/>
        </w:rPr>
        <w:t xml:space="preserve">Environment response:</w:t>
      </w:r>
      <w:r>
        <w:t xml:space="preserve"> </w:t>
      </w:r>
      <w:r>
        <w:t xml:space="preserve">‘How does your environment (partner, family, friends, work colleagues) react to your problems?’</w:t>
      </w:r>
      <w:r>
        <w:t xml:space="preserve"> </w:t>
      </w:r>
      <w:r>
        <w:t xml:space="preserve">(german original question: „Wie reagiert Ihre Umwelt (Partner:in, Familie, Freund:innen, Arbeitskolleg:innen) auf die Probleme?“)</w:t>
      </w:r>
    </w:p>
    <w:p>
      <w:pPr>
        <w:pStyle w:val="Compact"/>
        <w:numPr>
          <w:ilvl w:val="0"/>
          <w:numId w:val="1001"/>
        </w:numPr>
      </w:pPr>
      <w:r>
        <w:rPr>
          <w:b/>
          <w:bCs/>
        </w:rPr>
        <w:t xml:space="preserve">No change required:</w:t>
      </w:r>
      <w:r>
        <w:t xml:space="preserve"> </w:t>
      </w:r>
      <w:r>
        <w:t xml:space="preserve">‘What should not change under any circumstances as a result of the therapy?’</w:t>
      </w:r>
      <w:r>
        <w:t xml:space="preserve"> </w:t>
      </w:r>
      <w:r>
        <w:t xml:space="preserve">(german original question: „Was sollte sich durch die Therapie auf keinen Fall verändern?“)</w:t>
      </w:r>
    </w:p>
    <w:p>
      <w:pPr>
        <w:pStyle w:val="Compact"/>
        <w:numPr>
          <w:ilvl w:val="0"/>
          <w:numId w:val="1001"/>
        </w:numPr>
      </w:pPr>
      <w:r>
        <w:rPr>
          <w:b/>
          <w:bCs/>
        </w:rPr>
        <w:t xml:space="preserve">Problem description:</w:t>
      </w:r>
      <w:r>
        <w:t xml:space="preserve"> </w:t>
      </w:r>
      <w:r>
        <w:t xml:space="preserve">‘Finally, please describe in your own words the problems for which you would like treatment.’</w:t>
      </w:r>
      <w:r>
        <w:t xml:space="preserve"> </w:t>
      </w:r>
      <w:r>
        <w:t xml:space="preserve">(german original question: „Beschreiben Sie zum Abschluss bitte noch einmal in eigenen Worten Ihre Probleme, deretwegen Sie eine Behandlung wünschen.“)</w:t>
      </w:r>
    </w:p>
    <w:p>
      <w:pPr>
        <w:pStyle w:val="Compact"/>
        <w:numPr>
          <w:ilvl w:val="0"/>
          <w:numId w:val="1001"/>
        </w:numPr>
      </w:pPr>
      <w:r>
        <w:rPr>
          <w:b/>
          <w:bCs/>
        </w:rPr>
        <w:t xml:space="preserve">Impacted life areas:</w:t>
      </w:r>
      <w:r>
        <w:t xml:space="preserve"> </w:t>
      </w:r>
      <w:r>
        <w:t xml:space="preserve">‘In which areas of your life do these problems limit you (e.g. job, relationship)?’</w:t>
      </w:r>
      <w:r>
        <w:t xml:space="preserve"> </w:t>
      </w:r>
      <w:r>
        <w:t xml:space="preserve">(german original question: „In welchen Lebensbereichen schränken Sie diese Probleme ein (z. B. Beruf, Partnerschaft)?“)</w:t>
      </w:r>
    </w:p>
    <w:p>
      <w:pPr>
        <w:pStyle w:val="Compact"/>
        <w:numPr>
          <w:ilvl w:val="0"/>
          <w:numId w:val="1001"/>
        </w:numPr>
      </w:pPr>
      <w:r>
        <w:rPr>
          <w:b/>
          <w:bCs/>
        </w:rPr>
        <w:t xml:space="preserve">Therapy goals:</w:t>
      </w:r>
      <w:r>
        <w:t xml:space="preserve"> </w:t>
      </w:r>
      <w:r>
        <w:t xml:space="preserve">‘What would you like to achieve for yourself in therapy?’</w:t>
      </w:r>
      <w:r>
        <w:t xml:space="preserve"> </w:t>
      </w:r>
      <w:r>
        <w:t xml:space="preserve">(german original question: „Was möchten Sie in der Therapie für sich erreichen?“)</w:t>
      </w:r>
    </w:p>
    <w:bookmarkEnd w:id="35"/>
    <w:bookmarkStart w:id="36" w:name="psychometric-measures"/>
    <w:p>
      <w:pPr>
        <w:pStyle w:val="Heading3"/>
      </w:pPr>
      <w:r>
        <w:t xml:space="preserve">Psychometric measures</w:t>
      </w:r>
    </w:p>
    <w:p>
      <w:pPr>
        <w:pStyle w:val="FirstParagraph"/>
      </w:pPr>
      <w:r>
        <w:t xml:space="preserve">Clinical and psychometric variables were retrieved from the FBZ database and included diagnostic information, self-report symptom measures, therapist- and patient-rated outcome measures, positive mental health indicators, and therapeutic process variables. Diagnoses were coded according to DSM-5 and ICD-10 criteria. Symptom severity and treatment outcomes were assessed using a combination of standardized self-report questionnaires and clinician-rated instruments administered at different points during treatment.</w:t>
      </w:r>
    </w:p>
    <w:p>
      <w:pPr>
        <w:pStyle w:val="Heading4"/>
        <w:rPr>
          <w:vanish/>
          <w:specVanish/>
        </w:rPr>
      </w:pPr>
      <w:r>
        <w:t>Diagnosis.</w:t>
      </w:r>
      <w:r>
        <w:t xml:space="preserve"> </w:t>
      </w:r>
    </w:p>
    <w:p>
      <w:pPr>
        <w:pStyle w:val="BodyText"/>
      </w:pPr>
      <w:r>
        <w:t xml:space="preserve">Diagnosis at the outpatient clinic is conducted using structured clinical interviews. These typically take place before therapy begins, usually at the fourth therapist–patient contact. The interview used is the Diagnostic Interview for Mental Disorders</w:t>
      </w:r>
      <w:r>
        <w:t xml:space="preserve"> </w:t>
      </w:r>
      <w:r>
        <w:t xml:space="preserve">(</w:t>
      </w:r>
      <w:hyperlink w:anchor="ref-margraf2021">
        <w:r>
          <w:rPr>
            <w:rStyle w:val="Hyperlink"/>
          </w:rPr>
          <w:t xml:space="preserve">Margraf et al., 2021</w:t>
        </w:r>
      </w:hyperlink>
      <w:r>
        <w:t xml:space="preserve">)</w:t>
      </w:r>
      <w:r>
        <w:t xml:space="preserve">, which covers the most frequent DSM-5 disorders encountered in outpatient therapy settings.</w:t>
      </w:r>
    </w:p>
    <w:p>
      <w:pPr>
        <w:pStyle w:val="Heading4"/>
        <w:rPr>
          <w:vanish/>
          <w:specVanish/>
        </w:rPr>
      </w:pPr>
      <w:r>
        <w:t>Beck-Depression-Inventory II.</w:t>
      </w:r>
      <w:r>
        <w:t xml:space="preserve"> </w:t>
      </w:r>
    </w:p>
    <w:p>
      <w:pPr>
        <w:pStyle w:val="BodyText"/>
      </w:pPr>
      <w:r>
        <w:t xml:space="preserve">Depressive symptoms were assessed using the</w:t>
      </w:r>
      <w:r>
        <w:t xml:space="preserve"> </w:t>
      </w:r>
      <w:r>
        <w:rPr>
          <w:i/>
          <w:iCs/>
        </w:rPr>
        <w:t xml:space="preserve">Beck Depression Inventory–II</w:t>
      </w:r>
      <w:r>
        <w:t xml:space="preserve"> </w:t>
      </w:r>
      <w:r>
        <w:t xml:space="preserve">(BDI-II;</w:t>
      </w:r>
      <w:r>
        <w:t xml:space="preserve"> </w:t>
      </w:r>
      <w:r>
        <w:t xml:space="preserve">(</w:t>
      </w:r>
      <w:hyperlink w:anchor="ref-Beck1996">
        <w:r>
          <w:rPr>
            <w:rStyle w:val="Hyperlink"/>
          </w:rPr>
          <w:t xml:space="preserve">Beck et al., 1996</w:t>
        </w:r>
      </w:hyperlink>
      <w:r>
        <w:t xml:space="preserve">)</w:t>
      </w:r>
      <w:r>
        <w:t xml:space="preserve">), a widely used self-report questionnaire measuring the severity of depressive symptomatology over the past two weeks.</w:t>
      </w:r>
    </w:p>
    <w:p>
      <w:pPr>
        <w:pStyle w:val="Heading4"/>
        <w:rPr>
          <w:vanish/>
          <w:specVanish/>
        </w:rPr>
      </w:pPr>
      <w:r>
        <w:t>Depression Anxiety Stress Scale 42.</w:t>
      </w:r>
      <w:r>
        <w:t xml:space="preserve"> </w:t>
      </w:r>
    </w:p>
    <w:p>
      <w:pPr>
        <w:pStyle w:val="BodyText"/>
      </w:pPr>
      <w:r>
        <w:t xml:space="preserve">Depressive symptoms, anxiety symptoms, and general psychological distress were assessed using the</w:t>
      </w:r>
      <w:r>
        <w:t xml:space="preserve"> </w:t>
      </w:r>
      <w:r>
        <w:rPr>
          <w:i/>
          <w:iCs/>
        </w:rPr>
        <w:t xml:space="preserve">Depression Anxiety Stress Scale–42</w:t>
      </w:r>
      <w:r>
        <w:t xml:space="preserve"> </w:t>
      </w:r>
      <w:r>
        <w:t xml:space="preserve">(DASS-42</w:t>
      </w:r>
      <w:r>
        <w:t xml:space="preserve">(</w:t>
      </w:r>
      <w:hyperlink w:anchor="ref-Lovibond1995">
        <w:r>
          <w:rPr>
            <w:rStyle w:val="Hyperlink"/>
          </w:rPr>
          <w:t xml:space="preserve">Lovibond &amp; Lovibond, 1995</w:t>
        </w:r>
      </w:hyperlink>
      <w:r>
        <w:t xml:space="preserve">)</w:t>
      </w:r>
      <w:r>
        <w:t xml:space="preserve">), which consists of 42 items measuring symptoms of depression, anxiety, and stress on a 4-point likert scale.</w:t>
      </w:r>
    </w:p>
    <w:p>
      <w:pPr>
        <w:pStyle w:val="Heading4"/>
        <w:rPr>
          <w:vanish/>
          <w:specVanish/>
        </w:rPr>
      </w:pPr>
      <w:r>
        <w:t>Brief Symptom Inventory.</w:t>
      </w:r>
      <w:r>
        <w:t xml:space="preserve"> </w:t>
      </w:r>
    </w:p>
    <w:p>
      <w:pPr>
        <w:pStyle w:val="BodyText"/>
      </w:pPr>
      <w:r>
        <w:t xml:space="preserve">Overall psychopathological symptom burden was measured using the</w:t>
      </w:r>
      <w:r>
        <w:t xml:space="preserve"> </w:t>
      </w:r>
      <w:r>
        <w:rPr>
          <w:i/>
          <w:iCs/>
        </w:rPr>
        <w:t xml:space="preserve">Brief Symptom Inventory</w:t>
      </w:r>
      <w:r>
        <w:t xml:space="preserve"> </w:t>
      </w:r>
      <w:r>
        <w:t xml:space="preserve">(BSI;</w:t>
      </w:r>
      <w:r>
        <w:t xml:space="preserve"> </w:t>
      </w:r>
      <w:r>
        <w:t xml:space="preserve">(</w:t>
      </w:r>
      <w:hyperlink w:anchor="ref-book">
        <w:r>
          <w:rPr>
            <w:rStyle w:val="Hyperlink"/>
          </w:rPr>
          <w:t xml:space="preserve">Franke, 2002</w:t>
        </w:r>
      </w:hyperlink>
      <w:r>
        <w:t xml:space="preserve">)</w:t>
      </w:r>
      <w:r>
        <w:t xml:space="preserve">), the short form of the Symptom Checklist-90-Revised (SCL-90-R; Derogatis). The BSI consists of 53 items rated on a 5-point Likert scale ranging from 0 (</w:t>
      </w:r>
      <w:r>
        <w:t xml:space="preserve">“not at all”</w:t>
      </w:r>
      <w:r>
        <w:t xml:space="preserve">) to 4 (</w:t>
      </w:r>
      <w:r>
        <w:t xml:space="preserve">“extremely”</w:t>
      </w:r>
      <w:r>
        <w:t xml:space="preserve">). Responses to 49 items are assigned to nine primary symptom dimensions, while four items are evaluated separately. These symptom dimensions are summarized into three global indices: the</w:t>
      </w:r>
      <w:r>
        <w:t xml:space="preserve"> </w:t>
      </w:r>
      <w:r>
        <w:rPr>
          <w:i/>
          <w:iCs/>
        </w:rPr>
        <w:t xml:space="preserve">Global Severity Index</w:t>
      </w:r>
      <w:r>
        <w:t xml:space="preserve"> </w:t>
      </w:r>
      <w:r>
        <w:t xml:space="preserve">(GSI), reflecting overall psychological distress; the</w:t>
      </w:r>
      <w:r>
        <w:t xml:space="preserve"> </w:t>
      </w:r>
      <w:r>
        <w:rPr>
          <w:i/>
          <w:iCs/>
        </w:rPr>
        <w:t xml:space="preserve">Positive Symptom Distress Index</w:t>
      </w:r>
      <w:r>
        <w:t xml:space="preserve"> </w:t>
      </w:r>
      <w:r>
        <w:t xml:space="preserve">(PSDI), indicating symptom intensity; and the</w:t>
      </w:r>
      <w:r>
        <w:t xml:space="preserve"> </w:t>
      </w:r>
      <w:r>
        <w:rPr>
          <w:i/>
          <w:iCs/>
        </w:rPr>
        <w:t xml:space="preserve">Positive Symptom Total</w:t>
      </w:r>
      <w:r>
        <w:t xml:space="preserve"> </w:t>
      </w:r>
      <w:r>
        <w:t xml:space="preserve">(PST), representing the number of reported symptoms.</w:t>
      </w:r>
    </w:p>
    <w:p>
      <w:pPr>
        <w:pStyle w:val="Heading4"/>
        <w:rPr>
          <w:vanish/>
          <w:specVanish/>
        </w:rPr>
      </w:pPr>
      <w:r>
        <w:t>Positive Mental Health Scale.</w:t>
      </w:r>
      <w:r>
        <w:t xml:space="preserve"> </w:t>
      </w:r>
    </w:p>
    <w:p>
      <w:pPr>
        <w:pStyle w:val="BodyText"/>
      </w:pPr>
      <w:r>
        <w:t xml:space="preserve">Positive mental health (PMH) was assessed with the nine-item</w:t>
      </w:r>
      <w:r>
        <w:t xml:space="preserve"> </w:t>
      </w:r>
      <w:r>
        <w:rPr>
          <w:i/>
          <w:iCs/>
        </w:rPr>
        <w:t xml:space="preserve">PMH scale</w:t>
      </w:r>
      <w:r>
        <w:t xml:space="preserve"> </w:t>
      </w:r>
      <w:r>
        <w:t xml:space="preserve">(</w:t>
      </w:r>
      <w:hyperlink w:anchor="ref-lukat2016">
        <w:r>
          <w:rPr>
            <w:rStyle w:val="Hyperlink"/>
          </w:rPr>
          <w:t xml:space="preserve">Lukat et al., 2016</w:t>
        </w:r>
      </w:hyperlink>
      <w:r>
        <w:t xml:space="preserve">)</w:t>
      </w:r>
      <w:r>
        <w:t xml:space="preserve">. Responses are given on a 4-point Likert scale from 0 (disagree) to 3 (agree). Item scores are summed to yield a total score ranging from 0 to 27, with higher scores reflecting greater PMH. The scale has been validated as a unidimensional measure with excellent internal consistency (Cronbach’s α = .93), good test–retest reliability (Pearson r = .74–.81), and evidence of scalar invariance across samples and over time</w:t>
      </w:r>
      <w:r>
        <w:t xml:space="preserve"> </w:t>
      </w:r>
      <w:r>
        <w:t xml:space="preserve">(</w:t>
      </w:r>
      <w:hyperlink w:anchor="ref-lukat2016">
        <w:r>
          <w:rPr>
            <w:rStyle w:val="Hyperlink"/>
          </w:rPr>
          <w:t xml:space="preserve">Lukat et al., 2016</w:t>
        </w:r>
      </w:hyperlink>
      <w:r>
        <w:t xml:space="preserve">)</w:t>
      </w:r>
      <w:r>
        <w:t xml:space="preserve">. Furthermore, it shows strong convergent and discriminant validity and is sensitive to therapeutic change across diverse populations</w:t>
      </w:r>
      <w:r>
        <w:t xml:space="preserve"> </w:t>
      </w:r>
      <w:r>
        <w:t xml:space="preserve">(</w:t>
      </w:r>
      <w:hyperlink w:anchor="ref-lukat2016">
        <w:r>
          <w:rPr>
            <w:rStyle w:val="Hyperlink"/>
          </w:rPr>
          <w:t xml:space="preserve">Lukat et al., 2016</w:t>
        </w:r>
      </w:hyperlink>
      <w:r>
        <w:t xml:space="preserve">)</w:t>
      </w:r>
      <w:r>
        <w:t xml:space="preserve">.</w:t>
      </w:r>
    </w:p>
    <w:p>
      <w:pPr>
        <w:pStyle w:val="Heading4"/>
        <w:rPr>
          <w:vanish/>
          <w:specVanish/>
        </w:rPr>
      </w:pPr>
      <w:r>
        <w:t>Childhood Trauma Questionnaire.</w:t>
      </w:r>
      <w:r>
        <w:t xml:space="preserve"> </w:t>
      </w:r>
    </w:p>
    <w:p>
      <w:pPr>
        <w:pStyle w:val="BodyText"/>
      </w:pPr>
      <w:r>
        <w:t xml:space="preserve">Early adverse experiences were assessed using the</w:t>
      </w:r>
      <w:r>
        <w:t xml:space="preserve"> </w:t>
      </w:r>
      <w:r>
        <w:rPr>
          <w:i/>
          <w:iCs/>
        </w:rPr>
        <w:t xml:space="preserve">Childhood Trauma Questionnaire</w:t>
      </w:r>
      <w:r>
        <w:t xml:space="preserve"> </w:t>
      </w:r>
      <w:r>
        <w:t xml:space="preserve">(CTQ)</w:t>
      </w:r>
      <w:r>
        <w:t xml:space="preserve"> </w:t>
      </w:r>
      <w:r>
        <w:t xml:space="preserve">(</w:t>
      </w:r>
      <w:hyperlink w:anchor="ref-bernstein2003">
        <w:r>
          <w:rPr>
            <w:rStyle w:val="Hyperlink"/>
          </w:rPr>
          <w:t xml:space="preserve">Bernstein et al., 2003</w:t>
        </w:r>
      </w:hyperlink>
      <w:r>
        <w:t xml:space="preserve">)</w:t>
      </w:r>
      <w:r>
        <w:t xml:space="preserve">, a widely used self-report instrument for the retrospective assessment of childhood maltreatment. The CTQ measures five domains of adverse experiences: emotional abuse, physical abuse, sexual abuse, emotional neglect, and physical neglect. Items are rated on a 5-point Likert scale ranging from 1 (</w:t>
      </w:r>
      <w:r>
        <w:t xml:space="preserve">“not at all”</w:t>
      </w:r>
      <w:r>
        <w:t xml:space="preserve">) to 5 (</w:t>
      </w:r>
      <w:r>
        <w:t xml:space="preserve">“very often”</w:t>
      </w:r>
      <w:r>
        <w:t xml:space="preserve">), with higher scores indicating greater exposure to maltreatment. The German version of the CTQ has demonstrated good psychometric properties, including satisfactory reliability and validity in clinical samples</w:t>
      </w:r>
      <w:r>
        <w:t xml:space="preserve"> </w:t>
      </w:r>
      <w:r>
        <w:t xml:space="preserve">(</w:t>
      </w:r>
      <w:hyperlink w:anchor="ref-wingenfeld2010">
        <w:r>
          <w:rPr>
            <w:rStyle w:val="Hyperlink"/>
          </w:rPr>
          <w:t xml:space="preserve">Wingenfeld et al., 2010</w:t>
        </w:r>
      </w:hyperlink>
      <w:r>
        <w:t xml:space="preserve">)</w:t>
      </w:r>
      <w:r>
        <w:t xml:space="preserve">.</w:t>
      </w:r>
    </w:p>
    <w:p>
      <w:pPr>
        <w:pStyle w:val="Heading4"/>
        <w:rPr>
          <w:vanish/>
          <w:specVanish/>
        </w:rPr>
      </w:pPr>
      <w:r>
        <w:t>Clinical Global Impression.</w:t>
      </w:r>
      <w:r>
        <w:t xml:space="preserve"> </w:t>
      </w:r>
    </w:p>
    <w:p>
      <w:pPr>
        <w:pStyle w:val="BodyText"/>
      </w:pPr>
      <w:r>
        <w:t xml:space="preserve">Clinician-rated symptom severity and improvement were assessed using the</w:t>
      </w:r>
      <w:r>
        <w:t xml:space="preserve"> </w:t>
      </w:r>
      <w:r>
        <w:rPr>
          <w:i/>
          <w:iCs/>
        </w:rPr>
        <w:t xml:space="preserve">Clinical Global Impression</w:t>
      </w:r>
      <w:r>
        <w:t xml:space="preserve"> </w:t>
      </w:r>
      <w:r>
        <w:t xml:space="preserve">(CGI) scales.</w:t>
      </w:r>
    </w:p>
    <w:p>
      <w:pPr>
        <w:pStyle w:val="Heading5"/>
        <w:rPr>
          <w:vanish/>
          <w:specVanish/>
        </w:rPr>
      </w:pPr>
      <w:r>
        <w:t>Severity Scale.</w:t>
      </w:r>
      <w:r>
        <w:t xml:space="preserve"> </w:t>
      </w:r>
    </w:p>
    <w:p>
      <w:pPr>
        <w:pStyle w:val="BodyText"/>
      </w:pPr>
      <w:r>
        <w:t xml:space="preserve">The</w:t>
      </w:r>
      <w:r>
        <w:t xml:space="preserve"> </w:t>
      </w:r>
      <w:r>
        <w:rPr>
          <w:i/>
          <w:iCs/>
        </w:rPr>
        <w:t xml:space="preserve">CGI-Severity</w:t>
      </w:r>
      <w:r>
        <w:t xml:space="preserve"> </w:t>
      </w:r>
      <w:r>
        <w:t xml:space="preserve">scale evaluates the clinician’s global impression of the patient’s current level of mental illness, based on their total clinical experience with this population. The item asks:</w:t>
      </w:r>
      <w:r>
        <w:t xml:space="preserve"> </w:t>
      </w:r>
      <w:r>
        <w:rPr>
          <w:i/>
          <w:iCs/>
        </w:rPr>
        <w:t xml:space="preserve">“Considering your total clinical experience with this particular population, how mentally ill is the patient at this time?”</w:t>
      </w:r>
    </w:p>
    <w:p>
      <w:pPr>
        <w:pStyle w:val="Heading5"/>
        <w:rPr>
          <w:vanish/>
          <w:specVanish/>
        </w:rPr>
      </w:pPr>
      <w:r>
        <w:t>Improvement Scale.</w:t>
      </w:r>
      <w:r>
        <w:t xml:space="preserve"> </w:t>
      </w:r>
    </w:p>
    <w:p>
      <w:pPr>
        <w:pStyle w:val="BodyText"/>
      </w:pPr>
      <w:r>
        <w:t xml:space="preserve">Treatment-related change was assessed using the</w:t>
      </w:r>
      <w:r>
        <w:t xml:space="preserve"> </w:t>
      </w:r>
      <w:r>
        <w:rPr>
          <w:i/>
          <w:iCs/>
        </w:rPr>
        <w:t xml:space="preserve">CGI-Improvement</w:t>
      </w:r>
      <w:r>
        <w:t xml:space="preserve"> </w:t>
      </w:r>
      <w:r>
        <w:t xml:space="preserve">scale. Both patients and therapists rated overall improvement relative to the beginning of therapy, regardless of whether the change was attributed entirely to treatment. Patient and therapist versions differ only in perspective but use equivalent response formats.</w:t>
      </w:r>
    </w:p>
    <w:bookmarkEnd w:id="36"/>
    <w:bookmarkStart w:id="37" w:name="global-improvement"/>
    <w:p>
      <w:pPr>
        <w:pStyle w:val="Heading3"/>
      </w:pPr>
      <w:r>
        <w:t xml:space="preserve">Global Improvement</w:t>
      </w:r>
    </w:p>
    <w:p>
      <w:pPr>
        <w:pStyle w:val="FirstParagraph"/>
      </w:pPr>
      <w:r>
        <w:t xml:space="preserve">Global therapy outcome was assessed using a six-point global success rating based on two items measuring perceived benefit and satisfaction with therapy</w:t>
      </w:r>
      <w:r>
        <w:t xml:space="preserve"> </w:t>
      </w:r>
      <w:r>
        <w:t xml:space="preserve">(</w:t>
      </w:r>
      <w:hyperlink w:anchor="ref-michalak2003">
        <w:r>
          <w:rPr>
            <w:rStyle w:val="Hyperlink"/>
          </w:rPr>
          <w:t xml:space="preserve">Michalak et al., 2003</w:t>
        </w:r>
      </w:hyperlink>
      <w:r>
        <w:t xml:space="preserve">)</w:t>
      </w:r>
      <w:r>
        <w:t xml:space="preserve">. These items were completed by both patients and therapists and capture a retrospective evaluation of treatment success. The items assess (1) the extent to which expectations toward therapy have been fulfilled and (2) the overall perceived benefit of therapy. Responses are given on a 6-point Likert scale ranging from 1 (</w:t>
      </w:r>
      <w:r>
        <w:t xml:space="preserve">“on the contrary / rather harmful”</w:t>
      </w:r>
      <w:r>
        <w:t xml:space="preserve">) to 6 (</w:t>
      </w:r>
      <w:r>
        <w:t xml:space="preserve">“completely / very helpful”</w:t>
      </w:r>
      <w:r>
        <w:t xml:space="preserve">).</w:t>
      </w:r>
    </w:p>
    <w:bookmarkEnd w:id="37"/>
    <w:bookmarkStart w:id="38" w:name="goal-attainment-scale"/>
    <w:p>
      <w:pPr>
        <w:pStyle w:val="Heading3"/>
      </w:pPr>
      <w:r>
        <w:t xml:space="preserve">Goal Attainment Scale</w:t>
      </w:r>
    </w:p>
    <w:p>
      <w:pPr>
        <w:pStyle w:val="FirstParagraph"/>
      </w:pPr>
      <w:r>
        <w:t xml:space="preserve">Individualized treatment outcomes were assessed using a goal attainment measure inspired by the Goal Attainment Scaling approach</w:t>
      </w:r>
      <w:r>
        <w:t xml:space="preserve"> </w:t>
      </w:r>
      <w:r>
        <w:t xml:space="preserve">(</w:t>
      </w:r>
      <w:hyperlink w:anchor="ref-kiresuk1968">
        <w:r>
          <w:rPr>
            <w:rStyle w:val="Hyperlink"/>
          </w:rPr>
          <w:t xml:space="preserve">Kiresuk &amp; Sherman, 1968</w:t>
        </w:r>
      </w:hyperlink>
      <w:r>
        <w:t xml:space="preserve">)</w:t>
      </w:r>
      <w:r>
        <w:t xml:space="preserve">. At the beginning of therapy, patients and therapists collaboratively define individualized treatment goals. During the course and at the end of therapy, patients and therapists retrospectively evaluated the extent to which each of the predefined goals had been achieved.</w:t>
      </w:r>
    </w:p>
    <w:p>
      <w:pPr>
        <w:pStyle w:val="BodyText"/>
      </w:pPr>
      <w:r>
        <w:t xml:space="preserve">Goal attainment was rated on a standardized six-point numerical scale ranging from deterioration relative to the initial goal state (-1 = moved away from the goal) to full goal attainment (4 = goal achieved). The scale reflects patients’ subjective assessment of goal progress, with intermediate categories indicating partial progress toward the respective goal.</w:t>
      </w:r>
    </w:p>
    <w:p>
      <w:pPr>
        <w:pStyle w:val="BodyText"/>
      </w:pPr>
      <w:r>
        <w:t xml:space="preserve">For each patient, an overall goal attainment score was computed as the mean rating across all individually defined goals, representing the average subjective level of goal progress at the end of therapy.</w:t>
      </w:r>
    </w:p>
    <w:bookmarkEnd w:id="38"/>
    <w:bookmarkEnd w:id="39"/>
    <w:bookmarkStart w:id="40" w:name="measurement-time-points"/>
    <w:p>
      <w:pPr>
        <w:pStyle w:val="Heading2"/>
      </w:pPr>
      <w:r>
        <w:t xml:space="preserve">Measurement time points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Timepoint</w:t>
            </w:r>
          </w:p>
        </w:tc>
        <w:tc>
          <w:tcPr/>
          <w:p>
            <w:pPr>
              <w:pStyle w:val="Compact"/>
            </w:pPr>
            <w:r>
              <w:t xml:space="preserve">DU-DI</w:t>
            </w:r>
          </w:p>
        </w:tc>
        <w:tc>
          <w:tcPr/>
          <w:p>
            <w:pPr>
              <w:pStyle w:val="Compact"/>
            </w:pPr>
            <w:r>
              <w:t xml:space="preserve">DU-Prä</w:t>
            </w:r>
          </w:p>
        </w:tc>
        <w:tc>
          <w:tcPr/>
          <w:p>
            <w:pPr>
              <w:pStyle w:val="Compact"/>
            </w:pPr>
            <w:r>
              <w:t xml:space="preserve">KZT1-DU4</w:t>
            </w:r>
          </w:p>
        </w:tc>
        <w:tc>
          <w:tcPr/>
          <w:p>
            <w:pPr>
              <w:pStyle w:val="Compact"/>
            </w:pPr>
            <w:r>
              <w:t xml:space="preserve">KZT1-DUPost</w:t>
            </w:r>
          </w:p>
        </w:tc>
        <w:tc>
          <w:tcPr/>
          <w:p>
            <w:pPr>
              <w:pStyle w:val="Compact"/>
            </w:pPr>
            <w:r>
              <w:t xml:space="preserve">KZT2-DUPost</w:t>
            </w:r>
          </w:p>
        </w:tc>
        <w:tc>
          <w:tcPr/>
          <w:p>
            <w:pPr>
              <w:pStyle w:val="Compact"/>
            </w:pPr>
            <w:r>
              <w:t xml:space="preserve">LZT1-DUPost</w:t>
            </w:r>
          </w:p>
        </w:tc>
        <w:tc>
          <w:tcPr/>
          <w:p>
            <w:pPr>
              <w:pStyle w:val="Compact"/>
            </w:pPr>
            <w:r>
              <w:t xml:space="preserve">LZT2-DUPost</w:t>
            </w:r>
          </w:p>
        </w:tc>
        <w:tc>
          <w:tcPr/>
          <w:p>
            <w:pPr>
              <w:pStyle w:val="Compact"/>
            </w:pPr>
            <w:r>
              <w:t xml:space="preserve">Kat6</w:t>
            </w:r>
          </w:p>
        </w:tc>
      </w:tr>
      <w:tr>
        <w:tc>
          <w:tcPr/>
          <w:p>
            <w:pPr>
              <w:pStyle w:val="Compact"/>
            </w:pPr>
            <w:r>
              <w:rPr>
                <w:b/>
                <w:bCs/>
              </w:rPr>
              <w:t xml:space="preserve">Explanation</w:t>
            </w:r>
          </w:p>
        </w:tc>
        <w:tc>
          <w:tcPr/>
          <w:p>
            <w:pPr>
              <w:pStyle w:val="Compact"/>
            </w:pPr>
            <w:r>
              <w:t xml:space="preserve">Pre-therapy, 4th contact</w:t>
            </w:r>
          </w:p>
        </w:tc>
        <w:tc>
          <w:tcPr/>
          <w:p>
            <w:pPr>
              <w:pStyle w:val="Compact"/>
            </w:pPr>
            <w:r>
              <w:t xml:space="preserve">Pre-therapy, 6th contact</w:t>
            </w:r>
          </w:p>
        </w:tc>
        <w:tc>
          <w:tcPr/>
          <w:p>
            <w:pPr>
              <w:pStyle w:val="Compact"/>
            </w:pPr>
            <w:r>
              <w:t xml:space="preserve">4th therapy session</w:t>
            </w:r>
          </w:p>
        </w:tc>
        <w:tc>
          <w:tcPr/>
          <w:p>
            <w:pPr>
              <w:pStyle w:val="Compact"/>
            </w:pPr>
            <w:r>
              <w:t xml:space="preserve">12th therapy session</w:t>
            </w:r>
          </w:p>
        </w:tc>
        <w:tc>
          <w:tcPr/>
          <w:p>
            <w:pPr>
              <w:pStyle w:val="Compact"/>
            </w:pPr>
            <w:r>
              <w:t xml:space="preserve">24th therapy session</w:t>
            </w:r>
          </w:p>
        </w:tc>
        <w:tc>
          <w:tcPr/>
          <w:p>
            <w:pPr>
              <w:pStyle w:val="Compact"/>
            </w:pPr>
            <w:r>
              <w:t xml:space="preserve">45th therapy session</w:t>
            </w:r>
          </w:p>
        </w:tc>
        <w:tc>
          <w:tcPr/>
          <w:p>
            <w:pPr>
              <w:pStyle w:val="Compact"/>
            </w:pPr>
            <w:r>
              <w:t xml:space="preserve">60th therapy session</w:t>
            </w:r>
          </w:p>
        </w:tc>
        <w:tc>
          <w:tcPr/>
          <w:p>
            <w:pPr>
              <w:pStyle w:val="Compact"/>
            </w:pPr>
            <w:r>
              <w:t xml:space="preserve">6 month after therapy</w:t>
            </w:r>
          </w:p>
        </w:tc>
      </w:tr>
      <w:tr>
        <w:tc>
          <w:tcPr/>
          <w:p>
            <w:pPr>
              <w:pStyle w:val="Compact"/>
            </w:pPr>
            <w:r>
              <w:rPr>
                <w:b/>
                <w:bCs/>
              </w:rPr>
              <w:t xml:space="preserve">Diagnosis</w:t>
            </w: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Demographics</w:t>
            </w:r>
          </w:p>
        </w:tc>
        <w:tc>
          <w:tcPr/>
          <w:p>
            <w:pPr>
              <w:pStyle w:val="Compact"/>
            </w:pP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BSI</w:t>
            </w:r>
          </w:p>
        </w:tc>
        <w:tc>
          <w:tcPr/>
          <w:p>
            <w:pPr>
              <w:pStyle w:val="Compact"/>
            </w:pPr>
            <w:r>
              <w:t xml:space="preserve">X</w:t>
            </w:r>
          </w:p>
        </w:tc>
        <w:tc>
          <w:tcPr/>
          <w:p>
            <w:pPr>
              <w:pStyle w:val="Compact"/>
            </w:pP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rPr>
                <w:b/>
                <w:bCs/>
              </w:rPr>
              <w:t xml:space="preserve">BDI-II</w:t>
            </w:r>
          </w:p>
        </w:tc>
        <w:tc>
          <w:tcPr/>
          <w:p>
            <w:pPr>
              <w:pStyle w:val="Compact"/>
            </w:pP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rPr>
                <w:b/>
                <w:bCs/>
              </w:rPr>
              <w:t xml:space="preserve">DASS-42</w:t>
            </w:r>
          </w:p>
        </w:tc>
        <w:tc>
          <w:tcPr/>
          <w:p>
            <w:pPr>
              <w:pStyle w:val="Compact"/>
            </w:pP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rPr>
                <w:b/>
                <w:bCs/>
              </w:rPr>
              <w:t xml:space="preserve">PMH</w:t>
            </w:r>
          </w:p>
        </w:tc>
        <w:tc>
          <w:tcPr/>
          <w:p>
            <w:pPr>
              <w:pStyle w:val="Compact"/>
            </w:pP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rPr>
                <w:b/>
                <w:bCs/>
              </w:rPr>
              <w:t xml:space="preserve">CTQ</w:t>
            </w:r>
          </w:p>
        </w:tc>
        <w:tc>
          <w:tcPr/>
          <w:p>
            <w:pPr>
              <w:pStyle w:val="Compact"/>
            </w:pP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CGI-S</w:t>
            </w:r>
          </w:p>
        </w:tc>
        <w:tc>
          <w:tcPr/>
          <w:p>
            <w:pPr>
              <w:pStyle w:val="Compact"/>
            </w:pPr>
          </w:p>
        </w:tc>
        <w:tc>
          <w:tcPr/>
          <w:p>
            <w:pPr>
              <w:pStyle w:val="Compac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CGI-I</w:t>
            </w: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rPr>
                <w:b/>
                <w:bCs/>
              </w:rPr>
              <w:t xml:space="preserve">Glob-Pt</w:t>
            </w: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rPr>
                <w:b/>
                <w:bCs/>
              </w:rPr>
              <w:t xml:space="preserve">GAS</w:t>
            </w:r>
          </w:p>
        </w:tc>
        <w:tc>
          <w:tcPr/>
          <w:p>
            <w:pPr>
              <w:pStyle w:val="Compact"/>
            </w:pPr>
          </w:p>
        </w:tc>
        <w:tc>
          <w:tcPr/>
          <w:p>
            <w:pPr>
              <w:pStyle w:val="Compact"/>
            </w:pPr>
          </w:p>
        </w:tc>
        <w:tc>
          <w:tcPr/>
          <w:p>
            <w:pPr>
              <w:pStyle w:val="Compact"/>
            </w:pP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r>
    </w:tbl>
    <w:bookmarkEnd w:id="40"/>
    <w:bookmarkStart w:id="42" w:name="preprocessing"/>
    <w:p>
      <w:pPr>
        <w:pStyle w:val="Heading2"/>
      </w:pPr>
      <w:r>
        <w:t xml:space="preserve">Preprocessing</w:t>
      </w:r>
    </w:p>
    <w:p>
      <w:pPr>
        <w:pStyle w:val="FirstParagraph"/>
      </w:pPr>
      <w:r>
        <w:t xml:space="preserve">To streamline data collection, an automated transcription pipeline was implemented: The handwritten text data is first recorded by trained employees of the FBZ adult outpatient clinic using a mobile audio recording device. Identifying features (e.g. names, dates of birth, location details) were replaced by placeholders during recording. The transcription was carried out on local hardware using the open source tool Whisper Large v2 (</w:t>
      </w:r>
      <w:hyperlink r:id="rId41">
        <w:r>
          <w:rPr>
            <w:rStyle w:val="Hyperlink"/>
          </w:rPr>
          <w:t xml:space="preserve">https://github.com/openai/whisper</w:t>
        </w:r>
      </w:hyperlink>
      <w:r>
        <w:t xml:space="preserve">), a state-of-the-art speech-to-text model</w:t>
      </w:r>
      <w:r>
        <w:t xml:space="preserve"> </w:t>
      </w:r>
      <w:r>
        <w:t xml:space="preserve">(</w:t>
      </w:r>
      <w:hyperlink w:anchor="ref-Radford2022">
        <w:r>
          <w:rPr>
            <w:rStyle w:val="Hyperlink"/>
          </w:rPr>
          <w:t xml:space="preserve">Radford et al., 2022</w:t>
        </w:r>
      </w:hyperlink>
      <w:r>
        <w:t xml:space="preserve">)</w:t>
      </w:r>
      <w:r>
        <w:t xml:space="preserve">. Each recording begins with a structured introduction, including a patient identification code, followed by responses to predefined questions. The transcription pipeline automatically processes all audio recordings, extracts the patient codes, and identifies responses to key questions.</w:t>
      </w:r>
    </w:p>
    <w:p>
      <w:pPr>
        <w:pStyle w:val="BodyText"/>
      </w:pPr>
      <w:r>
        <w:t xml:space="preserve">As an additional data correction step, the exported transcription table was screened for incomplete entries. Records with missing patient identification codes or without any extracted text were automatically flagged, exported for manual correction, and subsequently re-imported and merged back into the original dataset. The corrected dataset was then used for downstream analyses.</w:t>
      </w:r>
    </w:p>
    <w:bookmarkEnd w:id="42"/>
    <w:bookmarkStart w:id="43" w:name="shared-analytic-framework"/>
    <w:p>
      <w:pPr>
        <w:pStyle w:val="Heading2"/>
      </w:pPr>
      <w:r>
        <w:t xml:space="preserve">Shared analytic framework</w:t>
      </w:r>
    </w:p>
    <w:p>
      <w:pPr>
        <w:pStyle w:val="FirstParagraph"/>
      </w:pPr>
      <w:r>
        <w:t xml:space="preserve">All substudies in this project are based on the same clinical cohort and share a common analytic foundation. Specific operationalizations of text inputs, outcomes, and analytic models differ across substudies and are specified in the corresponding substudy sections below.</w:t>
      </w:r>
    </w:p>
    <w:p>
      <w:pPr>
        <w:pStyle w:val="BodyText"/>
      </w:pPr>
      <w:r>
        <w:rPr>
          <w:b/>
          <w:bCs/>
        </w:rPr>
        <w:t xml:space="preserve">Data scope and unit of analysis</w:t>
      </w:r>
      <w:r>
        <w:t xml:space="preserve">. Across all substudies, analyses focus on pre-therapy patient narratives collected during intake. Language-based analyses are temporally ordered such that patient narratives precede all clinical outcomes of interest. Outcomes may be assessed cross-sectionally (at intake) or longitudinally (during or after therapy), depending on the substudy. The unit of analysis is the individual patient. Textual data collected during therapy are not used as predictors in any analysis.</w:t>
      </w:r>
    </w:p>
    <w:p>
      <w:pPr>
        <w:pStyle w:val="BodyText"/>
      </w:pPr>
      <w:r>
        <w:rPr>
          <w:b/>
          <w:bCs/>
        </w:rPr>
        <w:t xml:space="preserve">Descriptive characterization of open-ended responses.</w:t>
      </w:r>
      <w:r>
        <w:t xml:space="preserve"> </w:t>
      </w:r>
      <w:r>
        <w:t xml:space="preserve">As a shared descriptive foundation, responses to each open-ended prompt are characterized with respect to engagement and heterogeneity. Descriptive statistics include response length and an entropy-based lexical diversity index</w:t>
      </w:r>
      <w:r>
        <w:t xml:space="preserve"> </w:t>
      </w:r>
      <w:r>
        <w:t xml:space="preserve">(</w:t>
      </w:r>
      <w:hyperlink w:anchor="ref-shannon1948mathematical">
        <w:r>
          <w:rPr>
            <w:rStyle w:val="Hyperlink"/>
          </w:rPr>
          <w:t xml:space="preserve">Shannon, 1948</w:t>
        </w:r>
      </w:hyperlink>
      <w:r>
        <w:t xml:space="preserve">)</w:t>
      </w:r>
      <w:r>
        <w:t xml:space="preserve">, computed across pooled responses per question. This characterization provides a common empirical basis for interpreting prompt-specific response patterns across substudies.</w:t>
      </w:r>
    </w:p>
    <w:p>
      <w:pPr>
        <w:pStyle w:val="BodyText"/>
      </w:pPr>
      <w:r>
        <w:t xml:space="preserve">Because the open-ended questions were administered in two questionnaire blocks, analyses are restricted to cases in which the respective questionnaire was present. Within these blocks, item-level nonresponse is summarized descriptively and interpreted as potentially informative of selective responding.</w:t>
      </w:r>
    </w:p>
    <w:bookmarkEnd w:id="43"/>
    <w:bookmarkEnd w:id="44"/>
    <w:bookmarkStart w:id="50" w:name="preliminary-results"/>
    <w:p>
      <w:pPr>
        <w:pStyle w:val="Heading1"/>
      </w:pPr>
      <w:r>
        <w:t xml:space="preserve">Preliminary results</w:t>
      </w:r>
    </w:p>
    <w:bookmarkStart w:id="49" w:name="descriptive-statistics"/>
    <w:p>
      <w:pPr>
        <w:pStyle w:val="Heading2"/>
      </w:pPr>
      <w:r>
        <w:t xml:space="preserve">Descriptive statistics</w:t>
      </w:r>
    </w:p>
    <w:bookmarkStart w:id="45" w:name="demographics-and-context-factors"/>
    <w:p>
      <w:pPr>
        <w:pStyle w:val="Heading3"/>
      </w:pPr>
      <w:r>
        <w:t xml:space="preserve">Demographics and context factors</w:t>
      </w:r>
    </w:p>
    <w:p>
      <w:pPr>
        <w:pStyle w:val="TableCaption"/>
      </w:pPr>
      <w:r>
        <w:t xml:space="preserve">Table X. Descriptive statistics of patient demographics and context factors.</w:t>
      </w:r>
    </w:p>
    <w:tbl>
      <w:tblPr>
        <w:tblStyle w:val="Table"/>
        <w:tblW w:type="pct" w:w="5000"/>
        <w:tblLayout w:type="fixed"/>
        <w:tblLook w:firstRow="1" w:lastRow="0" w:firstColumn="0" w:lastColumn="0" w:noHBand="0" w:noVBand="0" w:val="0020"/>
        <w:tblCaption w:val="Table X. Descriptive statistics of patient demographics and context factors."/>
      </w:tblPr>
      <w:tblGrid>
        <w:gridCol w:w="1780"/>
        <w:gridCol w:w="552"/>
        <w:gridCol w:w="675"/>
        <w:gridCol w:w="3192"/>
        <w:gridCol w:w="920"/>
        <w:gridCol w:w="798"/>
      </w:tblGrid>
      <w:tr>
        <w:trPr>
          <w:tblHeader w:val="on"/>
        </w:trPr>
        <w:tc>
          <w:tcPr/>
          <w:p>
            <w:pPr>
              <w:pStyle w:val="Compact"/>
              <w:jc w:val="left"/>
            </w:pPr>
            <w:r>
              <w:t xml:space="preserve">Variable</w:t>
            </w:r>
          </w:p>
        </w:tc>
        <w:tc>
          <w:tcPr/>
          <w:p>
            <w:pPr>
              <w:pStyle w:val="Compact"/>
              <w:jc w:val="center"/>
            </w:pPr>
            <w:r>
              <w:t xml:space="preserve">Valid n</w:t>
            </w:r>
          </w:p>
        </w:tc>
        <w:tc>
          <w:tcPr/>
          <w:p>
            <w:pPr>
              <w:pStyle w:val="Compact"/>
              <w:jc w:val="center"/>
            </w:pPr>
            <w:r>
              <w:t xml:space="preserve">Missing n</w:t>
            </w:r>
          </w:p>
        </w:tc>
        <w:tc>
          <w:tcPr/>
          <w:p>
            <w:pPr>
              <w:pStyle w:val="Compact"/>
              <w:jc w:val="left"/>
            </w:pPr>
            <w:r>
              <w:t xml:space="preserve">Level</w:t>
            </w:r>
          </w:p>
        </w:tc>
        <w:tc>
          <w:tcPr/>
          <w:p>
            <w:pPr>
              <w:pStyle w:val="Compact"/>
              <w:jc w:val="center"/>
            </w:pPr>
            <w:r>
              <w:t xml:space="preserve">Mean ± SD</w:t>
            </w:r>
          </w:p>
        </w:tc>
        <w:tc>
          <w:tcPr/>
          <w:p>
            <w:pPr>
              <w:pStyle w:val="Compact"/>
              <w:jc w:val="center"/>
            </w:pPr>
            <w:r>
              <w:t xml:space="preserve">n (%)</w:t>
            </w:r>
          </w:p>
        </w:tc>
      </w:tr>
      <w:tr>
        <w:tc>
          <w:tcPr/>
          <w:p>
            <w:pPr>
              <w:pStyle w:val="Compact"/>
              <w:jc w:val="left"/>
            </w:pPr>
            <w:r>
              <w:rPr>
                <w:b/>
                <w:bCs/>
              </w:rPr>
              <w:t xml:space="preserve">Age at therapy start</w:t>
            </w:r>
          </w:p>
        </w:tc>
        <w:tc>
          <w:tcPr/>
          <w:p>
            <w:pPr>
              <w:pStyle w:val="Compact"/>
              <w:jc w:val="center"/>
            </w:pPr>
            <w:r>
              <w:t xml:space="preserve">675</w:t>
            </w:r>
          </w:p>
        </w:tc>
        <w:tc>
          <w:tcPr/>
          <w:p>
            <w:pPr>
              <w:pStyle w:val="Compact"/>
              <w:jc w:val="center"/>
            </w:pPr>
            <w:r>
              <w:t xml:space="preserve">256</w:t>
            </w:r>
          </w:p>
        </w:tc>
        <w:tc>
          <w:tcPr/>
          <w:p>
            <w:pPr>
              <w:pStyle w:val="Compact"/>
            </w:pPr>
          </w:p>
        </w:tc>
        <w:tc>
          <w:tcPr/>
          <w:p>
            <w:pPr>
              <w:pStyle w:val="Compact"/>
              <w:jc w:val="center"/>
            </w:pPr>
            <w:r>
              <w:t xml:space="preserve">41.48 ± 14.23</w:t>
            </w:r>
          </w:p>
        </w:tc>
        <w:tc>
          <w:tcPr/>
          <w:p>
            <w:pPr>
              <w:pStyle w:val="Compact"/>
            </w:pPr>
          </w:p>
        </w:tc>
      </w:tr>
      <w:tr>
        <w:tc>
          <w:tcPr/>
          <w:p>
            <w:pPr>
              <w:pStyle w:val="Compact"/>
              <w:jc w:val="left"/>
            </w:pPr>
            <w:r>
              <w:rPr>
                <w:b/>
                <w:bCs/>
              </w:rPr>
              <w:t xml:space="preserve">Sex</w:t>
            </w:r>
          </w:p>
        </w:tc>
        <w:tc>
          <w:tcPr/>
          <w:p>
            <w:pPr>
              <w:pStyle w:val="Compact"/>
              <w:jc w:val="center"/>
            </w:pPr>
            <w:r>
              <w:t xml:space="preserve">675</w:t>
            </w:r>
          </w:p>
        </w:tc>
        <w:tc>
          <w:tcPr/>
          <w:p>
            <w:pPr>
              <w:pStyle w:val="Compact"/>
              <w:jc w:val="center"/>
            </w:pPr>
            <w:r>
              <w:t xml:space="preserve">256</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male</w:t>
            </w:r>
          </w:p>
        </w:tc>
        <w:tc>
          <w:tcPr/>
          <w:p>
            <w:pPr>
              <w:pStyle w:val="Compact"/>
            </w:pPr>
          </w:p>
        </w:tc>
        <w:tc>
          <w:tcPr/>
          <w:p>
            <w:pPr>
              <w:pStyle w:val="Compact"/>
              <w:jc w:val="center"/>
            </w:pPr>
            <w:r>
              <w:t xml:space="preserve">269 (39.9%)</w:t>
            </w:r>
          </w:p>
        </w:tc>
      </w:tr>
      <w:tr>
        <w:tc>
          <w:tcPr/>
          <w:p>
            <w:pPr>
              <w:pStyle w:val="Compact"/>
            </w:pPr>
          </w:p>
        </w:tc>
        <w:tc>
          <w:tcPr/>
          <w:p>
            <w:pPr>
              <w:pStyle w:val="Compact"/>
            </w:pPr>
          </w:p>
        </w:tc>
        <w:tc>
          <w:tcPr/>
          <w:p>
            <w:pPr>
              <w:pStyle w:val="Compact"/>
            </w:pPr>
          </w:p>
        </w:tc>
        <w:tc>
          <w:tcPr/>
          <w:p>
            <w:pPr>
              <w:pStyle w:val="Compact"/>
              <w:jc w:val="left"/>
            </w:pPr>
            <w:r>
              <w:t xml:space="preserve">female</w:t>
            </w:r>
          </w:p>
        </w:tc>
        <w:tc>
          <w:tcPr/>
          <w:p>
            <w:pPr>
              <w:pStyle w:val="Compact"/>
            </w:pPr>
          </w:p>
        </w:tc>
        <w:tc>
          <w:tcPr/>
          <w:p>
            <w:pPr>
              <w:pStyle w:val="Compact"/>
              <w:jc w:val="center"/>
            </w:pPr>
            <w:r>
              <w:t xml:space="preserve">406 (60.1%)</w:t>
            </w:r>
          </w:p>
        </w:tc>
      </w:tr>
      <w:tr>
        <w:tc>
          <w:tcPr/>
          <w:p>
            <w:pPr>
              <w:pStyle w:val="Compact"/>
              <w:jc w:val="left"/>
            </w:pPr>
            <w:r>
              <w:rPr>
                <w:b/>
                <w:bCs/>
              </w:rPr>
              <w:t xml:space="preserve">In relationship</w:t>
            </w:r>
          </w:p>
        </w:tc>
        <w:tc>
          <w:tcPr/>
          <w:p>
            <w:pPr>
              <w:pStyle w:val="Compact"/>
              <w:jc w:val="center"/>
            </w:pPr>
            <w:r>
              <w:t xml:space="preserve">381</w:t>
            </w:r>
          </w:p>
        </w:tc>
        <w:tc>
          <w:tcPr/>
          <w:p>
            <w:pPr>
              <w:pStyle w:val="Compact"/>
              <w:jc w:val="center"/>
            </w:pPr>
            <w:r>
              <w:t xml:space="preserve">550</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yes</w:t>
            </w:r>
          </w:p>
        </w:tc>
        <w:tc>
          <w:tcPr/>
          <w:p>
            <w:pPr>
              <w:pStyle w:val="Compact"/>
            </w:pPr>
          </w:p>
        </w:tc>
        <w:tc>
          <w:tcPr/>
          <w:p>
            <w:pPr>
              <w:pStyle w:val="Compact"/>
              <w:jc w:val="center"/>
            </w:pPr>
            <w:r>
              <w:t xml:space="preserve">220 (57.7%)</w:t>
            </w:r>
          </w:p>
        </w:tc>
      </w:tr>
      <w:tr>
        <w:tc>
          <w:tcPr/>
          <w:p>
            <w:pPr>
              <w:pStyle w:val="Compact"/>
            </w:pPr>
          </w:p>
        </w:tc>
        <w:tc>
          <w:tcPr/>
          <w:p>
            <w:pPr>
              <w:pStyle w:val="Compact"/>
            </w:pPr>
          </w:p>
        </w:tc>
        <w:tc>
          <w:tcPr/>
          <w:p>
            <w:pPr>
              <w:pStyle w:val="Compact"/>
            </w:pPr>
          </w:p>
        </w:tc>
        <w:tc>
          <w:tcPr/>
          <w:p>
            <w:pPr>
              <w:pStyle w:val="Compact"/>
              <w:jc w:val="left"/>
            </w:pPr>
            <w:r>
              <w:t xml:space="preserve">no</w:t>
            </w:r>
          </w:p>
        </w:tc>
        <w:tc>
          <w:tcPr/>
          <w:p>
            <w:pPr>
              <w:pStyle w:val="Compact"/>
            </w:pPr>
          </w:p>
        </w:tc>
        <w:tc>
          <w:tcPr/>
          <w:p>
            <w:pPr>
              <w:pStyle w:val="Compact"/>
              <w:jc w:val="center"/>
            </w:pPr>
            <w:r>
              <w:t xml:space="preserve">161 (42.3%)</w:t>
            </w:r>
          </w:p>
        </w:tc>
      </w:tr>
      <w:tr>
        <w:tc>
          <w:tcPr/>
          <w:p>
            <w:pPr>
              <w:pStyle w:val="Compact"/>
              <w:jc w:val="left"/>
            </w:pPr>
            <w:r>
              <w:rPr>
                <w:b/>
                <w:bCs/>
              </w:rPr>
              <w:t xml:space="preserve">Marital status</w:t>
            </w:r>
          </w:p>
        </w:tc>
        <w:tc>
          <w:tcPr/>
          <w:p>
            <w:pPr>
              <w:pStyle w:val="Compact"/>
              <w:jc w:val="center"/>
            </w:pPr>
            <w:r>
              <w:t xml:space="preserve">381</w:t>
            </w:r>
          </w:p>
        </w:tc>
        <w:tc>
          <w:tcPr/>
          <w:p>
            <w:pPr>
              <w:pStyle w:val="Compact"/>
              <w:jc w:val="center"/>
            </w:pPr>
            <w:r>
              <w:t xml:space="preserve">550</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single</w:t>
            </w:r>
          </w:p>
        </w:tc>
        <w:tc>
          <w:tcPr/>
          <w:p>
            <w:pPr>
              <w:pStyle w:val="Compact"/>
            </w:pPr>
          </w:p>
        </w:tc>
        <w:tc>
          <w:tcPr/>
          <w:p>
            <w:pPr>
              <w:pStyle w:val="Compact"/>
              <w:jc w:val="center"/>
            </w:pPr>
            <w:r>
              <w:t xml:space="preserve">193 (50.7%)</w:t>
            </w:r>
          </w:p>
        </w:tc>
      </w:tr>
      <w:tr>
        <w:tc>
          <w:tcPr/>
          <w:p>
            <w:pPr>
              <w:pStyle w:val="Compact"/>
            </w:pPr>
          </w:p>
        </w:tc>
        <w:tc>
          <w:tcPr/>
          <w:p>
            <w:pPr>
              <w:pStyle w:val="Compact"/>
            </w:pPr>
          </w:p>
        </w:tc>
        <w:tc>
          <w:tcPr/>
          <w:p>
            <w:pPr>
              <w:pStyle w:val="Compact"/>
            </w:pPr>
          </w:p>
        </w:tc>
        <w:tc>
          <w:tcPr/>
          <w:p>
            <w:pPr>
              <w:pStyle w:val="Compact"/>
              <w:jc w:val="left"/>
            </w:pPr>
            <w:r>
              <w:t xml:space="preserve">married</w:t>
            </w:r>
          </w:p>
        </w:tc>
        <w:tc>
          <w:tcPr/>
          <w:p>
            <w:pPr>
              <w:pStyle w:val="Compact"/>
            </w:pPr>
          </w:p>
        </w:tc>
        <w:tc>
          <w:tcPr/>
          <w:p>
            <w:pPr>
              <w:pStyle w:val="Compact"/>
              <w:jc w:val="center"/>
            </w:pPr>
            <w:r>
              <w:t xml:space="preserve">107 (28.1%)</w:t>
            </w:r>
          </w:p>
        </w:tc>
      </w:tr>
      <w:tr>
        <w:tc>
          <w:tcPr/>
          <w:p>
            <w:pPr>
              <w:pStyle w:val="Compact"/>
            </w:pPr>
          </w:p>
        </w:tc>
        <w:tc>
          <w:tcPr/>
          <w:p>
            <w:pPr>
              <w:pStyle w:val="Compact"/>
            </w:pPr>
          </w:p>
        </w:tc>
        <w:tc>
          <w:tcPr/>
          <w:p>
            <w:pPr>
              <w:pStyle w:val="Compact"/>
            </w:pPr>
          </w:p>
        </w:tc>
        <w:tc>
          <w:tcPr/>
          <w:p>
            <w:pPr>
              <w:pStyle w:val="Compact"/>
              <w:jc w:val="left"/>
            </w:pPr>
            <w:r>
              <w:t xml:space="preserve">divorced</w:t>
            </w:r>
          </w:p>
        </w:tc>
        <w:tc>
          <w:tcPr/>
          <w:p>
            <w:pPr>
              <w:pStyle w:val="Compact"/>
            </w:pPr>
          </w:p>
        </w:tc>
        <w:tc>
          <w:tcPr/>
          <w:p>
            <w:pPr>
              <w:pStyle w:val="Compact"/>
              <w:jc w:val="center"/>
            </w:pPr>
            <w:r>
              <w:t xml:space="preserve">52 (13.6%)</w:t>
            </w:r>
          </w:p>
        </w:tc>
      </w:tr>
      <w:tr>
        <w:tc>
          <w:tcPr/>
          <w:p>
            <w:pPr>
              <w:pStyle w:val="Compact"/>
            </w:pPr>
          </w:p>
        </w:tc>
        <w:tc>
          <w:tcPr/>
          <w:p>
            <w:pPr>
              <w:pStyle w:val="Compact"/>
            </w:pPr>
          </w:p>
        </w:tc>
        <w:tc>
          <w:tcPr/>
          <w:p>
            <w:pPr>
              <w:pStyle w:val="Compact"/>
            </w:pPr>
          </w:p>
        </w:tc>
        <w:tc>
          <w:tcPr/>
          <w:p>
            <w:pPr>
              <w:pStyle w:val="Compact"/>
              <w:jc w:val="left"/>
            </w:pPr>
            <w:r>
              <w:t xml:space="preserve">seperated</w:t>
            </w:r>
          </w:p>
        </w:tc>
        <w:tc>
          <w:tcPr/>
          <w:p>
            <w:pPr>
              <w:pStyle w:val="Compact"/>
            </w:pPr>
          </w:p>
        </w:tc>
        <w:tc>
          <w:tcPr/>
          <w:p>
            <w:pPr>
              <w:pStyle w:val="Compact"/>
              <w:jc w:val="center"/>
            </w:pPr>
            <w:r>
              <w:t xml:space="preserve">16 (4.2%)</w:t>
            </w:r>
          </w:p>
        </w:tc>
      </w:tr>
      <w:tr>
        <w:tc>
          <w:tcPr/>
          <w:p>
            <w:pPr>
              <w:pStyle w:val="Compact"/>
            </w:pPr>
          </w:p>
        </w:tc>
        <w:tc>
          <w:tcPr/>
          <w:p>
            <w:pPr>
              <w:pStyle w:val="Compact"/>
            </w:pPr>
          </w:p>
        </w:tc>
        <w:tc>
          <w:tcPr/>
          <w:p>
            <w:pPr>
              <w:pStyle w:val="Compact"/>
            </w:pPr>
          </w:p>
        </w:tc>
        <w:tc>
          <w:tcPr/>
          <w:p>
            <w:pPr>
              <w:pStyle w:val="Compact"/>
              <w:jc w:val="left"/>
            </w:pPr>
            <w:r>
              <w:t xml:space="preserve">widowed</w:t>
            </w:r>
          </w:p>
        </w:tc>
        <w:tc>
          <w:tcPr/>
          <w:p>
            <w:pPr>
              <w:pStyle w:val="Compact"/>
            </w:pPr>
          </w:p>
        </w:tc>
        <w:tc>
          <w:tcPr/>
          <w:p>
            <w:pPr>
              <w:pStyle w:val="Compact"/>
              <w:jc w:val="center"/>
            </w:pPr>
            <w:r>
              <w:t xml:space="preserve">5 (1.3%)</w:t>
            </w:r>
          </w:p>
        </w:tc>
      </w:tr>
      <w:tr>
        <w:tc>
          <w:tcPr/>
          <w:p>
            <w:pPr>
              <w:pStyle w:val="Compact"/>
            </w:pPr>
          </w:p>
        </w:tc>
        <w:tc>
          <w:tcPr/>
          <w:p>
            <w:pPr>
              <w:pStyle w:val="Compact"/>
            </w:pPr>
          </w:p>
        </w:tc>
        <w:tc>
          <w:tcPr/>
          <w:p>
            <w:pPr>
              <w:pStyle w:val="Compact"/>
            </w:pPr>
          </w:p>
        </w:tc>
        <w:tc>
          <w:tcPr/>
          <w:p>
            <w:pPr>
              <w:pStyle w:val="Compact"/>
              <w:jc w:val="left"/>
            </w:pPr>
            <w:r>
              <w:t xml:space="preserve">other</w:t>
            </w:r>
          </w:p>
        </w:tc>
        <w:tc>
          <w:tcPr/>
          <w:p>
            <w:pPr>
              <w:pStyle w:val="Compact"/>
            </w:pPr>
          </w:p>
        </w:tc>
        <w:tc>
          <w:tcPr/>
          <w:p>
            <w:pPr>
              <w:pStyle w:val="Compact"/>
              <w:jc w:val="center"/>
            </w:pPr>
            <w:r>
              <w:t xml:space="preserve">8 (2.1%)</w:t>
            </w:r>
          </w:p>
        </w:tc>
      </w:tr>
      <w:tr>
        <w:tc>
          <w:tcPr/>
          <w:p>
            <w:pPr>
              <w:pStyle w:val="Compact"/>
              <w:jc w:val="left"/>
            </w:pPr>
            <w:r>
              <w:rPr>
                <w:b/>
                <w:bCs/>
              </w:rPr>
              <w:t xml:space="preserve">General education</w:t>
            </w:r>
          </w:p>
        </w:tc>
        <w:tc>
          <w:tcPr/>
          <w:p>
            <w:pPr>
              <w:pStyle w:val="Compact"/>
              <w:jc w:val="center"/>
            </w:pPr>
            <w:r>
              <w:t xml:space="preserve">381</w:t>
            </w:r>
          </w:p>
        </w:tc>
        <w:tc>
          <w:tcPr/>
          <w:p>
            <w:pPr>
              <w:pStyle w:val="Compact"/>
              <w:jc w:val="center"/>
            </w:pPr>
            <w:r>
              <w:t xml:space="preserve">550</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other</w:t>
            </w:r>
          </w:p>
        </w:tc>
        <w:tc>
          <w:tcPr/>
          <w:p>
            <w:pPr>
              <w:pStyle w:val="Compact"/>
            </w:pPr>
          </w:p>
        </w:tc>
        <w:tc>
          <w:tcPr/>
          <w:p>
            <w:pPr>
              <w:pStyle w:val="Compact"/>
              <w:jc w:val="center"/>
            </w:pPr>
            <w:r>
              <w:t xml:space="preserve">5 (1.3%)</w:t>
            </w:r>
          </w:p>
        </w:tc>
      </w:tr>
      <w:tr>
        <w:tc>
          <w:tcPr/>
          <w:p>
            <w:pPr>
              <w:pStyle w:val="Compact"/>
            </w:pPr>
          </w:p>
        </w:tc>
        <w:tc>
          <w:tcPr/>
          <w:p>
            <w:pPr>
              <w:pStyle w:val="Compact"/>
            </w:pPr>
          </w:p>
        </w:tc>
        <w:tc>
          <w:tcPr/>
          <w:p>
            <w:pPr>
              <w:pStyle w:val="Compact"/>
            </w:pPr>
          </w:p>
        </w:tc>
        <w:tc>
          <w:tcPr/>
          <w:p>
            <w:pPr>
              <w:pStyle w:val="Compact"/>
              <w:jc w:val="left"/>
            </w:pPr>
            <w:r>
              <w:t xml:space="preserve">student</w:t>
            </w:r>
          </w:p>
        </w:tc>
        <w:tc>
          <w:tcPr/>
          <w:p>
            <w:pPr>
              <w:pStyle w:val="Compact"/>
            </w:pPr>
          </w:p>
        </w:tc>
        <w:tc>
          <w:tcPr/>
          <w:p>
            <w:pPr>
              <w:pStyle w:val="Compact"/>
              <w:jc w:val="center"/>
            </w:pPr>
            <w:r>
              <w:t xml:space="preserve">4 (1.0%)</w:t>
            </w:r>
          </w:p>
        </w:tc>
      </w:tr>
      <w:tr>
        <w:tc>
          <w:tcPr/>
          <w:p>
            <w:pPr>
              <w:pStyle w:val="Compact"/>
            </w:pPr>
          </w:p>
        </w:tc>
        <w:tc>
          <w:tcPr/>
          <w:p>
            <w:pPr>
              <w:pStyle w:val="Compact"/>
            </w:pPr>
          </w:p>
        </w:tc>
        <w:tc>
          <w:tcPr/>
          <w:p>
            <w:pPr>
              <w:pStyle w:val="Compact"/>
            </w:pPr>
          </w:p>
        </w:tc>
        <w:tc>
          <w:tcPr/>
          <w:p>
            <w:pPr>
              <w:pStyle w:val="Compact"/>
              <w:jc w:val="left"/>
            </w:pPr>
            <w:r>
              <w:t xml:space="preserve">no school-leaving certificate</w:t>
            </w:r>
          </w:p>
        </w:tc>
        <w:tc>
          <w:tcPr/>
          <w:p>
            <w:pPr>
              <w:pStyle w:val="Compact"/>
            </w:pPr>
          </w:p>
        </w:tc>
        <w:tc>
          <w:tcPr/>
          <w:p>
            <w:pPr>
              <w:pStyle w:val="Compact"/>
              <w:jc w:val="center"/>
            </w:pPr>
            <w:r>
              <w:t xml:space="preserve">9 (2.4%)</w:t>
            </w:r>
          </w:p>
        </w:tc>
      </w:tr>
      <w:tr>
        <w:tc>
          <w:tcPr/>
          <w:p>
            <w:pPr>
              <w:pStyle w:val="Compact"/>
            </w:pPr>
          </w:p>
        </w:tc>
        <w:tc>
          <w:tcPr/>
          <w:p>
            <w:pPr>
              <w:pStyle w:val="Compact"/>
            </w:pPr>
          </w:p>
        </w:tc>
        <w:tc>
          <w:tcPr/>
          <w:p>
            <w:pPr>
              <w:pStyle w:val="Compact"/>
            </w:pPr>
          </w:p>
        </w:tc>
        <w:tc>
          <w:tcPr/>
          <w:p>
            <w:pPr>
              <w:pStyle w:val="Compact"/>
              <w:jc w:val="left"/>
            </w:pPr>
            <w:r>
              <w:t xml:space="preserve">lower secondary school certificate</w:t>
            </w:r>
          </w:p>
        </w:tc>
        <w:tc>
          <w:tcPr/>
          <w:p>
            <w:pPr>
              <w:pStyle w:val="Compact"/>
            </w:pPr>
          </w:p>
        </w:tc>
        <w:tc>
          <w:tcPr/>
          <w:p>
            <w:pPr>
              <w:pStyle w:val="Compact"/>
              <w:jc w:val="center"/>
            </w:pPr>
            <w:r>
              <w:t xml:space="preserve">66 (17.3%)</w:t>
            </w:r>
          </w:p>
        </w:tc>
      </w:tr>
      <w:tr>
        <w:tc>
          <w:tcPr/>
          <w:p>
            <w:pPr>
              <w:pStyle w:val="Compact"/>
            </w:pPr>
          </w:p>
        </w:tc>
        <w:tc>
          <w:tcPr/>
          <w:p>
            <w:pPr>
              <w:pStyle w:val="Compact"/>
            </w:pPr>
          </w:p>
        </w:tc>
        <w:tc>
          <w:tcPr/>
          <w:p>
            <w:pPr>
              <w:pStyle w:val="Compact"/>
            </w:pPr>
          </w:p>
        </w:tc>
        <w:tc>
          <w:tcPr/>
          <w:p>
            <w:pPr>
              <w:pStyle w:val="Compact"/>
              <w:jc w:val="left"/>
            </w:pPr>
            <w:r>
              <w:t xml:space="preserve">intermediate secondary school certificate</w:t>
            </w:r>
          </w:p>
        </w:tc>
        <w:tc>
          <w:tcPr/>
          <w:p>
            <w:pPr>
              <w:pStyle w:val="Compact"/>
            </w:pPr>
          </w:p>
        </w:tc>
        <w:tc>
          <w:tcPr/>
          <w:p>
            <w:pPr>
              <w:pStyle w:val="Compact"/>
              <w:jc w:val="center"/>
            </w:pPr>
            <w:r>
              <w:t xml:space="preserve">114 (29.9%)</w:t>
            </w:r>
          </w:p>
        </w:tc>
      </w:tr>
      <w:tr>
        <w:tc>
          <w:tcPr/>
          <w:p>
            <w:pPr>
              <w:pStyle w:val="Compact"/>
            </w:pPr>
          </w:p>
        </w:tc>
        <w:tc>
          <w:tcPr/>
          <w:p>
            <w:pPr>
              <w:pStyle w:val="Compact"/>
            </w:pPr>
          </w:p>
        </w:tc>
        <w:tc>
          <w:tcPr/>
          <w:p>
            <w:pPr>
              <w:pStyle w:val="Compact"/>
            </w:pPr>
          </w:p>
        </w:tc>
        <w:tc>
          <w:tcPr/>
          <w:p>
            <w:pPr>
              <w:pStyle w:val="Compact"/>
              <w:jc w:val="left"/>
            </w:pPr>
            <w:r>
              <w:t xml:space="preserve">higher education entrance qualification</w:t>
            </w:r>
          </w:p>
        </w:tc>
        <w:tc>
          <w:tcPr/>
          <w:p>
            <w:pPr>
              <w:pStyle w:val="Compact"/>
            </w:pPr>
          </w:p>
        </w:tc>
        <w:tc>
          <w:tcPr/>
          <w:p>
            <w:pPr>
              <w:pStyle w:val="Compact"/>
              <w:jc w:val="center"/>
            </w:pPr>
            <w:r>
              <w:t xml:space="preserve">183 (48.0%)</w:t>
            </w:r>
          </w:p>
        </w:tc>
      </w:tr>
      <w:tr>
        <w:tc>
          <w:tcPr/>
          <w:p>
            <w:pPr>
              <w:pStyle w:val="Compact"/>
              <w:jc w:val="left"/>
            </w:pPr>
            <w:r>
              <w:rPr>
                <w:b/>
                <w:bCs/>
              </w:rPr>
              <w:t xml:space="preserve">Vocational qualification</w:t>
            </w:r>
          </w:p>
        </w:tc>
        <w:tc>
          <w:tcPr/>
          <w:p>
            <w:pPr>
              <w:pStyle w:val="Compact"/>
              <w:jc w:val="center"/>
            </w:pPr>
            <w:r>
              <w:t xml:space="preserve">381</w:t>
            </w:r>
          </w:p>
        </w:tc>
        <w:tc>
          <w:tcPr/>
          <w:p>
            <w:pPr>
              <w:pStyle w:val="Compact"/>
              <w:jc w:val="center"/>
            </w:pPr>
            <w:r>
              <w:t xml:space="preserve">550</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Currently in vocational training or studying</w:t>
            </w:r>
          </w:p>
        </w:tc>
        <w:tc>
          <w:tcPr/>
          <w:p>
            <w:pPr>
              <w:pStyle w:val="Compact"/>
            </w:pPr>
          </w:p>
        </w:tc>
        <w:tc>
          <w:tcPr/>
          <w:p>
            <w:pPr>
              <w:pStyle w:val="Compact"/>
              <w:jc w:val="center"/>
            </w:pPr>
            <w:r>
              <w:t xml:space="preserve">40 (10.5%)</w:t>
            </w:r>
          </w:p>
        </w:tc>
      </w:tr>
      <w:tr>
        <w:tc>
          <w:tcPr/>
          <w:p>
            <w:pPr>
              <w:pStyle w:val="Compact"/>
            </w:pPr>
          </w:p>
        </w:tc>
        <w:tc>
          <w:tcPr/>
          <w:p>
            <w:pPr>
              <w:pStyle w:val="Compact"/>
            </w:pPr>
          </w:p>
        </w:tc>
        <w:tc>
          <w:tcPr/>
          <w:p>
            <w:pPr>
              <w:pStyle w:val="Compact"/>
            </w:pPr>
          </w:p>
        </w:tc>
        <w:tc>
          <w:tcPr/>
          <w:p>
            <w:pPr>
              <w:pStyle w:val="Compact"/>
              <w:jc w:val="left"/>
            </w:pPr>
            <w:r>
              <w:t xml:space="preserve">No vocational qualification</w:t>
            </w:r>
          </w:p>
        </w:tc>
        <w:tc>
          <w:tcPr/>
          <w:p>
            <w:pPr>
              <w:pStyle w:val="Compact"/>
            </w:pPr>
          </w:p>
        </w:tc>
        <w:tc>
          <w:tcPr/>
          <w:p>
            <w:pPr>
              <w:pStyle w:val="Compact"/>
              <w:jc w:val="center"/>
            </w:pPr>
            <w:r>
              <w:t xml:space="preserve">45 (11.8%)</w:t>
            </w:r>
          </w:p>
        </w:tc>
      </w:tr>
      <w:tr>
        <w:tc>
          <w:tcPr/>
          <w:p>
            <w:pPr>
              <w:pStyle w:val="Compact"/>
            </w:pPr>
          </w:p>
        </w:tc>
        <w:tc>
          <w:tcPr/>
          <w:p>
            <w:pPr>
              <w:pStyle w:val="Compact"/>
            </w:pPr>
          </w:p>
        </w:tc>
        <w:tc>
          <w:tcPr/>
          <w:p>
            <w:pPr>
              <w:pStyle w:val="Compact"/>
            </w:pPr>
          </w:p>
        </w:tc>
        <w:tc>
          <w:tcPr/>
          <w:p>
            <w:pPr>
              <w:pStyle w:val="Compact"/>
              <w:jc w:val="left"/>
            </w:pPr>
            <w:r>
              <w:t xml:space="preserve">Apprenticeship / vocational training</w:t>
            </w:r>
          </w:p>
        </w:tc>
        <w:tc>
          <w:tcPr/>
          <w:p>
            <w:pPr>
              <w:pStyle w:val="Compact"/>
            </w:pPr>
          </w:p>
        </w:tc>
        <w:tc>
          <w:tcPr/>
          <w:p>
            <w:pPr>
              <w:pStyle w:val="Compact"/>
              <w:jc w:val="center"/>
            </w:pPr>
            <w:r>
              <w:t xml:space="preserve">217 (57.0%)</w:t>
            </w:r>
          </w:p>
        </w:tc>
      </w:tr>
      <w:tr>
        <w:tc>
          <w:tcPr/>
          <w:p>
            <w:pPr>
              <w:pStyle w:val="Compact"/>
            </w:pPr>
          </w:p>
        </w:tc>
        <w:tc>
          <w:tcPr/>
          <w:p>
            <w:pPr>
              <w:pStyle w:val="Compact"/>
            </w:pPr>
          </w:p>
        </w:tc>
        <w:tc>
          <w:tcPr/>
          <w:p>
            <w:pPr>
              <w:pStyle w:val="Compact"/>
            </w:pPr>
          </w:p>
        </w:tc>
        <w:tc>
          <w:tcPr/>
          <w:p>
            <w:pPr>
              <w:pStyle w:val="Compact"/>
              <w:jc w:val="left"/>
            </w:pPr>
            <w:r>
              <w:t xml:space="preserve">University or university of applied sciences degree</w:t>
            </w:r>
          </w:p>
        </w:tc>
        <w:tc>
          <w:tcPr/>
          <w:p>
            <w:pPr>
              <w:pStyle w:val="Compact"/>
            </w:pPr>
          </w:p>
        </w:tc>
        <w:tc>
          <w:tcPr/>
          <w:p>
            <w:pPr>
              <w:pStyle w:val="Compact"/>
              <w:jc w:val="center"/>
            </w:pPr>
            <w:r>
              <w:t xml:space="preserve">54 (14.2%)</w:t>
            </w:r>
          </w:p>
        </w:tc>
      </w:tr>
      <w:tr>
        <w:tc>
          <w:tcPr/>
          <w:p>
            <w:pPr>
              <w:pStyle w:val="Compact"/>
            </w:pPr>
          </w:p>
        </w:tc>
        <w:tc>
          <w:tcPr/>
          <w:p>
            <w:pPr>
              <w:pStyle w:val="Compact"/>
            </w:pPr>
          </w:p>
        </w:tc>
        <w:tc>
          <w:tcPr/>
          <w:p>
            <w:pPr>
              <w:pStyle w:val="Compact"/>
            </w:pPr>
          </w:p>
        </w:tc>
        <w:tc>
          <w:tcPr/>
          <w:p>
            <w:pPr>
              <w:pStyle w:val="Compact"/>
              <w:jc w:val="left"/>
            </w:pPr>
            <w:r>
              <w:t xml:space="preserve">Other</w:t>
            </w:r>
          </w:p>
        </w:tc>
        <w:tc>
          <w:tcPr/>
          <w:p>
            <w:pPr>
              <w:pStyle w:val="Compact"/>
            </w:pPr>
          </w:p>
        </w:tc>
        <w:tc>
          <w:tcPr/>
          <w:p>
            <w:pPr>
              <w:pStyle w:val="Compact"/>
              <w:jc w:val="center"/>
            </w:pPr>
            <w:r>
              <w:t xml:space="preserve">25 (6.6%)</w:t>
            </w:r>
          </w:p>
        </w:tc>
      </w:tr>
      <w:tr>
        <w:tc>
          <w:tcPr/>
          <w:p>
            <w:pPr>
              <w:pStyle w:val="Compact"/>
              <w:jc w:val="left"/>
            </w:pPr>
            <w:r>
              <w:rPr>
                <w:b/>
                <w:bCs/>
              </w:rPr>
              <w:t xml:space="preserve">Work ability status</w:t>
            </w:r>
          </w:p>
        </w:tc>
        <w:tc>
          <w:tcPr/>
          <w:p>
            <w:pPr>
              <w:pStyle w:val="Compact"/>
              <w:jc w:val="center"/>
            </w:pPr>
            <w:r>
              <w:t xml:space="preserve">381</w:t>
            </w:r>
          </w:p>
        </w:tc>
        <w:tc>
          <w:tcPr/>
          <w:p>
            <w:pPr>
              <w:pStyle w:val="Compact"/>
              <w:jc w:val="center"/>
            </w:pPr>
            <w:r>
              <w:t xml:space="preserve">550</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Other</w:t>
            </w:r>
          </w:p>
        </w:tc>
        <w:tc>
          <w:tcPr/>
          <w:p>
            <w:pPr>
              <w:pStyle w:val="Compact"/>
            </w:pPr>
          </w:p>
        </w:tc>
        <w:tc>
          <w:tcPr/>
          <w:p>
            <w:pPr>
              <w:pStyle w:val="Compact"/>
              <w:jc w:val="center"/>
            </w:pPr>
            <w:r>
              <w:t xml:space="preserve">30 (7.9%)</w:t>
            </w:r>
          </w:p>
        </w:tc>
      </w:tr>
      <w:tr>
        <w:tc>
          <w:tcPr/>
          <w:p>
            <w:pPr>
              <w:pStyle w:val="Compact"/>
            </w:pPr>
          </w:p>
        </w:tc>
        <w:tc>
          <w:tcPr/>
          <w:p>
            <w:pPr>
              <w:pStyle w:val="Compact"/>
            </w:pPr>
          </w:p>
        </w:tc>
        <w:tc>
          <w:tcPr/>
          <w:p>
            <w:pPr>
              <w:pStyle w:val="Compact"/>
            </w:pPr>
          </w:p>
        </w:tc>
        <w:tc>
          <w:tcPr/>
          <w:p>
            <w:pPr>
              <w:pStyle w:val="Compact"/>
              <w:jc w:val="left"/>
            </w:pPr>
            <w:r>
              <w:t xml:space="preserve">Able to work</w:t>
            </w:r>
          </w:p>
        </w:tc>
        <w:tc>
          <w:tcPr/>
          <w:p>
            <w:pPr>
              <w:pStyle w:val="Compact"/>
            </w:pPr>
          </w:p>
        </w:tc>
        <w:tc>
          <w:tcPr/>
          <w:p>
            <w:pPr>
              <w:pStyle w:val="Compact"/>
              <w:jc w:val="center"/>
            </w:pPr>
            <w:r>
              <w:t xml:space="preserve">208 (54.6%)</w:t>
            </w:r>
          </w:p>
        </w:tc>
      </w:tr>
      <w:tr>
        <w:tc>
          <w:tcPr/>
          <w:p>
            <w:pPr>
              <w:pStyle w:val="Compact"/>
            </w:pPr>
          </w:p>
        </w:tc>
        <w:tc>
          <w:tcPr/>
          <w:p>
            <w:pPr>
              <w:pStyle w:val="Compact"/>
            </w:pPr>
          </w:p>
        </w:tc>
        <w:tc>
          <w:tcPr/>
          <w:p>
            <w:pPr>
              <w:pStyle w:val="Compact"/>
            </w:pPr>
          </w:p>
        </w:tc>
        <w:tc>
          <w:tcPr/>
          <w:p>
            <w:pPr>
              <w:pStyle w:val="Compact"/>
              <w:jc w:val="left"/>
            </w:pPr>
            <w:r>
              <w:t xml:space="preserve">Unable to work (on sick leave)</w:t>
            </w:r>
          </w:p>
        </w:tc>
        <w:tc>
          <w:tcPr/>
          <w:p>
            <w:pPr>
              <w:pStyle w:val="Compact"/>
            </w:pPr>
          </w:p>
        </w:tc>
        <w:tc>
          <w:tcPr/>
          <w:p>
            <w:pPr>
              <w:pStyle w:val="Compact"/>
              <w:jc w:val="center"/>
            </w:pPr>
            <w:r>
              <w:t xml:space="preserve">118 (31.0%)</w:t>
            </w:r>
          </w:p>
        </w:tc>
      </w:tr>
      <w:tr>
        <w:tc>
          <w:tcPr/>
          <w:p>
            <w:pPr>
              <w:pStyle w:val="Compact"/>
            </w:pPr>
          </w:p>
        </w:tc>
        <w:tc>
          <w:tcPr/>
          <w:p>
            <w:pPr>
              <w:pStyle w:val="Compact"/>
            </w:pPr>
          </w:p>
        </w:tc>
        <w:tc>
          <w:tcPr/>
          <w:p>
            <w:pPr>
              <w:pStyle w:val="Compact"/>
            </w:pPr>
          </w:p>
        </w:tc>
        <w:tc>
          <w:tcPr/>
          <w:p>
            <w:pPr>
              <w:pStyle w:val="Compact"/>
              <w:jc w:val="left"/>
            </w:pPr>
            <w:r>
              <w:t xml:space="preserve">Disability pension</w:t>
            </w:r>
          </w:p>
        </w:tc>
        <w:tc>
          <w:tcPr/>
          <w:p>
            <w:pPr>
              <w:pStyle w:val="Compact"/>
            </w:pPr>
          </w:p>
        </w:tc>
        <w:tc>
          <w:tcPr/>
          <w:p>
            <w:pPr>
              <w:pStyle w:val="Compact"/>
              <w:jc w:val="center"/>
            </w:pPr>
            <w:r>
              <w:t xml:space="preserve">15 (3.9%)</w:t>
            </w:r>
          </w:p>
        </w:tc>
      </w:tr>
      <w:tr>
        <w:tc>
          <w:tcPr/>
          <w:p>
            <w:pPr>
              <w:pStyle w:val="Compact"/>
            </w:pPr>
          </w:p>
        </w:tc>
        <w:tc>
          <w:tcPr/>
          <w:p>
            <w:pPr>
              <w:pStyle w:val="Compact"/>
            </w:pPr>
          </w:p>
        </w:tc>
        <w:tc>
          <w:tcPr/>
          <w:p>
            <w:pPr>
              <w:pStyle w:val="Compact"/>
            </w:pPr>
          </w:p>
        </w:tc>
        <w:tc>
          <w:tcPr/>
          <w:p>
            <w:pPr>
              <w:pStyle w:val="Compact"/>
              <w:jc w:val="left"/>
            </w:pPr>
            <w:r>
              <w:t xml:space="preserve">Old-age pension</w:t>
            </w:r>
          </w:p>
        </w:tc>
        <w:tc>
          <w:tcPr/>
          <w:p>
            <w:pPr>
              <w:pStyle w:val="Compact"/>
            </w:pPr>
          </w:p>
        </w:tc>
        <w:tc>
          <w:tcPr/>
          <w:p>
            <w:pPr>
              <w:pStyle w:val="Compact"/>
              <w:jc w:val="center"/>
            </w:pPr>
            <w:r>
              <w:t xml:space="preserve">10 (2.6%)</w:t>
            </w:r>
          </w:p>
        </w:tc>
      </w:tr>
      <w:tr>
        <w:tc>
          <w:tcPr/>
          <w:p>
            <w:pPr>
              <w:pStyle w:val="Compact"/>
              <w:jc w:val="left"/>
            </w:pPr>
            <w:r>
              <w:rPr>
                <w:b/>
                <w:bCs/>
              </w:rPr>
              <w:t xml:space="preserve">Previous psychotherapy</w:t>
            </w:r>
          </w:p>
        </w:tc>
        <w:tc>
          <w:tcPr/>
          <w:p>
            <w:pPr>
              <w:pStyle w:val="Compact"/>
              <w:jc w:val="center"/>
            </w:pPr>
            <w:r>
              <w:t xml:space="preserve">582</w:t>
            </w:r>
          </w:p>
        </w:tc>
        <w:tc>
          <w:tcPr/>
          <w:p>
            <w:pPr>
              <w:pStyle w:val="Compact"/>
              <w:jc w:val="center"/>
            </w:pPr>
            <w:r>
              <w:t xml:space="preserve">349</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no prior treatment</w:t>
            </w:r>
          </w:p>
        </w:tc>
        <w:tc>
          <w:tcPr/>
          <w:p>
            <w:pPr>
              <w:pStyle w:val="Compact"/>
            </w:pPr>
          </w:p>
        </w:tc>
        <w:tc>
          <w:tcPr/>
          <w:p>
            <w:pPr>
              <w:pStyle w:val="Compact"/>
              <w:jc w:val="center"/>
            </w:pPr>
            <w:r>
              <w:t xml:space="preserve">179 (30.8%)</w:t>
            </w:r>
          </w:p>
        </w:tc>
      </w:tr>
      <w:tr>
        <w:tc>
          <w:tcPr/>
          <w:p>
            <w:pPr>
              <w:pStyle w:val="Compact"/>
            </w:pPr>
          </w:p>
        </w:tc>
        <w:tc>
          <w:tcPr/>
          <w:p>
            <w:pPr>
              <w:pStyle w:val="Compact"/>
            </w:pPr>
          </w:p>
        </w:tc>
        <w:tc>
          <w:tcPr/>
          <w:p>
            <w:pPr>
              <w:pStyle w:val="Compact"/>
            </w:pPr>
          </w:p>
        </w:tc>
        <w:tc>
          <w:tcPr/>
          <w:p>
            <w:pPr>
              <w:pStyle w:val="Compact"/>
              <w:jc w:val="left"/>
            </w:pPr>
            <w:r>
              <w:t xml:space="preserve">outpatient psychotherapy</w:t>
            </w:r>
          </w:p>
        </w:tc>
        <w:tc>
          <w:tcPr/>
          <w:p>
            <w:pPr>
              <w:pStyle w:val="Compact"/>
            </w:pPr>
          </w:p>
        </w:tc>
        <w:tc>
          <w:tcPr/>
          <w:p>
            <w:pPr>
              <w:pStyle w:val="Compact"/>
              <w:jc w:val="center"/>
            </w:pPr>
            <w:r>
              <w:t xml:space="preserve">100 (17.2%)</w:t>
            </w:r>
          </w:p>
        </w:tc>
      </w:tr>
      <w:tr>
        <w:tc>
          <w:tcPr/>
          <w:p>
            <w:pPr>
              <w:pStyle w:val="Compact"/>
            </w:pPr>
          </w:p>
        </w:tc>
        <w:tc>
          <w:tcPr/>
          <w:p>
            <w:pPr>
              <w:pStyle w:val="Compact"/>
            </w:pPr>
          </w:p>
        </w:tc>
        <w:tc>
          <w:tcPr/>
          <w:p>
            <w:pPr>
              <w:pStyle w:val="Compact"/>
            </w:pPr>
          </w:p>
        </w:tc>
        <w:tc>
          <w:tcPr/>
          <w:p>
            <w:pPr>
              <w:pStyle w:val="Compact"/>
              <w:jc w:val="left"/>
            </w:pPr>
            <w:r>
              <w:t xml:space="preserve">inpatient psychotherapy</w:t>
            </w:r>
          </w:p>
        </w:tc>
        <w:tc>
          <w:tcPr/>
          <w:p>
            <w:pPr>
              <w:pStyle w:val="Compact"/>
            </w:pPr>
          </w:p>
        </w:tc>
        <w:tc>
          <w:tcPr/>
          <w:p>
            <w:pPr>
              <w:pStyle w:val="Compact"/>
              <w:jc w:val="center"/>
            </w:pPr>
            <w:r>
              <w:t xml:space="preserve">154 (26.5%)</w:t>
            </w:r>
          </w:p>
        </w:tc>
      </w:tr>
      <w:tr>
        <w:tc>
          <w:tcPr/>
          <w:p>
            <w:pPr>
              <w:pStyle w:val="Compact"/>
            </w:pPr>
          </w:p>
        </w:tc>
        <w:tc>
          <w:tcPr/>
          <w:p>
            <w:pPr>
              <w:pStyle w:val="Compact"/>
            </w:pPr>
          </w:p>
        </w:tc>
        <w:tc>
          <w:tcPr/>
          <w:p>
            <w:pPr>
              <w:pStyle w:val="Compact"/>
            </w:pPr>
          </w:p>
        </w:tc>
        <w:tc>
          <w:tcPr/>
          <w:p>
            <w:pPr>
              <w:pStyle w:val="Compact"/>
              <w:jc w:val="left"/>
            </w:pPr>
            <w:r>
              <w:t xml:space="preserve">both</w:t>
            </w:r>
          </w:p>
        </w:tc>
        <w:tc>
          <w:tcPr/>
          <w:p>
            <w:pPr>
              <w:pStyle w:val="Compact"/>
            </w:pPr>
          </w:p>
        </w:tc>
        <w:tc>
          <w:tcPr/>
          <w:p>
            <w:pPr>
              <w:pStyle w:val="Compact"/>
              <w:jc w:val="center"/>
            </w:pPr>
            <w:r>
              <w:t xml:space="preserve">134 (23.0%)</w:t>
            </w:r>
          </w:p>
        </w:tc>
      </w:tr>
      <w:tr>
        <w:tc>
          <w:tcPr/>
          <w:p>
            <w:pPr>
              <w:pStyle w:val="Compact"/>
            </w:pPr>
          </w:p>
        </w:tc>
        <w:tc>
          <w:tcPr/>
          <w:p>
            <w:pPr>
              <w:pStyle w:val="Compact"/>
            </w:pPr>
          </w:p>
        </w:tc>
        <w:tc>
          <w:tcPr/>
          <w:p>
            <w:pPr>
              <w:pStyle w:val="Compact"/>
            </w:pPr>
          </w:p>
        </w:tc>
        <w:tc>
          <w:tcPr/>
          <w:p>
            <w:pPr>
              <w:pStyle w:val="Compact"/>
              <w:jc w:val="left"/>
            </w:pPr>
            <w:r>
              <w:t xml:space="preserve">exact specification not available</w:t>
            </w:r>
          </w:p>
        </w:tc>
        <w:tc>
          <w:tcPr/>
          <w:p>
            <w:pPr>
              <w:pStyle w:val="Compact"/>
            </w:pPr>
          </w:p>
        </w:tc>
        <w:tc>
          <w:tcPr/>
          <w:p>
            <w:pPr>
              <w:pStyle w:val="Compact"/>
              <w:jc w:val="center"/>
            </w:pPr>
            <w:r>
              <w:t xml:space="preserve">15 (2.6%)</w:t>
            </w:r>
          </w:p>
        </w:tc>
      </w:tr>
      <w:tr>
        <w:tc>
          <w:tcPr/>
          <w:p>
            <w:pPr>
              <w:pStyle w:val="Compact"/>
              <w:jc w:val="left"/>
            </w:pPr>
            <w:r>
              <w:rPr>
                <w:b/>
                <w:bCs/>
              </w:rPr>
              <w:t xml:space="preserve">CGI severity</w:t>
            </w:r>
          </w:p>
        </w:tc>
        <w:tc>
          <w:tcPr/>
          <w:p>
            <w:pPr>
              <w:pStyle w:val="Compact"/>
              <w:jc w:val="center"/>
            </w:pPr>
            <w:r>
              <w:t xml:space="preserve">582</w:t>
            </w:r>
          </w:p>
        </w:tc>
        <w:tc>
          <w:tcPr/>
          <w:p>
            <w:pPr>
              <w:pStyle w:val="Compact"/>
              <w:jc w:val="center"/>
            </w:pPr>
            <w:r>
              <w:t xml:space="preserve">349</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Not assessable</w:t>
            </w:r>
          </w:p>
        </w:tc>
        <w:tc>
          <w:tcPr/>
          <w:p>
            <w:pPr>
              <w:pStyle w:val="Compact"/>
            </w:pPr>
          </w:p>
        </w:tc>
        <w:tc>
          <w:tcPr/>
          <w:p>
            <w:pPr>
              <w:pStyle w:val="Compact"/>
              <w:jc w:val="center"/>
            </w:pPr>
            <w:r>
              <w:t xml:space="preserve">4 (0.7%)</w:t>
            </w:r>
          </w:p>
        </w:tc>
      </w:tr>
      <w:tr>
        <w:tc>
          <w:tcPr/>
          <w:p>
            <w:pPr>
              <w:pStyle w:val="Compact"/>
            </w:pPr>
          </w:p>
        </w:tc>
        <w:tc>
          <w:tcPr/>
          <w:p>
            <w:pPr>
              <w:pStyle w:val="Compact"/>
            </w:pPr>
          </w:p>
        </w:tc>
        <w:tc>
          <w:tcPr/>
          <w:p>
            <w:pPr>
              <w:pStyle w:val="Compact"/>
            </w:pPr>
          </w:p>
        </w:tc>
        <w:tc>
          <w:tcPr/>
          <w:p>
            <w:pPr>
              <w:pStyle w:val="Compact"/>
              <w:jc w:val="left"/>
            </w:pPr>
            <w:r>
              <w:t xml:space="preserve">Normal, not at all ill</w:t>
            </w:r>
          </w:p>
        </w:tc>
        <w:tc>
          <w:tcPr/>
          <w:p>
            <w:pPr>
              <w:pStyle w:val="Compact"/>
            </w:pPr>
          </w:p>
        </w:tc>
        <w:tc>
          <w:tcPr/>
          <w:p>
            <w:pPr>
              <w:pStyle w:val="Compact"/>
              <w:jc w:val="center"/>
            </w:pPr>
            <w:r>
              <w:t xml:space="preserve">2 (0.3%)</w:t>
            </w:r>
          </w:p>
        </w:tc>
      </w:tr>
      <w:tr>
        <w:tc>
          <w:tcPr/>
          <w:p>
            <w:pPr>
              <w:pStyle w:val="Compact"/>
            </w:pPr>
          </w:p>
        </w:tc>
        <w:tc>
          <w:tcPr/>
          <w:p>
            <w:pPr>
              <w:pStyle w:val="Compact"/>
            </w:pPr>
          </w:p>
        </w:tc>
        <w:tc>
          <w:tcPr/>
          <w:p>
            <w:pPr>
              <w:pStyle w:val="Compact"/>
            </w:pPr>
          </w:p>
        </w:tc>
        <w:tc>
          <w:tcPr/>
          <w:p>
            <w:pPr>
              <w:pStyle w:val="Compact"/>
              <w:jc w:val="left"/>
            </w:pPr>
            <w:r>
              <w:t xml:space="preserve">Borderline mentally ill</w:t>
            </w:r>
          </w:p>
        </w:tc>
        <w:tc>
          <w:tcPr/>
          <w:p>
            <w:pPr>
              <w:pStyle w:val="Compact"/>
            </w:pPr>
          </w:p>
        </w:tc>
        <w:tc>
          <w:tcPr/>
          <w:p>
            <w:pPr>
              <w:pStyle w:val="Compact"/>
              <w:jc w:val="center"/>
            </w:pPr>
            <w:r>
              <w:t xml:space="preserve">9 (1.5%)</w:t>
            </w:r>
          </w:p>
        </w:tc>
      </w:tr>
      <w:tr>
        <w:tc>
          <w:tcPr/>
          <w:p>
            <w:pPr>
              <w:pStyle w:val="Compact"/>
            </w:pPr>
          </w:p>
        </w:tc>
        <w:tc>
          <w:tcPr/>
          <w:p>
            <w:pPr>
              <w:pStyle w:val="Compact"/>
            </w:pPr>
          </w:p>
        </w:tc>
        <w:tc>
          <w:tcPr/>
          <w:p>
            <w:pPr>
              <w:pStyle w:val="Compact"/>
            </w:pPr>
          </w:p>
        </w:tc>
        <w:tc>
          <w:tcPr/>
          <w:p>
            <w:pPr>
              <w:pStyle w:val="Compact"/>
              <w:jc w:val="left"/>
            </w:pPr>
            <w:r>
              <w:t xml:space="preserve">Mildly ill</w:t>
            </w:r>
          </w:p>
        </w:tc>
        <w:tc>
          <w:tcPr/>
          <w:p>
            <w:pPr>
              <w:pStyle w:val="Compact"/>
            </w:pPr>
          </w:p>
        </w:tc>
        <w:tc>
          <w:tcPr/>
          <w:p>
            <w:pPr>
              <w:pStyle w:val="Compact"/>
              <w:jc w:val="center"/>
            </w:pPr>
            <w:r>
              <w:t xml:space="preserve">28 (4.8%)</w:t>
            </w:r>
          </w:p>
        </w:tc>
      </w:tr>
      <w:tr>
        <w:tc>
          <w:tcPr/>
          <w:p>
            <w:pPr>
              <w:pStyle w:val="Compact"/>
            </w:pPr>
          </w:p>
        </w:tc>
        <w:tc>
          <w:tcPr/>
          <w:p>
            <w:pPr>
              <w:pStyle w:val="Compact"/>
            </w:pPr>
          </w:p>
        </w:tc>
        <w:tc>
          <w:tcPr/>
          <w:p>
            <w:pPr>
              <w:pStyle w:val="Compact"/>
            </w:pPr>
          </w:p>
        </w:tc>
        <w:tc>
          <w:tcPr/>
          <w:p>
            <w:pPr>
              <w:pStyle w:val="Compact"/>
              <w:jc w:val="left"/>
            </w:pPr>
            <w:r>
              <w:t xml:space="preserve">Moderately ill</w:t>
            </w:r>
          </w:p>
        </w:tc>
        <w:tc>
          <w:tcPr/>
          <w:p>
            <w:pPr>
              <w:pStyle w:val="Compact"/>
            </w:pPr>
          </w:p>
        </w:tc>
        <w:tc>
          <w:tcPr/>
          <w:p>
            <w:pPr>
              <w:pStyle w:val="Compact"/>
              <w:jc w:val="center"/>
            </w:pPr>
            <w:r>
              <w:t xml:space="preserve">162 (27.8%)</w:t>
            </w:r>
          </w:p>
        </w:tc>
      </w:tr>
      <w:tr>
        <w:tc>
          <w:tcPr/>
          <w:p>
            <w:pPr>
              <w:pStyle w:val="Compact"/>
            </w:pPr>
          </w:p>
        </w:tc>
        <w:tc>
          <w:tcPr/>
          <w:p>
            <w:pPr>
              <w:pStyle w:val="Compact"/>
            </w:pPr>
          </w:p>
        </w:tc>
        <w:tc>
          <w:tcPr/>
          <w:p>
            <w:pPr>
              <w:pStyle w:val="Compact"/>
            </w:pPr>
          </w:p>
        </w:tc>
        <w:tc>
          <w:tcPr/>
          <w:p>
            <w:pPr>
              <w:pStyle w:val="Compact"/>
              <w:jc w:val="left"/>
            </w:pPr>
            <w:r>
              <w:t xml:space="preserve">Markedly ill</w:t>
            </w:r>
          </w:p>
        </w:tc>
        <w:tc>
          <w:tcPr/>
          <w:p>
            <w:pPr>
              <w:pStyle w:val="Compact"/>
            </w:pPr>
          </w:p>
        </w:tc>
        <w:tc>
          <w:tcPr/>
          <w:p>
            <w:pPr>
              <w:pStyle w:val="Compact"/>
              <w:jc w:val="center"/>
            </w:pPr>
            <w:r>
              <w:t xml:space="preserve">287 (49.3%)</w:t>
            </w:r>
          </w:p>
        </w:tc>
      </w:tr>
      <w:tr>
        <w:tc>
          <w:tcPr/>
          <w:p>
            <w:pPr>
              <w:pStyle w:val="Compact"/>
            </w:pPr>
          </w:p>
        </w:tc>
        <w:tc>
          <w:tcPr/>
          <w:p>
            <w:pPr>
              <w:pStyle w:val="Compact"/>
            </w:pPr>
          </w:p>
        </w:tc>
        <w:tc>
          <w:tcPr/>
          <w:p>
            <w:pPr>
              <w:pStyle w:val="Compact"/>
            </w:pPr>
          </w:p>
        </w:tc>
        <w:tc>
          <w:tcPr/>
          <w:p>
            <w:pPr>
              <w:pStyle w:val="Compact"/>
              <w:jc w:val="left"/>
            </w:pPr>
            <w:r>
              <w:t xml:space="preserve">Severely ill</w:t>
            </w:r>
          </w:p>
        </w:tc>
        <w:tc>
          <w:tcPr/>
          <w:p>
            <w:pPr>
              <w:pStyle w:val="Compact"/>
            </w:pPr>
          </w:p>
        </w:tc>
        <w:tc>
          <w:tcPr/>
          <w:p>
            <w:pPr>
              <w:pStyle w:val="Compact"/>
              <w:jc w:val="center"/>
            </w:pPr>
            <w:r>
              <w:t xml:space="preserve">87 (14.9%)</w:t>
            </w:r>
          </w:p>
        </w:tc>
      </w:tr>
      <w:tr>
        <w:tc>
          <w:tcPr/>
          <w:p>
            <w:pPr>
              <w:pStyle w:val="Compact"/>
            </w:pPr>
          </w:p>
        </w:tc>
        <w:tc>
          <w:tcPr/>
          <w:p>
            <w:pPr>
              <w:pStyle w:val="Compact"/>
            </w:pPr>
          </w:p>
        </w:tc>
        <w:tc>
          <w:tcPr/>
          <w:p>
            <w:pPr>
              <w:pStyle w:val="Compact"/>
            </w:pPr>
          </w:p>
        </w:tc>
        <w:tc>
          <w:tcPr/>
          <w:p>
            <w:pPr>
              <w:pStyle w:val="Compact"/>
              <w:jc w:val="left"/>
            </w:pPr>
            <w:r>
              <w:t xml:space="preserve">Among the most extremely ill patients</w:t>
            </w:r>
          </w:p>
        </w:tc>
        <w:tc>
          <w:tcPr/>
          <w:p>
            <w:pPr>
              <w:pStyle w:val="Compact"/>
            </w:pPr>
          </w:p>
        </w:tc>
        <w:tc>
          <w:tcPr/>
          <w:p>
            <w:pPr>
              <w:pStyle w:val="Compact"/>
              <w:jc w:val="center"/>
            </w:pPr>
            <w:r>
              <w:t xml:space="preserve">3 (0.5%)</w:t>
            </w:r>
          </w:p>
        </w:tc>
      </w:tr>
    </w:tbl>
    <w:p>
      <w:pPr>
        <w:pStyle w:val="BodyText"/>
      </w:pPr>
      <w:r>
        <w:t xml:space="preserve"> </w:t>
      </w:r>
    </w:p>
    <w:p>
      <w:pPr>
        <w:pStyle w:val="TableCaption"/>
      </w:pPr>
      <w:r>
        <w:t xml:space="preserve">Table X. Descriptive statistics of therapist demographics and context factors.</w:t>
      </w:r>
    </w:p>
    <w:tbl>
      <w:tblPr>
        <w:tblStyle w:val="Table"/>
        <w:tblW w:type="pct" w:w="5000"/>
        <w:tblLayout w:type="fixed"/>
        <w:tblLook w:firstRow="1" w:lastRow="0" w:firstColumn="0" w:lastColumn="0" w:noHBand="0" w:noVBand="0" w:val="0020"/>
        <w:tblCaption w:val="Table X. Descriptive statistics of therapist demographics and context factors."/>
      </w:tblPr>
      <w:tblGrid>
        <w:gridCol w:w="2506"/>
        <w:gridCol w:w="902"/>
        <w:gridCol w:w="1102"/>
        <w:gridCol w:w="701"/>
        <w:gridCol w:w="1403"/>
        <w:gridCol w:w="1303"/>
      </w:tblGrid>
      <w:tr>
        <w:trPr>
          <w:tblHeader w:val="on"/>
        </w:trPr>
        <w:tc>
          <w:tcPr/>
          <w:p>
            <w:pPr>
              <w:pStyle w:val="Compact"/>
              <w:jc w:val="left"/>
            </w:pPr>
            <w:r>
              <w:t xml:space="preserve">Variable</w:t>
            </w:r>
          </w:p>
        </w:tc>
        <w:tc>
          <w:tcPr/>
          <w:p>
            <w:pPr>
              <w:pStyle w:val="Compact"/>
              <w:jc w:val="center"/>
            </w:pPr>
            <w:r>
              <w:t xml:space="preserve">Valid n</w:t>
            </w:r>
          </w:p>
        </w:tc>
        <w:tc>
          <w:tcPr/>
          <w:p>
            <w:pPr>
              <w:pStyle w:val="Compact"/>
              <w:jc w:val="center"/>
            </w:pPr>
            <w:r>
              <w:t xml:space="preserve">Missing n</w:t>
            </w:r>
          </w:p>
        </w:tc>
        <w:tc>
          <w:tcPr/>
          <w:p>
            <w:pPr>
              <w:pStyle w:val="Compact"/>
              <w:jc w:val="left"/>
            </w:pPr>
            <w:r>
              <w:t xml:space="preserve">Level</w:t>
            </w:r>
          </w:p>
        </w:tc>
        <w:tc>
          <w:tcPr/>
          <w:p>
            <w:pPr>
              <w:pStyle w:val="Compact"/>
              <w:jc w:val="center"/>
            </w:pPr>
            <w:r>
              <w:t xml:space="preserve">Mean ± SD</w:t>
            </w:r>
          </w:p>
        </w:tc>
        <w:tc>
          <w:tcPr/>
          <w:p>
            <w:pPr>
              <w:pStyle w:val="Compact"/>
              <w:jc w:val="center"/>
            </w:pPr>
            <w:r>
              <w:t xml:space="preserve">n (%)</w:t>
            </w:r>
          </w:p>
        </w:tc>
      </w:tr>
      <w:tr>
        <w:tc>
          <w:tcPr/>
          <w:p>
            <w:pPr>
              <w:pStyle w:val="Compact"/>
              <w:jc w:val="left"/>
            </w:pPr>
            <w:r>
              <w:rPr>
                <w:b/>
                <w:bCs/>
              </w:rPr>
              <w:t xml:space="preserve">Age at therapy start</w:t>
            </w:r>
          </w:p>
        </w:tc>
        <w:tc>
          <w:tcPr/>
          <w:p>
            <w:pPr>
              <w:pStyle w:val="Compact"/>
              <w:jc w:val="center"/>
            </w:pPr>
            <w:r>
              <w:t xml:space="preserve">675</w:t>
            </w:r>
          </w:p>
        </w:tc>
        <w:tc>
          <w:tcPr/>
          <w:p>
            <w:pPr>
              <w:pStyle w:val="Compact"/>
              <w:jc w:val="center"/>
            </w:pPr>
            <w:r>
              <w:t xml:space="preserve">256</w:t>
            </w:r>
          </w:p>
        </w:tc>
        <w:tc>
          <w:tcPr/>
          <w:p>
            <w:pPr>
              <w:pStyle w:val="Compact"/>
            </w:pPr>
          </w:p>
        </w:tc>
        <w:tc>
          <w:tcPr/>
          <w:p>
            <w:pPr>
              <w:pStyle w:val="Compact"/>
              <w:jc w:val="center"/>
            </w:pPr>
            <w:r>
              <w:t xml:space="preserve">28.35 ± 4.12</w:t>
            </w:r>
          </w:p>
        </w:tc>
        <w:tc>
          <w:tcPr/>
          <w:p>
            <w:pPr>
              <w:pStyle w:val="Compact"/>
            </w:pPr>
          </w:p>
        </w:tc>
      </w:tr>
      <w:tr>
        <w:tc>
          <w:tcPr/>
          <w:p>
            <w:pPr>
              <w:pStyle w:val="Compact"/>
              <w:jc w:val="left"/>
            </w:pPr>
            <w:r>
              <w:rPr>
                <w:b/>
                <w:bCs/>
              </w:rPr>
              <w:t xml:space="preserve">Sex</w:t>
            </w:r>
          </w:p>
        </w:tc>
        <w:tc>
          <w:tcPr/>
          <w:p>
            <w:pPr>
              <w:pStyle w:val="Compact"/>
              <w:jc w:val="center"/>
            </w:pPr>
            <w:r>
              <w:t xml:space="preserve">675</w:t>
            </w:r>
          </w:p>
        </w:tc>
        <w:tc>
          <w:tcPr/>
          <w:p>
            <w:pPr>
              <w:pStyle w:val="Compact"/>
              <w:jc w:val="center"/>
            </w:pPr>
            <w:r>
              <w:t xml:space="preserve">256</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male</w:t>
            </w:r>
          </w:p>
        </w:tc>
        <w:tc>
          <w:tcPr/>
          <w:p>
            <w:pPr>
              <w:pStyle w:val="Compact"/>
            </w:pPr>
          </w:p>
        </w:tc>
        <w:tc>
          <w:tcPr/>
          <w:p>
            <w:pPr>
              <w:pStyle w:val="Compact"/>
              <w:jc w:val="center"/>
            </w:pPr>
            <w:r>
              <w:t xml:space="preserve">101 (15.0%)</w:t>
            </w:r>
          </w:p>
        </w:tc>
      </w:tr>
      <w:tr>
        <w:tc>
          <w:tcPr/>
          <w:p>
            <w:pPr>
              <w:pStyle w:val="Compact"/>
            </w:pPr>
          </w:p>
        </w:tc>
        <w:tc>
          <w:tcPr/>
          <w:p>
            <w:pPr>
              <w:pStyle w:val="Compact"/>
            </w:pPr>
          </w:p>
        </w:tc>
        <w:tc>
          <w:tcPr/>
          <w:p>
            <w:pPr>
              <w:pStyle w:val="Compact"/>
            </w:pPr>
          </w:p>
        </w:tc>
        <w:tc>
          <w:tcPr/>
          <w:p>
            <w:pPr>
              <w:pStyle w:val="Compact"/>
              <w:jc w:val="left"/>
            </w:pPr>
            <w:r>
              <w:t xml:space="preserve">female</w:t>
            </w:r>
          </w:p>
        </w:tc>
        <w:tc>
          <w:tcPr/>
          <w:p>
            <w:pPr>
              <w:pStyle w:val="Compact"/>
            </w:pPr>
          </w:p>
        </w:tc>
        <w:tc>
          <w:tcPr/>
          <w:p>
            <w:pPr>
              <w:pStyle w:val="Compact"/>
              <w:jc w:val="center"/>
            </w:pPr>
            <w:r>
              <w:t xml:space="preserve">574 (85.0%)</w:t>
            </w:r>
          </w:p>
        </w:tc>
      </w:tr>
    </w:tbl>
    <w:bookmarkEnd w:id="45"/>
    <w:bookmarkStart w:id="46" w:name="textual-data"/>
    <w:p>
      <w:pPr>
        <w:pStyle w:val="Heading3"/>
      </w:pPr>
      <w:r>
        <w:t xml:space="preserve">Textual data</w:t>
      </w:r>
    </w:p>
    <w:p>
      <w:pPr>
        <w:pStyle w:val="FirstParagraph"/>
      </w:pPr>
      <w:r>
        <w:t xml:space="preserve">Descriptive analyses revealed substantial heterogeneity across questions in response rates, length, and lexical diversity. Holistic questions such as problem description (q10) and therapy goals (q12) showed low missingness, longer median response lengths, and high lexical diversity, indicating that patients readily produced extended and heterogeneous narratives when asked to reflect broadly on their difficulties or desired changes. In contrast, prompts targeting causal connections (q4) or constraints (q11) frequently elicited short or missing responses and exhibited lower diversity, consistent with more constrained or confirmatory response formats. Notably, lexical diversity varied independently of response length, suggesting that some prompts elicited shared narrative scripts despite moderate verbosity (e.g., q7 Expected Improvements).</w:t>
      </w:r>
    </w:p>
    <w:p>
      <w:pPr>
        <w:pStyle w:val="TableCaption"/>
      </w:pPr>
      <w:r>
        <w:t xml:space="preserve">Table X. Descriptive statistics of open-ended responses by question.</w:t>
      </w:r>
    </w:p>
    <w:tbl>
      <w:tblPr>
        <w:tblStyle w:val="Table"/>
        <w:tblW w:type="pct" w:w="5000"/>
        <w:tblLayout w:type="fixed"/>
        <w:tblLook w:firstRow="1" w:lastRow="0" w:firstColumn="0" w:lastColumn="0" w:noHBand="0" w:noVBand="0" w:val="0020"/>
        <w:tblCaption w:val="Table X. Descriptive statistics of open-ended responses by question."/>
      </w:tblPr>
      <w:tblGrid>
        <w:gridCol w:w="1541"/>
        <w:gridCol w:w="630"/>
        <w:gridCol w:w="911"/>
        <w:gridCol w:w="1121"/>
        <w:gridCol w:w="981"/>
        <w:gridCol w:w="770"/>
        <w:gridCol w:w="770"/>
        <w:gridCol w:w="1191"/>
      </w:tblGrid>
      <w:tr>
        <w:trPr>
          <w:tblHeader w:val="on"/>
        </w:trPr>
        <w:tc>
          <w:tcPr/>
          <w:p>
            <w:pPr>
              <w:pStyle w:val="Compact"/>
              <w:jc w:val="left"/>
            </w:pPr>
            <w:r>
              <w:t xml:space="preserve">Question</w:t>
            </w:r>
          </w:p>
        </w:tc>
        <w:tc>
          <w:tcPr/>
          <w:p>
            <w:pPr>
              <w:pStyle w:val="Compact"/>
              <w:jc w:val="center"/>
            </w:pPr>
            <w:r>
              <w:t xml:space="preserve">n_total</w:t>
            </w:r>
          </w:p>
        </w:tc>
        <w:tc>
          <w:tcPr/>
          <w:p>
            <w:pPr>
              <w:pStyle w:val="Compact"/>
              <w:jc w:val="center"/>
            </w:pPr>
            <w:r>
              <w:t xml:space="preserve">missing_pct</w:t>
            </w:r>
          </w:p>
        </w:tc>
        <w:tc>
          <w:tcPr/>
          <w:p>
            <w:pPr>
              <w:pStyle w:val="Compact"/>
              <w:jc w:val="center"/>
            </w:pPr>
            <w:r>
              <w:t xml:space="preserve">very_short_pct</w:t>
            </w:r>
          </w:p>
        </w:tc>
        <w:tc>
          <w:tcPr/>
          <w:p>
            <w:pPr>
              <w:pStyle w:val="Compact"/>
              <w:jc w:val="center"/>
            </w:pPr>
            <w:r>
              <w:t xml:space="preserve">median_words</w:t>
            </w:r>
          </w:p>
        </w:tc>
        <w:tc>
          <w:tcPr/>
          <w:p>
            <w:pPr>
              <w:pStyle w:val="Compact"/>
              <w:jc w:val="center"/>
            </w:pPr>
            <w:r>
              <w:t xml:space="preserve">p10_words</w:t>
            </w:r>
          </w:p>
        </w:tc>
        <w:tc>
          <w:tcPr/>
          <w:p>
            <w:pPr>
              <w:pStyle w:val="Compact"/>
              <w:jc w:val="center"/>
            </w:pPr>
            <w:r>
              <w:t xml:space="preserve">p90_words</w:t>
            </w:r>
          </w:p>
        </w:tc>
        <w:tc>
          <w:tcPr/>
          <w:p>
            <w:pPr>
              <w:pStyle w:val="Compact"/>
              <w:jc w:val="center"/>
            </w:pPr>
            <w:r>
              <w:t xml:space="preserve">diversity_index</w:t>
            </w:r>
          </w:p>
        </w:tc>
      </w:tr>
      <w:tr>
        <w:tc>
          <w:tcPr/>
          <w:p>
            <w:pPr>
              <w:pStyle w:val="Compact"/>
              <w:jc w:val="left"/>
            </w:pPr>
            <w:r>
              <w:t xml:space="preserve">Problem development</w:t>
            </w:r>
          </w:p>
        </w:tc>
        <w:tc>
          <w:tcPr/>
          <w:p>
            <w:pPr>
              <w:pStyle w:val="Compact"/>
              <w:jc w:val="center"/>
            </w:pPr>
            <w:r>
              <w:t xml:space="preserve">931</w:t>
            </w:r>
          </w:p>
        </w:tc>
        <w:tc>
          <w:tcPr/>
          <w:p>
            <w:pPr>
              <w:pStyle w:val="Compact"/>
              <w:jc w:val="center"/>
            </w:pPr>
            <w:r>
              <w:t xml:space="preserve">47.046187</w:t>
            </w:r>
          </w:p>
        </w:tc>
        <w:tc>
          <w:tcPr/>
          <w:p>
            <w:pPr>
              <w:pStyle w:val="Compact"/>
              <w:jc w:val="center"/>
            </w:pPr>
            <w:r>
              <w:t xml:space="preserve">2.577873</w:t>
            </w:r>
          </w:p>
        </w:tc>
        <w:tc>
          <w:tcPr/>
          <w:p>
            <w:pPr>
              <w:pStyle w:val="Compact"/>
              <w:jc w:val="center"/>
            </w:pPr>
            <w:r>
              <w:t xml:space="preserve">18</w:t>
            </w:r>
          </w:p>
        </w:tc>
        <w:tc>
          <w:tcPr/>
          <w:p>
            <w:pPr>
              <w:pStyle w:val="Compact"/>
              <w:jc w:val="center"/>
            </w:pPr>
            <w:r>
              <w:t xml:space="preserve">6</w:t>
            </w:r>
          </w:p>
        </w:tc>
        <w:tc>
          <w:tcPr/>
          <w:p>
            <w:pPr>
              <w:pStyle w:val="Compact"/>
              <w:jc w:val="center"/>
            </w:pPr>
            <w:r>
              <w:t xml:space="preserve">50.0</w:t>
            </w:r>
          </w:p>
        </w:tc>
        <w:tc>
          <w:tcPr/>
          <w:p>
            <w:pPr>
              <w:pStyle w:val="Compact"/>
              <w:jc w:val="center"/>
            </w:pPr>
            <w:r>
              <w:t xml:space="preserve">731.0489</w:t>
            </w:r>
          </w:p>
        </w:tc>
      </w:tr>
      <w:tr>
        <w:tc>
          <w:tcPr/>
          <w:p>
            <w:pPr>
              <w:pStyle w:val="Compact"/>
              <w:jc w:val="left"/>
            </w:pPr>
            <w:r>
              <w:t xml:space="preserve">Extra stressors</w:t>
            </w:r>
          </w:p>
        </w:tc>
        <w:tc>
          <w:tcPr/>
          <w:p>
            <w:pPr>
              <w:pStyle w:val="Compact"/>
              <w:jc w:val="center"/>
            </w:pPr>
            <w:r>
              <w:t xml:space="preserve">931</w:t>
            </w:r>
          </w:p>
        </w:tc>
        <w:tc>
          <w:tcPr/>
          <w:p>
            <w:pPr>
              <w:pStyle w:val="Compact"/>
              <w:jc w:val="center"/>
            </w:pPr>
            <w:r>
              <w:t xml:space="preserve">49.838883</w:t>
            </w:r>
          </w:p>
        </w:tc>
        <w:tc>
          <w:tcPr/>
          <w:p>
            <w:pPr>
              <w:pStyle w:val="Compact"/>
              <w:jc w:val="center"/>
            </w:pPr>
            <w:r>
              <w:t xml:space="preserve">9.129968</w:t>
            </w:r>
          </w:p>
        </w:tc>
        <w:tc>
          <w:tcPr/>
          <w:p>
            <w:pPr>
              <w:pStyle w:val="Compact"/>
              <w:jc w:val="center"/>
            </w:pPr>
            <w:r>
              <w:t xml:space="preserve">10</w:t>
            </w:r>
          </w:p>
        </w:tc>
        <w:tc>
          <w:tcPr/>
          <w:p>
            <w:pPr>
              <w:pStyle w:val="Compact"/>
              <w:jc w:val="center"/>
            </w:pPr>
            <w:r>
              <w:t xml:space="preserve">2</w:t>
            </w:r>
          </w:p>
        </w:tc>
        <w:tc>
          <w:tcPr/>
          <w:p>
            <w:pPr>
              <w:pStyle w:val="Compact"/>
              <w:jc w:val="center"/>
            </w:pPr>
            <w:r>
              <w:t xml:space="preserve">36.0</w:t>
            </w:r>
          </w:p>
        </w:tc>
        <w:tc>
          <w:tcPr/>
          <w:p>
            <w:pPr>
              <w:pStyle w:val="Compact"/>
              <w:jc w:val="center"/>
            </w:pPr>
            <w:r>
              <w:t xml:space="preserve">636.8977</w:t>
            </w:r>
          </w:p>
        </w:tc>
      </w:tr>
      <w:tr>
        <w:tc>
          <w:tcPr/>
          <w:p>
            <w:pPr>
              <w:pStyle w:val="Compact"/>
              <w:jc w:val="left"/>
            </w:pPr>
            <w:r>
              <w:t xml:space="preserve">Pre-onset changes</w:t>
            </w:r>
          </w:p>
        </w:tc>
        <w:tc>
          <w:tcPr/>
          <w:p>
            <w:pPr>
              <w:pStyle w:val="Compact"/>
              <w:jc w:val="center"/>
            </w:pPr>
            <w:r>
              <w:t xml:space="preserve">931</w:t>
            </w:r>
          </w:p>
        </w:tc>
        <w:tc>
          <w:tcPr/>
          <w:p>
            <w:pPr>
              <w:pStyle w:val="Compact"/>
              <w:jc w:val="center"/>
            </w:pPr>
            <w:r>
              <w:t xml:space="preserve">43.179377</w:t>
            </w:r>
          </w:p>
        </w:tc>
        <w:tc>
          <w:tcPr/>
          <w:p>
            <w:pPr>
              <w:pStyle w:val="Compact"/>
              <w:jc w:val="center"/>
            </w:pPr>
            <w:r>
              <w:t xml:space="preserve">15.037594</w:t>
            </w:r>
          </w:p>
        </w:tc>
        <w:tc>
          <w:tcPr/>
          <w:p>
            <w:pPr>
              <w:pStyle w:val="Compact"/>
              <w:jc w:val="center"/>
            </w:pPr>
            <w:r>
              <w:t xml:space="preserve">9</w:t>
            </w:r>
          </w:p>
        </w:tc>
        <w:tc>
          <w:tcPr/>
          <w:p>
            <w:pPr>
              <w:pStyle w:val="Compact"/>
              <w:jc w:val="center"/>
            </w:pPr>
            <w:r>
              <w:t xml:space="preserve">1</w:t>
            </w:r>
          </w:p>
        </w:tc>
        <w:tc>
          <w:tcPr/>
          <w:p>
            <w:pPr>
              <w:pStyle w:val="Compact"/>
              <w:jc w:val="center"/>
            </w:pPr>
            <w:r>
              <w:t xml:space="preserve">37.0</w:t>
            </w:r>
          </w:p>
        </w:tc>
        <w:tc>
          <w:tcPr/>
          <w:p>
            <w:pPr>
              <w:pStyle w:val="Compact"/>
              <w:jc w:val="center"/>
            </w:pPr>
            <w:r>
              <w:t xml:space="preserve">555.4025</w:t>
            </w:r>
          </w:p>
        </w:tc>
      </w:tr>
      <w:tr>
        <w:tc>
          <w:tcPr/>
          <w:p>
            <w:pPr>
              <w:pStyle w:val="Compact"/>
              <w:jc w:val="left"/>
            </w:pPr>
            <w:r>
              <w:t xml:space="preserve">Event connection</w:t>
            </w:r>
          </w:p>
        </w:tc>
        <w:tc>
          <w:tcPr/>
          <w:p>
            <w:pPr>
              <w:pStyle w:val="Compact"/>
              <w:jc w:val="center"/>
            </w:pPr>
            <w:r>
              <w:t xml:space="preserve">931</w:t>
            </w:r>
          </w:p>
        </w:tc>
        <w:tc>
          <w:tcPr/>
          <w:p>
            <w:pPr>
              <w:pStyle w:val="Compact"/>
              <w:jc w:val="center"/>
            </w:pPr>
            <w:r>
              <w:t xml:space="preserve">47.046187</w:t>
            </w:r>
          </w:p>
        </w:tc>
        <w:tc>
          <w:tcPr/>
          <w:p>
            <w:pPr>
              <w:pStyle w:val="Compact"/>
              <w:jc w:val="center"/>
            </w:pPr>
            <w:r>
              <w:t xml:space="preserve">23.630505</w:t>
            </w:r>
          </w:p>
        </w:tc>
        <w:tc>
          <w:tcPr/>
          <w:p>
            <w:pPr>
              <w:pStyle w:val="Compact"/>
              <w:jc w:val="center"/>
            </w:pPr>
            <w:r>
              <w:t xml:space="preserve">5</w:t>
            </w:r>
          </w:p>
        </w:tc>
        <w:tc>
          <w:tcPr/>
          <w:p>
            <w:pPr>
              <w:pStyle w:val="Compact"/>
              <w:jc w:val="center"/>
            </w:pPr>
            <w:r>
              <w:t xml:space="preserve">1</w:t>
            </w:r>
          </w:p>
        </w:tc>
        <w:tc>
          <w:tcPr/>
          <w:p>
            <w:pPr>
              <w:pStyle w:val="Compact"/>
              <w:jc w:val="center"/>
            </w:pPr>
            <w:r>
              <w:t xml:space="preserve">28.8</w:t>
            </w:r>
          </w:p>
        </w:tc>
        <w:tc>
          <w:tcPr/>
          <w:p>
            <w:pPr>
              <w:pStyle w:val="Compact"/>
              <w:jc w:val="center"/>
            </w:pPr>
            <w:r>
              <w:t xml:space="preserve">477.7177</w:t>
            </w:r>
          </w:p>
        </w:tc>
      </w:tr>
      <w:tr>
        <w:tc>
          <w:tcPr/>
          <w:p>
            <w:pPr>
              <w:pStyle w:val="Compact"/>
              <w:jc w:val="left"/>
            </w:pPr>
            <w:r>
              <w:t xml:space="preserve">Physical symptoms</w:t>
            </w:r>
          </w:p>
        </w:tc>
        <w:tc>
          <w:tcPr/>
          <w:p>
            <w:pPr>
              <w:pStyle w:val="Compact"/>
              <w:jc w:val="center"/>
            </w:pPr>
            <w:r>
              <w:t xml:space="preserve">931</w:t>
            </w:r>
          </w:p>
        </w:tc>
        <w:tc>
          <w:tcPr/>
          <w:p>
            <w:pPr>
              <w:pStyle w:val="Compact"/>
              <w:jc w:val="center"/>
            </w:pPr>
            <w:r>
              <w:t xml:space="preserve">46.401719</w:t>
            </w:r>
          </w:p>
        </w:tc>
        <w:tc>
          <w:tcPr/>
          <w:p>
            <w:pPr>
              <w:pStyle w:val="Compact"/>
              <w:jc w:val="center"/>
            </w:pPr>
            <w:r>
              <w:t xml:space="preserve">16.433942</w:t>
            </w:r>
          </w:p>
        </w:tc>
        <w:tc>
          <w:tcPr/>
          <w:p>
            <w:pPr>
              <w:pStyle w:val="Compact"/>
              <w:jc w:val="center"/>
            </w:pPr>
            <w:r>
              <w:t xml:space="preserve">6</w:t>
            </w:r>
          </w:p>
        </w:tc>
        <w:tc>
          <w:tcPr/>
          <w:p>
            <w:pPr>
              <w:pStyle w:val="Compact"/>
              <w:jc w:val="center"/>
            </w:pPr>
            <w:r>
              <w:t xml:space="preserve">2</w:t>
            </w:r>
          </w:p>
        </w:tc>
        <w:tc>
          <w:tcPr/>
          <w:p>
            <w:pPr>
              <w:pStyle w:val="Compact"/>
              <w:jc w:val="center"/>
            </w:pPr>
            <w:r>
              <w:t xml:space="preserve">19.0</w:t>
            </w:r>
          </w:p>
        </w:tc>
        <w:tc>
          <w:tcPr/>
          <w:p>
            <w:pPr>
              <w:pStyle w:val="Compact"/>
              <w:jc w:val="center"/>
            </w:pPr>
            <w:r>
              <w:t xml:space="preserve">500.2739</w:t>
            </w:r>
          </w:p>
        </w:tc>
      </w:tr>
      <w:tr>
        <w:tc>
          <w:tcPr/>
          <w:p>
            <w:pPr>
              <w:pStyle w:val="Compact"/>
              <w:jc w:val="left"/>
            </w:pPr>
            <w:r>
              <w:t xml:space="preserve">Problem causes</w:t>
            </w:r>
          </w:p>
        </w:tc>
        <w:tc>
          <w:tcPr/>
          <w:p>
            <w:pPr>
              <w:pStyle w:val="Compact"/>
              <w:jc w:val="center"/>
            </w:pPr>
            <w:r>
              <w:t xml:space="preserve">931</w:t>
            </w:r>
          </w:p>
        </w:tc>
        <w:tc>
          <w:tcPr/>
          <w:p>
            <w:pPr>
              <w:pStyle w:val="Compact"/>
              <w:jc w:val="center"/>
            </w:pPr>
            <w:r>
              <w:t xml:space="preserve">49.087003</w:t>
            </w:r>
          </w:p>
        </w:tc>
        <w:tc>
          <w:tcPr/>
          <w:p>
            <w:pPr>
              <w:pStyle w:val="Compact"/>
              <w:jc w:val="center"/>
            </w:pPr>
            <w:r>
              <w:t xml:space="preserve">12.137487</w:t>
            </w:r>
          </w:p>
        </w:tc>
        <w:tc>
          <w:tcPr/>
          <w:p>
            <w:pPr>
              <w:pStyle w:val="Compact"/>
              <w:jc w:val="center"/>
            </w:pPr>
            <w:r>
              <w:t xml:space="preserve">8</w:t>
            </w:r>
          </w:p>
        </w:tc>
        <w:tc>
          <w:tcPr/>
          <w:p>
            <w:pPr>
              <w:pStyle w:val="Compact"/>
              <w:jc w:val="center"/>
            </w:pPr>
            <w:r>
              <w:t xml:space="preserve">2</w:t>
            </w:r>
          </w:p>
        </w:tc>
        <w:tc>
          <w:tcPr/>
          <w:p>
            <w:pPr>
              <w:pStyle w:val="Compact"/>
              <w:jc w:val="center"/>
            </w:pPr>
            <w:r>
              <w:t xml:space="preserve">30.0</w:t>
            </w:r>
          </w:p>
        </w:tc>
        <w:tc>
          <w:tcPr/>
          <w:p>
            <w:pPr>
              <w:pStyle w:val="Compact"/>
              <w:jc w:val="center"/>
            </w:pPr>
            <w:r>
              <w:t xml:space="preserve">587.9515</w:t>
            </w:r>
          </w:p>
        </w:tc>
      </w:tr>
      <w:tr>
        <w:tc>
          <w:tcPr/>
          <w:p>
            <w:pPr>
              <w:pStyle w:val="Compact"/>
              <w:jc w:val="left"/>
            </w:pPr>
            <w:r>
              <w:t xml:space="preserve">Expected improvements</w:t>
            </w:r>
          </w:p>
        </w:tc>
        <w:tc>
          <w:tcPr/>
          <w:p>
            <w:pPr>
              <w:pStyle w:val="Compact"/>
              <w:jc w:val="center"/>
            </w:pPr>
            <w:r>
              <w:t xml:space="preserve">931</w:t>
            </w:r>
          </w:p>
        </w:tc>
        <w:tc>
          <w:tcPr/>
          <w:p>
            <w:pPr>
              <w:pStyle w:val="Compact"/>
              <w:jc w:val="center"/>
            </w:pPr>
            <w:r>
              <w:t xml:space="preserve">44.683136</w:t>
            </w:r>
          </w:p>
        </w:tc>
        <w:tc>
          <w:tcPr/>
          <w:p>
            <w:pPr>
              <w:pStyle w:val="Compact"/>
              <w:jc w:val="center"/>
            </w:pPr>
            <w:r>
              <w:t xml:space="preserve">5.477981</w:t>
            </w:r>
          </w:p>
        </w:tc>
        <w:tc>
          <w:tcPr/>
          <w:p>
            <w:pPr>
              <w:pStyle w:val="Compact"/>
              <w:jc w:val="center"/>
            </w:pPr>
            <w:r>
              <w:t xml:space="preserve">11</w:t>
            </w:r>
          </w:p>
        </w:tc>
        <w:tc>
          <w:tcPr/>
          <w:p>
            <w:pPr>
              <w:pStyle w:val="Compact"/>
              <w:jc w:val="center"/>
            </w:pPr>
            <w:r>
              <w:t xml:space="preserve">4</w:t>
            </w:r>
          </w:p>
        </w:tc>
        <w:tc>
          <w:tcPr/>
          <w:p>
            <w:pPr>
              <w:pStyle w:val="Compact"/>
              <w:jc w:val="center"/>
            </w:pPr>
            <w:r>
              <w:t xml:space="preserve">31.0</w:t>
            </w:r>
          </w:p>
        </w:tc>
        <w:tc>
          <w:tcPr/>
          <w:p>
            <w:pPr>
              <w:pStyle w:val="Compact"/>
              <w:jc w:val="center"/>
            </w:pPr>
            <w:r>
              <w:t xml:space="preserve">377.6039</w:t>
            </w:r>
          </w:p>
        </w:tc>
      </w:tr>
      <w:tr>
        <w:tc>
          <w:tcPr/>
          <w:p>
            <w:pPr>
              <w:pStyle w:val="Compact"/>
              <w:jc w:val="left"/>
            </w:pPr>
            <w:r>
              <w:t xml:space="preserve">Environment response</w:t>
            </w:r>
          </w:p>
        </w:tc>
        <w:tc>
          <w:tcPr/>
          <w:p>
            <w:pPr>
              <w:pStyle w:val="Compact"/>
              <w:jc w:val="center"/>
            </w:pPr>
            <w:r>
              <w:t xml:space="preserve">931</w:t>
            </w:r>
          </w:p>
        </w:tc>
        <w:tc>
          <w:tcPr/>
          <w:p>
            <w:pPr>
              <w:pStyle w:val="Compact"/>
              <w:jc w:val="center"/>
            </w:pPr>
            <w:r>
              <w:t xml:space="preserve">43.286788</w:t>
            </w:r>
          </w:p>
        </w:tc>
        <w:tc>
          <w:tcPr/>
          <w:p>
            <w:pPr>
              <w:pStyle w:val="Compact"/>
              <w:jc w:val="center"/>
            </w:pPr>
            <w:r>
              <w:t xml:space="preserve">12.137487</w:t>
            </w:r>
          </w:p>
        </w:tc>
        <w:tc>
          <w:tcPr/>
          <w:p>
            <w:pPr>
              <w:pStyle w:val="Compact"/>
              <w:jc w:val="center"/>
            </w:pPr>
            <w:r>
              <w:t xml:space="preserve">10</w:t>
            </w:r>
          </w:p>
        </w:tc>
        <w:tc>
          <w:tcPr/>
          <w:p>
            <w:pPr>
              <w:pStyle w:val="Compact"/>
              <w:jc w:val="center"/>
            </w:pPr>
            <w:r>
              <w:t xml:space="preserve">2</w:t>
            </w:r>
          </w:p>
        </w:tc>
        <w:tc>
          <w:tcPr/>
          <w:p>
            <w:pPr>
              <w:pStyle w:val="Compact"/>
              <w:jc w:val="center"/>
            </w:pPr>
            <w:r>
              <w:t xml:space="preserve">32.3</w:t>
            </w:r>
          </w:p>
        </w:tc>
        <w:tc>
          <w:tcPr/>
          <w:p>
            <w:pPr>
              <w:pStyle w:val="Compact"/>
              <w:jc w:val="center"/>
            </w:pPr>
            <w:r>
              <w:t xml:space="preserve">363.8619</w:t>
            </w:r>
          </w:p>
        </w:tc>
      </w:tr>
      <w:tr>
        <w:tc>
          <w:tcPr/>
          <w:p>
            <w:pPr>
              <w:pStyle w:val="Compact"/>
              <w:jc w:val="left"/>
            </w:pPr>
            <w:r>
              <w:t xml:space="preserve">No change required</w:t>
            </w:r>
          </w:p>
        </w:tc>
        <w:tc>
          <w:tcPr/>
          <w:p>
            <w:pPr>
              <w:pStyle w:val="Compact"/>
              <w:jc w:val="center"/>
            </w:pPr>
            <w:r>
              <w:t xml:space="preserve">931</w:t>
            </w:r>
          </w:p>
        </w:tc>
        <w:tc>
          <w:tcPr/>
          <w:p>
            <w:pPr>
              <w:pStyle w:val="Compact"/>
              <w:jc w:val="center"/>
            </w:pPr>
            <w:r>
              <w:t xml:space="preserve">71.321160</w:t>
            </w:r>
          </w:p>
        </w:tc>
        <w:tc>
          <w:tcPr/>
          <w:p>
            <w:pPr>
              <w:pStyle w:val="Compact"/>
              <w:jc w:val="center"/>
            </w:pPr>
            <w:r>
              <w:t xml:space="preserve">7.626208</w:t>
            </w:r>
          </w:p>
        </w:tc>
        <w:tc>
          <w:tcPr/>
          <w:p>
            <w:pPr>
              <w:pStyle w:val="Compact"/>
              <w:jc w:val="center"/>
            </w:pPr>
            <w:r>
              <w:t xml:space="preserve">6</w:t>
            </w:r>
          </w:p>
        </w:tc>
        <w:tc>
          <w:tcPr/>
          <w:p>
            <w:pPr>
              <w:pStyle w:val="Compact"/>
              <w:jc w:val="center"/>
            </w:pPr>
            <w:r>
              <w:t xml:space="preserve">2</w:t>
            </w:r>
          </w:p>
        </w:tc>
        <w:tc>
          <w:tcPr/>
          <w:p>
            <w:pPr>
              <w:pStyle w:val="Compact"/>
              <w:jc w:val="center"/>
            </w:pPr>
            <w:r>
              <w:t xml:space="preserve">19.0</w:t>
            </w:r>
          </w:p>
        </w:tc>
        <w:tc>
          <w:tcPr/>
          <w:p>
            <w:pPr>
              <w:pStyle w:val="Compact"/>
              <w:jc w:val="center"/>
            </w:pPr>
            <w:r>
              <w:t xml:space="preserve">275.3418</w:t>
            </w:r>
          </w:p>
        </w:tc>
      </w:tr>
      <w:tr>
        <w:tc>
          <w:tcPr/>
          <w:p>
            <w:pPr>
              <w:pStyle w:val="Compact"/>
              <w:jc w:val="left"/>
            </w:pPr>
            <w:r>
              <w:t xml:space="preserve">Problem description</w:t>
            </w:r>
          </w:p>
        </w:tc>
        <w:tc>
          <w:tcPr/>
          <w:p>
            <w:pPr>
              <w:pStyle w:val="Compact"/>
              <w:jc w:val="center"/>
            </w:pPr>
            <w:r>
              <w:t xml:space="preserve">931</w:t>
            </w:r>
          </w:p>
        </w:tc>
        <w:tc>
          <w:tcPr/>
          <w:p>
            <w:pPr>
              <w:pStyle w:val="Compact"/>
              <w:jc w:val="center"/>
            </w:pPr>
            <w:r>
              <w:t xml:space="preserve">11.170784</w:t>
            </w:r>
          </w:p>
        </w:tc>
        <w:tc>
          <w:tcPr/>
          <w:p>
            <w:pPr>
              <w:pStyle w:val="Compact"/>
              <w:jc w:val="center"/>
            </w:pPr>
            <w:r>
              <w:t xml:space="preserve">4.511278</w:t>
            </w:r>
          </w:p>
        </w:tc>
        <w:tc>
          <w:tcPr/>
          <w:p>
            <w:pPr>
              <w:pStyle w:val="Compact"/>
              <w:jc w:val="center"/>
            </w:pPr>
            <w:r>
              <w:t xml:space="preserve">22</w:t>
            </w:r>
          </w:p>
        </w:tc>
        <w:tc>
          <w:tcPr/>
          <w:p>
            <w:pPr>
              <w:pStyle w:val="Compact"/>
              <w:jc w:val="center"/>
            </w:pPr>
            <w:r>
              <w:t xml:space="preserve">6</w:t>
            </w:r>
          </w:p>
        </w:tc>
        <w:tc>
          <w:tcPr/>
          <w:p>
            <w:pPr>
              <w:pStyle w:val="Compact"/>
              <w:jc w:val="center"/>
            </w:pPr>
            <w:r>
              <w:t xml:space="preserve">50.4</w:t>
            </w:r>
          </w:p>
        </w:tc>
        <w:tc>
          <w:tcPr/>
          <w:p>
            <w:pPr>
              <w:pStyle w:val="Compact"/>
              <w:jc w:val="center"/>
            </w:pPr>
            <w:r>
              <w:t xml:space="preserve">687.7989</w:t>
            </w:r>
          </w:p>
        </w:tc>
      </w:tr>
      <w:tr>
        <w:tc>
          <w:tcPr/>
          <w:p>
            <w:pPr>
              <w:pStyle w:val="Compact"/>
              <w:jc w:val="left"/>
            </w:pPr>
            <w:r>
              <w:t xml:space="preserve">Impacted life areas</w:t>
            </w:r>
          </w:p>
        </w:tc>
        <w:tc>
          <w:tcPr/>
          <w:p>
            <w:pPr>
              <w:pStyle w:val="Compact"/>
              <w:jc w:val="center"/>
            </w:pPr>
            <w:r>
              <w:t xml:space="preserve">931</w:t>
            </w:r>
          </w:p>
        </w:tc>
        <w:tc>
          <w:tcPr/>
          <w:p>
            <w:pPr>
              <w:pStyle w:val="Compact"/>
              <w:jc w:val="center"/>
            </w:pPr>
            <w:r>
              <w:t xml:space="preserve">12.996778</w:t>
            </w:r>
          </w:p>
        </w:tc>
        <w:tc>
          <w:tcPr/>
          <w:p>
            <w:pPr>
              <w:pStyle w:val="Compact"/>
              <w:jc w:val="center"/>
            </w:pPr>
            <w:r>
              <w:t xml:space="preserve">31.256713</w:t>
            </w:r>
          </w:p>
        </w:tc>
        <w:tc>
          <w:tcPr/>
          <w:p>
            <w:pPr>
              <w:pStyle w:val="Compact"/>
              <w:jc w:val="center"/>
            </w:pPr>
            <w:r>
              <w:t xml:space="preserve">6</w:t>
            </w:r>
          </w:p>
        </w:tc>
        <w:tc>
          <w:tcPr/>
          <w:p>
            <w:pPr>
              <w:pStyle w:val="Compact"/>
              <w:jc w:val="center"/>
            </w:pPr>
            <w:r>
              <w:t xml:space="preserve">2</w:t>
            </w:r>
          </w:p>
        </w:tc>
        <w:tc>
          <w:tcPr/>
          <w:p>
            <w:pPr>
              <w:pStyle w:val="Compact"/>
              <w:jc w:val="center"/>
            </w:pPr>
            <w:r>
              <w:t xml:space="preserve">31.1</w:t>
            </w:r>
          </w:p>
        </w:tc>
        <w:tc>
          <w:tcPr/>
          <w:p>
            <w:pPr>
              <w:pStyle w:val="Compact"/>
              <w:jc w:val="center"/>
            </w:pPr>
            <w:r>
              <w:t xml:space="preserve">438.1475</w:t>
            </w:r>
          </w:p>
        </w:tc>
      </w:tr>
      <w:tr>
        <w:tc>
          <w:tcPr/>
          <w:p>
            <w:pPr>
              <w:pStyle w:val="Compact"/>
              <w:jc w:val="left"/>
            </w:pPr>
            <w:r>
              <w:t xml:space="preserve">Therapy goals</w:t>
            </w:r>
          </w:p>
        </w:tc>
        <w:tc>
          <w:tcPr/>
          <w:p>
            <w:pPr>
              <w:pStyle w:val="Compact"/>
              <w:jc w:val="center"/>
            </w:pPr>
            <w:r>
              <w:t xml:space="preserve">931</w:t>
            </w:r>
          </w:p>
        </w:tc>
        <w:tc>
          <w:tcPr/>
          <w:p>
            <w:pPr>
              <w:pStyle w:val="Compact"/>
              <w:jc w:val="center"/>
            </w:pPr>
            <w:r>
              <w:t xml:space="preserve">9.881847</w:t>
            </w:r>
          </w:p>
        </w:tc>
        <w:tc>
          <w:tcPr/>
          <w:p>
            <w:pPr>
              <w:pStyle w:val="Compact"/>
              <w:jc w:val="center"/>
            </w:pPr>
            <w:r>
              <w:t xml:space="preserve">5.477981</w:t>
            </w:r>
          </w:p>
        </w:tc>
        <w:tc>
          <w:tcPr/>
          <w:p>
            <w:pPr>
              <w:pStyle w:val="Compact"/>
              <w:jc w:val="center"/>
            </w:pPr>
            <w:r>
              <w:t xml:space="preserve">15</w:t>
            </w:r>
          </w:p>
        </w:tc>
        <w:tc>
          <w:tcPr/>
          <w:p>
            <w:pPr>
              <w:pStyle w:val="Compact"/>
              <w:jc w:val="center"/>
            </w:pPr>
            <w:r>
              <w:t xml:space="preserve">5</w:t>
            </w:r>
          </w:p>
        </w:tc>
        <w:tc>
          <w:tcPr/>
          <w:p>
            <w:pPr>
              <w:pStyle w:val="Compact"/>
              <w:jc w:val="center"/>
            </w:pPr>
            <w:r>
              <w:t xml:space="preserve">36.0</w:t>
            </w:r>
          </w:p>
        </w:tc>
        <w:tc>
          <w:tcPr/>
          <w:p>
            <w:pPr>
              <w:pStyle w:val="Compact"/>
              <w:jc w:val="center"/>
            </w:pPr>
            <w:r>
              <w:t xml:space="preserve">435.7618</w:t>
            </w:r>
          </w:p>
        </w:tc>
      </w:tr>
    </w:tbl>
    <w:bookmarkEnd w:id="46"/>
    <w:bookmarkStart w:id="47" w:name="diagnosis-1"/>
    <w:p>
      <w:pPr>
        <w:pStyle w:val="Heading3"/>
      </w:pPr>
      <w:r>
        <w:t xml:space="preserve">Diagnosis</w:t>
      </w:r>
    </w:p>
    <w:p>
      <w:pPr>
        <w:pStyle w:val="TableCaption"/>
      </w:pPr>
      <w:r>
        <w:t xml:space="preserve">DSM-5 diagnoses in the sample (absolute frequencies)</w:t>
      </w:r>
    </w:p>
    <w:tbl>
      <w:tblPr>
        <w:tblStyle w:val="Table"/>
        <w:tblW w:type="pct" w:w="5000"/>
        <w:tblLayout w:type="fixed"/>
        <w:tblLook w:firstRow="1" w:lastRow="0" w:firstColumn="0" w:lastColumn="0" w:noHBand="0" w:noVBand="0" w:val="0020"/>
        <w:tblCaption w:val="DSM-5 diagnoses in the sample (absolute frequencies)"/>
      </w:tblPr>
      <w:tblGrid>
        <w:gridCol w:w="4593"/>
        <w:gridCol w:w="1504"/>
        <w:gridCol w:w="1821"/>
      </w:tblGrid>
      <w:tr>
        <w:trPr>
          <w:tblHeader w:val="on"/>
        </w:trPr>
        <w:tc>
          <w:tcPr/>
          <w:p>
            <w:pPr>
              <w:pStyle w:val="Compact"/>
              <w:jc w:val="left"/>
            </w:pPr>
            <w:r>
              <w:t xml:space="preserve">DSM-5 diagnosis</w:t>
            </w:r>
          </w:p>
        </w:tc>
        <w:tc>
          <w:tcPr/>
          <w:p>
            <w:pPr>
              <w:pStyle w:val="Compact"/>
              <w:jc w:val="center"/>
            </w:pPr>
            <w:r>
              <w:t xml:space="preserve">All diagnoses (n)</w:t>
            </w:r>
          </w:p>
        </w:tc>
        <w:tc>
          <w:tcPr/>
          <w:p>
            <w:pPr>
              <w:pStyle w:val="Compact"/>
              <w:jc w:val="center"/>
            </w:pPr>
            <w:r>
              <w:t xml:space="preserve">Primary diagnoses (n)</w:t>
            </w:r>
          </w:p>
        </w:tc>
      </w:tr>
      <w:tr>
        <w:tc>
          <w:tcPr/>
          <w:p>
            <w:pPr>
              <w:pStyle w:val="Compact"/>
              <w:jc w:val="left"/>
            </w:pPr>
            <w:r>
              <w:t xml:space="preserve">Major Depression (all subtypes)</w:t>
            </w:r>
          </w:p>
        </w:tc>
        <w:tc>
          <w:tcPr/>
          <w:p>
            <w:pPr>
              <w:pStyle w:val="Compact"/>
              <w:jc w:val="center"/>
            </w:pPr>
            <w:r>
              <w:t xml:space="preserve">331</w:t>
            </w:r>
          </w:p>
        </w:tc>
        <w:tc>
          <w:tcPr/>
          <w:p>
            <w:pPr>
              <w:pStyle w:val="Compact"/>
              <w:jc w:val="center"/>
            </w:pPr>
            <w:r>
              <w:t xml:space="preserve">251</w:t>
            </w:r>
          </w:p>
        </w:tc>
      </w:tr>
      <w:tr>
        <w:tc>
          <w:tcPr/>
          <w:p>
            <w:pPr>
              <w:pStyle w:val="Compact"/>
              <w:jc w:val="left"/>
            </w:pPr>
            <w:r>
              <w:t xml:space="preserve">Persistent Depressive Disorder (Dysthymia)</w:t>
            </w:r>
          </w:p>
        </w:tc>
        <w:tc>
          <w:tcPr/>
          <w:p>
            <w:pPr>
              <w:pStyle w:val="Compact"/>
              <w:jc w:val="center"/>
            </w:pPr>
            <w:r>
              <w:t xml:space="preserve">124</w:t>
            </w:r>
          </w:p>
        </w:tc>
        <w:tc>
          <w:tcPr/>
          <w:p>
            <w:pPr>
              <w:pStyle w:val="Compact"/>
              <w:jc w:val="center"/>
            </w:pPr>
            <w:r>
              <w:t xml:space="preserve">89</w:t>
            </w:r>
          </w:p>
        </w:tc>
      </w:tr>
      <w:tr>
        <w:tc>
          <w:tcPr/>
          <w:p>
            <w:pPr>
              <w:pStyle w:val="Compact"/>
              <w:jc w:val="left"/>
            </w:pPr>
            <w:r>
              <w:t xml:space="preserve">Social Anxiety Disorder (Social Phobia)</w:t>
            </w:r>
          </w:p>
        </w:tc>
        <w:tc>
          <w:tcPr/>
          <w:p>
            <w:pPr>
              <w:pStyle w:val="Compact"/>
              <w:jc w:val="center"/>
            </w:pPr>
            <w:r>
              <w:t xml:space="preserve">103</w:t>
            </w:r>
          </w:p>
        </w:tc>
        <w:tc>
          <w:tcPr/>
          <w:p>
            <w:pPr>
              <w:pStyle w:val="Compact"/>
              <w:jc w:val="center"/>
            </w:pPr>
            <w:r>
              <w:t xml:space="preserve">56</w:t>
            </w:r>
          </w:p>
        </w:tc>
      </w:tr>
      <w:tr>
        <w:tc>
          <w:tcPr/>
          <w:p>
            <w:pPr>
              <w:pStyle w:val="Compact"/>
              <w:jc w:val="left"/>
            </w:pPr>
            <w:r>
              <w:t xml:space="preserve">Posttraumatic Stress Disorder</w:t>
            </w:r>
          </w:p>
        </w:tc>
        <w:tc>
          <w:tcPr/>
          <w:p>
            <w:pPr>
              <w:pStyle w:val="Compact"/>
              <w:jc w:val="center"/>
            </w:pPr>
            <w:r>
              <w:t xml:space="preserve">65</w:t>
            </w:r>
          </w:p>
        </w:tc>
        <w:tc>
          <w:tcPr/>
          <w:p>
            <w:pPr>
              <w:pStyle w:val="Compact"/>
              <w:jc w:val="center"/>
            </w:pPr>
            <w:r>
              <w:t xml:space="preserve">33</w:t>
            </w:r>
          </w:p>
        </w:tc>
      </w:tr>
      <w:tr>
        <w:tc>
          <w:tcPr/>
          <w:p>
            <w:pPr>
              <w:pStyle w:val="Compact"/>
              <w:jc w:val="left"/>
            </w:pPr>
            <w:r>
              <w:t xml:space="preserve">Agoraphobia</w:t>
            </w:r>
          </w:p>
        </w:tc>
        <w:tc>
          <w:tcPr/>
          <w:p>
            <w:pPr>
              <w:pStyle w:val="Compact"/>
              <w:jc w:val="center"/>
            </w:pPr>
            <w:r>
              <w:t xml:space="preserve">59</w:t>
            </w:r>
          </w:p>
        </w:tc>
        <w:tc>
          <w:tcPr/>
          <w:p>
            <w:pPr>
              <w:pStyle w:val="Compact"/>
              <w:jc w:val="center"/>
            </w:pPr>
            <w:r>
              <w:t xml:space="preserve">34</w:t>
            </w:r>
          </w:p>
        </w:tc>
      </w:tr>
      <w:tr>
        <w:tc>
          <w:tcPr/>
          <w:p>
            <w:pPr>
              <w:pStyle w:val="Compact"/>
              <w:jc w:val="left"/>
            </w:pPr>
            <w:r>
              <w:t xml:space="preserve">Panic Disorder</w:t>
            </w:r>
          </w:p>
        </w:tc>
        <w:tc>
          <w:tcPr/>
          <w:p>
            <w:pPr>
              <w:pStyle w:val="Compact"/>
              <w:jc w:val="center"/>
            </w:pPr>
            <w:r>
              <w:t xml:space="preserve">54</w:t>
            </w:r>
          </w:p>
        </w:tc>
        <w:tc>
          <w:tcPr/>
          <w:p>
            <w:pPr>
              <w:pStyle w:val="Compact"/>
              <w:jc w:val="center"/>
            </w:pPr>
            <w:r>
              <w:t xml:space="preserve">28</w:t>
            </w:r>
          </w:p>
        </w:tc>
      </w:tr>
      <w:tr>
        <w:tc>
          <w:tcPr/>
          <w:p>
            <w:pPr>
              <w:pStyle w:val="Compact"/>
              <w:jc w:val="left"/>
            </w:pPr>
            <w:r>
              <w:t xml:space="preserve">Adjustment Disorder with Depressed Mood</w:t>
            </w:r>
          </w:p>
        </w:tc>
        <w:tc>
          <w:tcPr/>
          <w:p>
            <w:pPr>
              <w:pStyle w:val="Compact"/>
              <w:jc w:val="center"/>
            </w:pPr>
            <w:r>
              <w:t xml:space="preserve">40</w:t>
            </w:r>
          </w:p>
        </w:tc>
        <w:tc>
          <w:tcPr/>
          <w:p>
            <w:pPr>
              <w:pStyle w:val="Compact"/>
              <w:jc w:val="center"/>
            </w:pPr>
            <w:r>
              <w:t xml:space="preserve">40</w:t>
            </w:r>
          </w:p>
        </w:tc>
      </w:tr>
      <w:tr>
        <w:tc>
          <w:tcPr/>
          <w:p>
            <w:pPr>
              <w:pStyle w:val="Compact"/>
              <w:jc w:val="left"/>
            </w:pPr>
            <w:r>
              <w:t xml:space="preserve">Generalized Anxiety Disorder</w:t>
            </w:r>
          </w:p>
        </w:tc>
        <w:tc>
          <w:tcPr/>
          <w:p>
            <w:pPr>
              <w:pStyle w:val="Compact"/>
              <w:jc w:val="center"/>
            </w:pPr>
            <w:r>
              <w:t xml:space="preserve">36</w:t>
            </w:r>
          </w:p>
        </w:tc>
        <w:tc>
          <w:tcPr/>
          <w:p>
            <w:pPr>
              <w:pStyle w:val="Compact"/>
              <w:jc w:val="center"/>
            </w:pPr>
            <w:r>
              <w:t xml:space="preserve">22</w:t>
            </w:r>
          </w:p>
        </w:tc>
      </w:tr>
      <w:tr>
        <w:tc>
          <w:tcPr/>
          <w:p>
            <w:pPr>
              <w:pStyle w:val="Compact"/>
              <w:jc w:val="left"/>
            </w:pPr>
            <w:r>
              <w:t xml:space="preserve">Borderline Personality Disorder</w:t>
            </w:r>
          </w:p>
        </w:tc>
        <w:tc>
          <w:tcPr/>
          <w:p>
            <w:pPr>
              <w:pStyle w:val="Compact"/>
              <w:jc w:val="center"/>
            </w:pPr>
            <w:r>
              <w:t xml:space="preserve">31</w:t>
            </w:r>
          </w:p>
        </w:tc>
        <w:tc>
          <w:tcPr/>
          <w:p>
            <w:pPr>
              <w:pStyle w:val="Compact"/>
              <w:jc w:val="center"/>
            </w:pPr>
            <w:r>
              <w:t xml:space="preserve">20</w:t>
            </w:r>
          </w:p>
        </w:tc>
      </w:tr>
      <w:tr>
        <w:tc>
          <w:tcPr/>
          <w:p>
            <w:pPr>
              <w:pStyle w:val="Compact"/>
              <w:jc w:val="left"/>
            </w:pPr>
            <w:r>
              <w:t xml:space="preserve">Somatic Symptom Disorder</w:t>
            </w:r>
          </w:p>
        </w:tc>
        <w:tc>
          <w:tcPr/>
          <w:p>
            <w:pPr>
              <w:pStyle w:val="Compact"/>
              <w:jc w:val="center"/>
            </w:pPr>
            <w:r>
              <w:t xml:space="preserve">28</w:t>
            </w:r>
          </w:p>
        </w:tc>
        <w:tc>
          <w:tcPr/>
          <w:p>
            <w:pPr>
              <w:pStyle w:val="Compact"/>
              <w:jc w:val="center"/>
            </w:pPr>
            <w:r>
              <w:t xml:space="preserve">20</w:t>
            </w:r>
          </w:p>
        </w:tc>
      </w:tr>
      <w:tr>
        <w:tc>
          <w:tcPr/>
          <w:p>
            <w:pPr>
              <w:pStyle w:val="Compact"/>
              <w:jc w:val="left"/>
            </w:pPr>
            <w:r>
              <w:t xml:space="preserve">Obsessive-Compulsive Disorder</w:t>
            </w:r>
          </w:p>
        </w:tc>
        <w:tc>
          <w:tcPr/>
          <w:p>
            <w:pPr>
              <w:pStyle w:val="Compact"/>
              <w:jc w:val="center"/>
            </w:pPr>
            <w:r>
              <w:t xml:space="preserve">25</w:t>
            </w:r>
          </w:p>
        </w:tc>
        <w:tc>
          <w:tcPr/>
          <w:p>
            <w:pPr>
              <w:pStyle w:val="Compact"/>
              <w:jc w:val="center"/>
            </w:pPr>
            <w:r>
              <w:t xml:space="preserve">16</w:t>
            </w:r>
          </w:p>
        </w:tc>
      </w:tr>
      <w:tr>
        <w:tc>
          <w:tcPr/>
          <w:p>
            <w:pPr>
              <w:pStyle w:val="Compact"/>
              <w:jc w:val="left"/>
            </w:pPr>
            <w:r>
              <w:t xml:space="preserve">Adjustment Disorder with Mixed Anxiety and Depressed Mood</w:t>
            </w:r>
          </w:p>
        </w:tc>
        <w:tc>
          <w:tcPr/>
          <w:p>
            <w:pPr>
              <w:pStyle w:val="Compact"/>
              <w:jc w:val="center"/>
            </w:pPr>
            <w:r>
              <w:t xml:space="preserve">16</w:t>
            </w:r>
          </w:p>
        </w:tc>
        <w:tc>
          <w:tcPr/>
          <w:p>
            <w:pPr>
              <w:pStyle w:val="Compact"/>
              <w:jc w:val="center"/>
            </w:pPr>
            <w:r>
              <w:t xml:space="preserve">16</w:t>
            </w:r>
          </w:p>
        </w:tc>
      </w:tr>
      <w:tr>
        <w:tc>
          <w:tcPr/>
          <w:p>
            <w:pPr>
              <w:pStyle w:val="Compact"/>
              <w:jc w:val="left"/>
            </w:pPr>
            <w:r>
              <w:t xml:space="preserve">Specific Phobia, Situational Type</w:t>
            </w:r>
          </w:p>
        </w:tc>
        <w:tc>
          <w:tcPr/>
          <w:p>
            <w:pPr>
              <w:pStyle w:val="Compact"/>
              <w:jc w:val="center"/>
            </w:pPr>
            <w:r>
              <w:t xml:space="preserve">15</w:t>
            </w:r>
          </w:p>
        </w:tc>
        <w:tc>
          <w:tcPr/>
          <w:p>
            <w:pPr>
              <w:pStyle w:val="Compact"/>
              <w:jc w:val="center"/>
            </w:pPr>
            <w:r>
              <w:t xml:space="preserve">6</w:t>
            </w:r>
          </w:p>
        </w:tc>
      </w:tr>
      <w:tr>
        <w:tc>
          <w:tcPr/>
          <w:p>
            <w:pPr>
              <w:pStyle w:val="Compact"/>
              <w:jc w:val="left"/>
            </w:pPr>
            <w:r>
              <w:t xml:space="preserve">Binge-Eating Disorder</w:t>
            </w:r>
          </w:p>
        </w:tc>
        <w:tc>
          <w:tcPr/>
          <w:p>
            <w:pPr>
              <w:pStyle w:val="Compact"/>
              <w:jc w:val="center"/>
            </w:pPr>
            <w:r>
              <w:t xml:space="preserve">14</w:t>
            </w:r>
          </w:p>
        </w:tc>
        <w:tc>
          <w:tcPr/>
          <w:p>
            <w:pPr>
              <w:pStyle w:val="Compact"/>
              <w:jc w:val="center"/>
            </w:pPr>
            <w:r>
              <w:t xml:space="preserve">3</w:t>
            </w:r>
          </w:p>
        </w:tc>
      </w:tr>
      <w:tr>
        <w:tc>
          <w:tcPr/>
          <w:p>
            <w:pPr>
              <w:pStyle w:val="Compact"/>
              <w:jc w:val="left"/>
            </w:pPr>
            <w:r>
              <w:t xml:space="preserve">Insomnia Disorder</w:t>
            </w:r>
          </w:p>
        </w:tc>
        <w:tc>
          <w:tcPr/>
          <w:p>
            <w:pPr>
              <w:pStyle w:val="Compact"/>
              <w:jc w:val="center"/>
            </w:pPr>
            <w:r>
              <w:t xml:space="preserve">14</w:t>
            </w:r>
          </w:p>
        </w:tc>
        <w:tc>
          <w:tcPr/>
          <w:p>
            <w:pPr>
              <w:pStyle w:val="Compact"/>
              <w:jc w:val="center"/>
            </w:pPr>
            <w:r>
              <w:t xml:space="preserve">3</w:t>
            </w:r>
          </w:p>
        </w:tc>
      </w:tr>
      <w:tr>
        <w:tc>
          <w:tcPr/>
          <w:p>
            <w:pPr>
              <w:pStyle w:val="Compact"/>
              <w:jc w:val="left"/>
            </w:pPr>
            <w:r>
              <w:t xml:space="preserve">Separation Anxiety Disorder</w:t>
            </w:r>
          </w:p>
        </w:tc>
        <w:tc>
          <w:tcPr/>
          <w:p>
            <w:pPr>
              <w:pStyle w:val="Compact"/>
              <w:jc w:val="center"/>
            </w:pPr>
            <w:r>
              <w:t xml:space="preserve">13</w:t>
            </w:r>
          </w:p>
        </w:tc>
        <w:tc>
          <w:tcPr/>
          <w:p>
            <w:pPr>
              <w:pStyle w:val="Compact"/>
              <w:jc w:val="center"/>
            </w:pPr>
            <w:r>
              <w:t xml:space="preserve">3</w:t>
            </w:r>
          </w:p>
        </w:tc>
      </w:tr>
      <w:tr>
        <w:tc>
          <w:tcPr/>
          <w:p>
            <w:pPr>
              <w:pStyle w:val="Compact"/>
              <w:jc w:val="left"/>
            </w:pPr>
            <w:r>
              <w:t xml:space="preserve">Adjustment Disorder, Unspecified</w:t>
            </w:r>
          </w:p>
        </w:tc>
        <w:tc>
          <w:tcPr/>
          <w:p>
            <w:pPr>
              <w:pStyle w:val="Compact"/>
              <w:jc w:val="center"/>
            </w:pPr>
            <w:r>
              <w:t xml:space="preserve">11</w:t>
            </w:r>
          </w:p>
        </w:tc>
        <w:tc>
          <w:tcPr/>
          <w:p>
            <w:pPr>
              <w:pStyle w:val="Compact"/>
              <w:jc w:val="center"/>
            </w:pPr>
            <w:r>
              <w:t xml:space="preserve">9</w:t>
            </w:r>
          </w:p>
        </w:tc>
      </w:tr>
      <w:tr>
        <w:tc>
          <w:tcPr/>
          <w:p>
            <w:pPr>
              <w:pStyle w:val="Compact"/>
              <w:jc w:val="left"/>
            </w:pPr>
            <w:r>
              <w:t xml:space="preserve">Illness Anxiety Disorder</w:t>
            </w:r>
          </w:p>
        </w:tc>
        <w:tc>
          <w:tcPr/>
          <w:p>
            <w:pPr>
              <w:pStyle w:val="Compact"/>
              <w:jc w:val="center"/>
            </w:pPr>
            <w:r>
              <w:t xml:space="preserve">11</w:t>
            </w:r>
          </w:p>
        </w:tc>
        <w:tc>
          <w:tcPr/>
          <w:p>
            <w:pPr>
              <w:pStyle w:val="Compact"/>
              <w:jc w:val="center"/>
            </w:pPr>
            <w:r>
              <w:t xml:space="preserve">4</w:t>
            </w:r>
          </w:p>
        </w:tc>
      </w:tr>
      <w:tr>
        <w:tc>
          <w:tcPr/>
          <w:p>
            <w:pPr>
              <w:pStyle w:val="Compact"/>
              <w:jc w:val="left"/>
            </w:pPr>
            <w:r>
              <w:t xml:space="preserve">Alcohol Use Disorder, Moderate</w:t>
            </w:r>
          </w:p>
        </w:tc>
        <w:tc>
          <w:tcPr/>
          <w:p>
            <w:pPr>
              <w:pStyle w:val="Compact"/>
              <w:jc w:val="center"/>
            </w:pPr>
            <w:r>
              <w:t xml:space="preserve">10</w:t>
            </w:r>
          </w:p>
        </w:tc>
        <w:tc>
          <w:tcPr/>
          <w:p>
            <w:pPr>
              <w:pStyle w:val="Compact"/>
              <w:jc w:val="center"/>
            </w:pPr>
            <w:r>
              <w:t xml:space="preserve">3</w:t>
            </w:r>
          </w:p>
        </w:tc>
      </w:tr>
      <w:tr>
        <w:tc>
          <w:tcPr/>
          <w:p>
            <w:pPr>
              <w:pStyle w:val="Compact"/>
              <w:jc w:val="left"/>
            </w:pPr>
            <w:r>
              <w:t xml:space="preserve">Specific Phobia, Natural Environment Type</w:t>
            </w:r>
          </w:p>
        </w:tc>
        <w:tc>
          <w:tcPr/>
          <w:p>
            <w:pPr>
              <w:pStyle w:val="Compact"/>
              <w:jc w:val="center"/>
            </w:pPr>
            <w:r>
              <w:t xml:space="preserve">10</w:t>
            </w:r>
          </w:p>
        </w:tc>
        <w:tc>
          <w:tcPr/>
          <w:p>
            <w:pPr>
              <w:pStyle w:val="Compact"/>
              <w:jc w:val="center"/>
            </w:pPr>
            <w:r>
              <w:t xml:space="preserve">1</w:t>
            </w:r>
          </w:p>
        </w:tc>
      </w:tr>
      <w:tr>
        <w:tc>
          <w:tcPr/>
          <w:p>
            <w:pPr>
              <w:pStyle w:val="Compact"/>
              <w:jc w:val="left"/>
            </w:pPr>
            <w:r>
              <w:t xml:space="preserve">Other diagnoses (&lt;10)</w:t>
            </w:r>
          </w:p>
        </w:tc>
        <w:tc>
          <w:tcPr/>
          <w:p>
            <w:pPr>
              <w:pStyle w:val="Compact"/>
              <w:jc w:val="center"/>
            </w:pPr>
            <w:r>
              <w:t xml:space="preserve">166</w:t>
            </w:r>
          </w:p>
        </w:tc>
        <w:tc>
          <w:tcPr/>
          <w:p>
            <w:pPr>
              <w:pStyle w:val="Compact"/>
              <w:jc w:val="center"/>
            </w:pPr>
            <w:r>
              <w:t xml:space="preserve">75</w:t>
            </w:r>
          </w:p>
        </w:tc>
      </w:tr>
    </w:tbl>
    <w:p>
      <w:pPr>
        <w:pStyle w:val="BodyText"/>
      </w:pPr>
      <w:r>
        <w:t xml:space="preserve">Diagnoses were collapsed for display. Only diagnoses with ≥10 occurrences are shown individually; remaining diagnoses are summarized as</w:t>
      </w:r>
      <w:r>
        <w:t xml:space="preserve"> </w:t>
      </w:r>
      <w:r>
        <w:t xml:space="preserve">“Other diagnoses (&lt;10)”</w:t>
      </w:r>
      <w:r>
        <w:t xml:space="preserve">.</w:t>
      </w:r>
    </w:p>
    <w:bookmarkEnd w:id="47"/>
    <w:bookmarkStart w:id="48" w:name="psychometric-measures-1"/>
    <w:p>
      <w:pPr>
        <w:pStyle w:val="Heading3"/>
      </w:pPr>
      <w:r>
        <w:t xml:space="preserve">psychometric measures</w:t>
      </w:r>
    </w:p>
    <w:p>
      <w:pPr>
        <w:pStyle w:val="FirstParagraph"/>
      </w:pPr>
      <w:r>
        <w:t xml:space="preserve">Due to substantial dropout and differences in treatment duration, descriptive statistics across therapy phases are based on changing subsamples. In particular, patients continuing into long-term therapy represent a more severe and chronic subgroup. To avoid conflating symptom severity with symptom change, two complementary descriptive tables are reported.</w:t>
      </w:r>
    </w:p>
    <w:p>
      <w:pPr>
        <w:pStyle w:val="BodyText"/>
      </w:pPr>
      <w:r>
        <w:t xml:space="preserve">Table 1 presents descriptive statistics for symptom measures at each assessment timepoint. Sample sizes decrease substantially across therapy phases, reflecting treatment completion and dropout. Consequently, means at later timepoints do not represent longitudinal change within individuals and should not be interpreted as symptom worsening.</w:t>
      </w:r>
    </w:p>
    <w:tbl>
      <w:tblPr>
        <w:tblStyle w:val="Table"/>
        <w:tblW w:type="pct" w:w="5000"/>
        <w:tblLayout w:type="fixed"/>
        <w:tblLook w:firstRow="1" w:lastRow="0" w:firstColumn="0" w:lastColumn="0" w:noHBand="0" w:noVBand="0" w:val="0020"/>
      </w:tblPr>
      <w:tblGrid>
        <w:gridCol w:w="2259"/>
        <w:gridCol w:w="664"/>
        <w:gridCol w:w="717"/>
        <w:gridCol w:w="717"/>
        <w:gridCol w:w="717"/>
        <w:gridCol w:w="717"/>
        <w:gridCol w:w="717"/>
        <w:gridCol w:w="691"/>
        <w:gridCol w:w="717"/>
      </w:tblGrid>
      <w:tr>
        <w:trPr>
          <w:tblHeader w:val="on"/>
        </w:trPr>
        <w:tc>
          <w:tcPr/>
          <w:p>
            <w:pPr>
              <w:pStyle w:val="Compact"/>
              <w:jc w:val="left"/>
            </w:pPr>
            <w:r>
              <w:t xml:space="preserve">Scale</w:t>
            </w:r>
          </w:p>
        </w:tc>
        <w:tc>
          <w:tcPr/>
          <w:p>
            <w:pPr>
              <w:pStyle w:val="Compact"/>
              <w:jc w:val="center"/>
            </w:pPr>
            <w:r>
              <w:t xml:space="preserve">DI</w:t>
            </w:r>
          </w:p>
        </w:tc>
        <w:tc>
          <w:tcPr/>
          <w:p>
            <w:pPr>
              <w:pStyle w:val="Compact"/>
              <w:jc w:val="center"/>
            </w:pPr>
            <w:r>
              <w:t xml:space="preserve">DU-Prä</w:t>
            </w:r>
          </w:p>
        </w:tc>
        <w:tc>
          <w:tcPr/>
          <w:p>
            <w:pPr>
              <w:pStyle w:val="Compact"/>
              <w:jc w:val="center"/>
            </w:pPr>
            <w:r>
              <w:t xml:space="preserve">KZT1-DU4</w:t>
            </w:r>
          </w:p>
        </w:tc>
        <w:tc>
          <w:tcPr/>
          <w:p>
            <w:pPr>
              <w:pStyle w:val="Compact"/>
              <w:jc w:val="center"/>
            </w:pPr>
            <w:r>
              <w:t xml:space="preserve">KZT1-DUPost</w:t>
            </w:r>
          </w:p>
        </w:tc>
        <w:tc>
          <w:tcPr/>
          <w:p>
            <w:pPr>
              <w:pStyle w:val="Compact"/>
              <w:jc w:val="center"/>
            </w:pPr>
            <w:r>
              <w:t xml:space="preserve">KZT2-DUPost</w:t>
            </w:r>
          </w:p>
        </w:tc>
        <w:tc>
          <w:tcPr/>
          <w:p>
            <w:pPr>
              <w:pStyle w:val="Compact"/>
              <w:jc w:val="center"/>
            </w:pPr>
            <w:r>
              <w:t xml:space="preserve">LZT1-DUPost</w:t>
            </w:r>
          </w:p>
        </w:tc>
        <w:tc>
          <w:tcPr/>
          <w:p>
            <w:pPr>
              <w:pStyle w:val="Compact"/>
              <w:jc w:val="center"/>
            </w:pPr>
            <w:r>
              <w:t xml:space="preserve">LZT2-DUPost</w:t>
            </w:r>
          </w:p>
        </w:tc>
        <w:tc>
          <w:tcPr/>
          <w:p>
            <w:pPr>
              <w:pStyle w:val="Compact"/>
              <w:jc w:val="center"/>
            </w:pPr>
            <w:r>
              <w:t xml:space="preserve">DU-Kat6</w:t>
            </w:r>
          </w:p>
        </w:tc>
      </w:tr>
      <w:tr>
        <w:tc>
          <w:tcPr/>
          <w:p>
            <w:pPr>
              <w:pStyle w:val="Compact"/>
              <w:jc w:val="left"/>
            </w:pPr>
            <w:r>
              <w:t xml:space="preserve">BDI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Sum</w:t>
            </w:r>
          </w:p>
        </w:tc>
        <w:tc>
          <w:tcPr/>
          <w:p>
            <w:pPr>
              <w:pStyle w:val="Compact"/>
            </w:pPr>
          </w:p>
        </w:tc>
        <w:tc>
          <w:tcPr/>
          <w:p>
            <w:pPr>
              <w:pStyle w:val="Compact"/>
              <w:jc w:val="center"/>
            </w:pPr>
            <w:r>
              <w:t xml:space="preserve">23.45 ± 12.52</w:t>
            </w:r>
            <w:r>
              <w:t xml:space="preserve"> </w:t>
            </w:r>
            <w:r>
              <w:t xml:space="preserve">n = 595</w:t>
            </w:r>
          </w:p>
        </w:tc>
        <w:tc>
          <w:tcPr/>
          <w:p>
            <w:pPr>
              <w:pStyle w:val="Compact"/>
              <w:jc w:val="center"/>
            </w:pPr>
            <w:r>
              <w:t xml:space="preserve">19.12 ± 11.23</w:t>
            </w:r>
            <w:r>
              <w:t xml:space="preserve"> </w:t>
            </w:r>
            <w:r>
              <w:t xml:space="preserve">n = 272</w:t>
            </w:r>
          </w:p>
        </w:tc>
        <w:tc>
          <w:tcPr/>
          <w:p>
            <w:pPr>
              <w:pStyle w:val="Compact"/>
              <w:jc w:val="center"/>
            </w:pPr>
            <w:r>
              <w:t xml:space="preserve">16.42 ± 12.16</w:t>
            </w:r>
            <w:r>
              <w:t xml:space="preserve"> </w:t>
            </w:r>
            <w:r>
              <w:t xml:space="preserve">n = 390</w:t>
            </w:r>
          </w:p>
        </w:tc>
        <w:tc>
          <w:tcPr/>
          <w:p>
            <w:pPr>
              <w:pStyle w:val="Compact"/>
              <w:jc w:val="center"/>
            </w:pPr>
            <w:r>
              <w:t xml:space="preserve">14.98 ± 12.40</w:t>
            </w:r>
            <w:r>
              <w:t xml:space="preserve"> </w:t>
            </w:r>
            <w:r>
              <w:t xml:space="preserve">n = 299</w:t>
            </w:r>
          </w:p>
        </w:tc>
        <w:tc>
          <w:tcPr/>
          <w:p>
            <w:pPr>
              <w:pStyle w:val="Compact"/>
              <w:jc w:val="center"/>
            </w:pPr>
            <w:r>
              <w:t xml:space="preserve">14.53 ± 12.35</w:t>
            </w:r>
            <w:r>
              <w:t xml:space="preserve"> </w:t>
            </w:r>
            <w:r>
              <w:t xml:space="preserve">n = 118</w:t>
            </w:r>
          </w:p>
        </w:tc>
        <w:tc>
          <w:tcPr/>
          <w:p>
            <w:pPr>
              <w:pStyle w:val="Compact"/>
              <w:jc w:val="center"/>
            </w:pPr>
            <w:r>
              <w:t xml:space="preserve">15.34 ± 12.42</w:t>
            </w:r>
            <w:r>
              <w:t xml:space="preserve"> </w:t>
            </w:r>
            <w:r>
              <w:t xml:space="preserve">n = 29</w:t>
            </w:r>
          </w:p>
        </w:tc>
        <w:tc>
          <w:tcPr/>
          <w:p>
            <w:pPr>
              <w:pStyle w:val="Compact"/>
              <w:jc w:val="center"/>
            </w:pPr>
            <w:r>
              <w:t xml:space="preserve">12.96 ± 11.53</w:t>
            </w:r>
            <w:r>
              <w:t xml:space="preserve"> </w:t>
            </w:r>
            <w:r>
              <w:t xml:space="preserve">n = 211</w:t>
            </w:r>
          </w:p>
        </w:tc>
      </w:tr>
      <w:tr>
        <w:tc>
          <w:tcPr/>
          <w:p>
            <w:pPr>
              <w:pStyle w:val="Compact"/>
              <w:jc w:val="left"/>
            </w:pPr>
            <w:r>
              <w:t xml:space="preserve">BSI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GSI</w:t>
            </w:r>
          </w:p>
        </w:tc>
        <w:tc>
          <w:tcPr/>
          <w:p>
            <w:pPr>
              <w:pStyle w:val="Compact"/>
              <w:jc w:val="center"/>
            </w:pPr>
            <w:r>
              <w:t xml:space="preserve">1.24 ± 0.71</w:t>
            </w:r>
            <w:r>
              <w:t xml:space="preserve"> </w:t>
            </w:r>
            <w:r>
              <w:t xml:space="preserve">n = 495</w:t>
            </w:r>
          </w:p>
        </w:tc>
        <w:tc>
          <w:tcPr/>
          <w:p>
            <w:pPr>
              <w:pStyle w:val="Compact"/>
            </w:pPr>
          </w:p>
        </w:tc>
        <w:tc>
          <w:tcPr/>
          <w:p>
            <w:pPr>
              <w:pStyle w:val="Compact"/>
              <w:jc w:val="center"/>
            </w:pPr>
            <w:r>
              <w:t xml:space="preserve">1.08 ± 0.67</w:t>
            </w:r>
            <w:r>
              <w:t xml:space="preserve"> </w:t>
            </w:r>
            <w:r>
              <w:t xml:space="preserve">n = 275</w:t>
            </w:r>
          </w:p>
        </w:tc>
        <w:tc>
          <w:tcPr/>
          <w:p>
            <w:pPr>
              <w:pStyle w:val="Compact"/>
              <w:jc w:val="center"/>
            </w:pPr>
            <w:r>
              <w:t xml:space="preserve">1.01 ± 0.68</w:t>
            </w:r>
            <w:r>
              <w:t xml:space="preserve"> </w:t>
            </w:r>
            <w:r>
              <w:t xml:space="preserve">n = 403</w:t>
            </w:r>
          </w:p>
        </w:tc>
        <w:tc>
          <w:tcPr/>
          <w:p>
            <w:pPr>
              <w:pStyle w:val="Compact"/>
              <w:jc w:val="center"/>
            </w:pPr>
            <w:r>
              <w:t xml:space="preserve">0.84 ± 0.67</w:t>
            </w:r>
            <w:r>
              <w:t xml:space="preserve"> </w:t>
            </w:r>
            <w:r>
              <w:t xml:space="preserve">n = 314</w:t>
            </w:r>
          </w:p>
        </w:tc>
        <w:tc>
          <w:tcPr/>
          <w:p>
            <w:pPr>
              <w:pStyle w:val="Compact"/>
              <w:jc w:val="center"/>
            </w:pPr>
            <w:r>
              <w:t xml:space="preserve">1.03 ± 0.73</w:t>
            </w:r>
            <w:r>
              <w:t xml:space="preserve"> </w:t>
            </w:r>
            <w:r>
              <w:t xml:space="preserve">n = 124</w:t>
            </w:r>
          </w:p>
        </w:tc>
        <w:tc>
          <w:tcPr/>
          <w:p>
            <w:pPr>
              <w:pStyle w:val="Compact"/>
              <w:jc w:val="center"/>
            </w:pPr>
            <w:r>
              <w:t xml:space="preserve">1.07 ± 0.62</w:t>
            </w:r>
            <w:r>
              <w:t xml:space="preserve"> </w:t>
            </w:r>
            <w:r>
              <w:t xml:space="preserve">n = 30</w:t>
            </w:r>
          </w:p>
        </w:tc>
        <w:tc>
          <w:tcPr/>
          <w:p>
            <w:pPr>
              <w:pStyle w:val="Compact"/>
              <w:jc w:val="center"/>
            </w:pPr>
            <w:r>
              <w:t xml:space="preserve">0.84 ± 0.68</w:t>
            </w:r>
            <w:r>
              <w:t xml:space="preserve"> </w:t>
            </w:r>
            <w:r>
              <w:t xml:space="preserve">n = 231</w:t>
            </w:r>
          </w:p>
        </w:tc>
      </w:tr>
      <w:tr>
        <w:tc>
          <w:tcPr/>
          <w:p>
            <w:pPr>
              <w:pStyle w:val="Compact"/>
              <w:jc w:val="left"/>
            </w:pPr>
            <w:r>
              <w:t xml:space="preserve">CGI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improvement patient</w:t>
            </w:r>
          </w:p>
        </w:tc>
        <w:tc>
          <w:tcPr/>
          <w:p>
            <w:pPr>
              <w:pStyle w:val="Compact"/>
            </w:pPr>
          </w:p>
        </w:tc>
        <w:tc>
          <w:tcPr/>
          <w:p>
            <w:pPr>
              <w:pStyle w:val="Compact"/>
            </w:pPr>
          </w:p>
        </w:tc>
        <w:tc>
          <w:tcPr/>
          <w:p>
            <w:pPr>
              <w:pStyle w:val="Compact"/>
            </w:pPr>
          </w:p>
        </w:tc>
        <w:tc>
          <w:tcPr/>
          <w:p>
            <w:pPr>
              <w:pStyle w:val="Compact"/>
              <w:jc w:val="center"/>
            </w:pPr>
            <w:r>
              <w:t xml:space="preserve">2.36 ± 1.13</w:t>
            </w:r>
            <w:r>
              <w:t xml:space="preserve"> </w:t>
            </w:r>
            <w:r>
              <w:t xml:space="preserve">n = 358</w:t>
            </w:r>
          </w:p>
        </w:tc>
        <w:tc>
          <w:tcPr/>
          <w:p>
            <w:pPr>
              <w:pStyle w:val="Compact"/>
              <w:jc w:val="center"/>
            </w:pPr>
            <w:r>
              <w:t xml:space="preserve">2.17 ± 1.08</w:t>
            </w:r>
            <w:r>
              <w:t xml:space="preserve"> </w:t>
            </w:r>
            <w:r>
              <w:t xml:space="preserve">n = 272</w:t>
            </w:r>
          </w:p>
        </w:tc>
        <w:tc>
          <w:tcPr/>
          <w:p>
            <w:pPr>
              <w:pStyle w:val="Compact"/>
              <w:jc w:val="center"/>
            </w:pPr>
            <w:r>
              <w:t xml:space="preserve">1.90 ± 0.93</w:t>
            </w:r>
            <w:r>
              <w:t xml:space="preserve"> </w:t>
            </w:r>
            <w:r>
              <w:t xml:space="preserve">n = 117</w:t>
            </w:r>
          </w:p>
        </w:tc>
        <w:tc>
          <w:tcPr/>
          <w:p>
            <w:pPr>
              <w:pStyle w:val="Compact"/>
              <w:jc w:val="center"/>
            </w:pPr>
            <w:r>
              <w:t xml:space="preserve">1.77 ± 0.57</w:t>
            </w:r>
            <w:r>
              <w:t xml:space="preserve"> </w:t>
            </w:r>
            <w:r>
              <w:t xml:space="preserve">n = 30</w:t>
            </w:r>
          </w:p>
        </w:tc>
        <w:tc>
          <w:tcPr/>
          <w:p>
            <w:pPr>
              <w:pStyle w:val="Compact"/>
              <w:jc w:val="center"/>
            </w:pPr>
            <w:r>
              <w:t xml:space="preserve">2.26 ± 1.41</w:t>
            </w:r>
            <w:r>
              <w:t xml:space="preserve"> </w:t>
            </w:r>
            <w:r>
              <w:t xml:space="preserve">n = 220</w:t>
            </w:r>
          </w:p>
        </w:tc>
      </w:tr>
      <w:tr>
        <w:tc>
          <w:tcPr/>
          <w:p>
            <w:pPr>
              <w:pStyle w:val="Compact"/>
              <w:jc w:val="left"/>
            </w:pPr>
            <w:r>
              <w:t xml:space="preserve">improvement therapist</w:t>
            </w:r>
          </w:p>
        </w:tc>
        <w:tc>
          <w:tcPr/>
          <w:p>
            <w:pPr>
              <w:pStyle w:val="Compact"/>
            </w:pPr>
          </w:p>
        </w:tc>
        <w:tc>
          <w:tcPr/>
          <w:p>
            <w:pPr>
              <w:pStyle w:val="Compact"/>
            </w:pPr>
          </w:p>
        </w:tc>
        <w:tc>
          <w:tcPr/>
          <w:p>
            <w:pPr>
              <w:pStyle w:val="Compact"/>
            </w:pPr>
          </w:p>
        </w:tc>
        <w:tc>
          <w:tcPr/>
          <w:p>
            <w:pPr>
              <w:pStyle w:val="Compact"/>
              <w:jc w:val="center"/>
            </w:pPr>
            <w:r>
              <w:t xml:space="preserve">2.73 ± 0.83</w:t>
            </w:r>
            <w:r>
              <w:t xml:space="preserve"> </w:t>
            </w:r>
            <w:r>
              <w:t xml:space="preserve">n = 269</w:t>
            </w:r>
          </w:p>
        </w:tc>
        <w:tc>
          <w:tcPr/>
          <w:p>
            <w:pPr>
              <w:pStyle w:val="Compact"/>
              <w:jc w:val="center"/>
            </w:pPr>
            <w:r>
              <w:t xml:space="preserve">2.33 ± 0.93</w:t>
            </w:r>
            <w:r>
              <w:t xml:space="preserve"> </w:t>
            </w:r>
            <w:r>
              <w:t xml:space="preserve">n = 182</w:t>
            </w:r>
          </w:p>
        </w:tc>
        <w:tc>
          <w:tcPr/>
          <w:p>
            <w:pPr>
              <w:pStyle w:val="Compact"/>
              <w:jc w:val="center"/>
            </w:pPr>
            <w:r>
              <w:t xml:space="preserve">2.03 ± 0.65</w:t>
            </w:r>
            <w:r>
              <w:t xml:space="preserve"> </w:t>
            </w:r>
            <w:r>
              <w:t xml:space="preserve">n = 68</w:t>
            </w:r>
          </w:p>
        </w:tc>
        <w:tc>
          <w:tcPr/>
          <w:p>
            <w:pPr>
              <w:pStyle w:val="Compact"/>
              <w:jc w:val="center"/>
            </w:pPr>
            <w:r>
              <w:t xml:space="preserve">1.89 ± 0.58</w:t>
            </w:r>
            <w:r>
              <w:t xml:space="preserve"> </w:t>
            </w:r>
            <w:r>
              <w:t xml:space="preserve">n = 18</w:t>
            </w:r>
          </w:p>
        </w:tc>
        <w:tc>
          <w:tcPr/>
          <w:p>
            <w:pPr>
              <w:pStyle w:val="Compact"/>
              <w:jc w:val="center"/>
            </w:pPr>
            <w:r>
              <w:t xml:space="preserve">1.74 ± 1.29</w:t>
            </w:r>
            <w:r>
              <w:t xml:space="preserve"> </w:t>
            </w:r>
            <w:r>
              <w:t xml:space="preserve">n = 53</w:t>
            </w:r>
          </w:p>
        </w:tc>
      </w:tr>
      <w:tr>
        <w:tc>
          <w:tcPr/>
          <w:p>
            <w:pPr>
              <w:pStyle w:val="Compact"/>
              <w:jc w:val="left"/>
            </w:pPr>
            <w:r>
              <w:t xml:space="preserve">DASS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Anxiety</w:t>
            </w:r>
          </w:p>
        </w:tc>
        <w:tc>
          <w:tcPr/>
          <w:p>
            <w:pPr>
              <w:pStyle w:val="Compact"/>
            </w:pPr>
          </w:p>
        </w:tc>
        <w:tc>
          <w:tcPr/>
          <w:p>
            <w:pPr>
              <w:pStyle w:val="Compact"/>
              <w:jc w:val="center"/>
            </w:pPr>
            <w:r>
              <w:t xml:space="preserve">11.62 ± 8.27</w:t>
            </w:r>
            <w:r>
              <w:t xml:space="preserve"> </w:t>
            </w:r>
            <w:r>
              <w:t xml:space="preserve">n = 425</w:t>
            </w:r>
          </w:p>
        </w:tc>
        <w:tc>
          <w:tcPr/>
          <w:p>
            <w:pPr>
              <w:pStyle w:val="Compact"/>
              <w:jc w:val="center"/>
            </w:pPr>
            <w:r>
              <w:t xml:space="preserve">9.16 ± 7.30</w:t>
            </w:r>
            <w:r>
              <w:t xml:space="preserve"> </w:t>
            </w:r>
            <w:r>
              <w:t xml:space="preserve">n = 146</w:t>
            </w:r>
          </w:p>
        </w:tc>
        <w:tc>
          <w:tcPr/>
          <w:p>
            <w:pPr>
              <w:pStyle w:val="Compact"/>
              <w:jc w:val="center"/>
            </w:pPr>
            <w:r>
              <w:t xml:space="preserve">8.07 ± 7.78</w:t>
            </w:r>
            <w:r>
              <w:t xml:space="preserve"> </w:t>
            </w:r>
            <w:r>
              <w:t xml:space="preserve">n = 283</w:t>
            </w:r>
          </w:p>
        </w:tc>
        <w:tc>
          <w:tcPr/>
          <w:p>
            <w:pPr>
              <w:pStyle w:val="Compact"/>
              <w:jc w:val="center"/>
            </w:pPr>
            <w:r>
              <w:t xml:space="preserve">7.22 ± 7.19</w:t>
            </w:r>
            <w:r>
              <w:t xml:space="preserve"> </w:t>
            </w:r>
            <w:r>
              <w:t xml:space="preserve">n = 236</w:t>
            </w:r>
          </w:p>
        </w:tc>
        <w:tc>
          <w:tcPr/>
          <w:p>
            <w:pPr>
              <w:pStyle w:val="Compact"/>
              <w:jc w:val="center"/>
            </w:pPr>
            <w:r>
              <w:t xml:space="preserve">8.26 ± 7.93</w:t>
            </w:r>
            <w:r>
              <w:t xml:space="preserve"> </w:t>
            </w:r>
            <w:r>
              <w:t xml:space="preserve">n = 85</w:t>
            </w:r>
          </w:p>
        </w:tc>
        <w:tc>
          <w:tcPr/>
          <w:p>
            <w:pPr>
              <w:pStyle w:val="Compact"/>
              <w:jc w:val="center"/>
            </w:pPr>
            <w:r>
              <w:t xml:space="preserve">6.81 ± 8.11</w:t>
            </w:r>
            <w:r>
              <w:t xml:space="preserve"> </w:t>
            </w:r>
            <w:r>
              <w:t xml:space="preserve">n = 21</w:t>
            </w:r>
          </w:p>
        </w:tc>
        <w:tc>
          <w:tcPr/>
          <w:p>
            <w:pPr>
              <w:pStyle w:val="Compact"/>
              <w:jc w:val="center"/>
            </w:pPr>
            <w:r>
              <w:t xml:space="preserve">6.66 ± 7.17</w:t>
            </w:r>
            <w:r>
              <w:t xml:space="preserve"> </w:t>
            </w:r>
            <w:r>
              <w:t xml:space="preserve">n = 223</w:t>
            </w:r>
          </w:p>
        </w:tc>
      </w:tr>
      <w:tr>
        <w:tc>
          <w:tcPr/>
          <w:p>
            <w:pPr>
              <w:pStyle w:val="Compact"/>
              <w:jc w:val="left"/>
            </w:pPr>
            <w:r>
              <w:t xml:space="preserve">Depression</w:t>
            </w:r>
          </w:p>
        </w:tc>
        <w:tc>
          <w:tcPr/>
          <w:p>
            <w:pPr>
              <w:pStyle w:val="Compact"/>
            </w:pPr>
          </w:p>
        </w:tc>
        <w:tc>
          <w:tcPr/>
          <w:p>
            <w:pPr>
              <w:pStyle w:val="Compact"/>
              <w:jc w:val="center"/>
            </w:pPr>
            <w:r>
              <w:t xml:space="preserve">19.37 ± 11.10</w:t>
            </w:r>
            <w:r>
              <w:t xml:space="preserve"> </w:t>
            </w:r>
            <w:r>
              <w:t xml:space="preserve">n = 425</w:t>
            </w:r>
          </w:p>
        </w:tc>
        <w:tc>
          <w:tcPr/>
          <w:p>
            <w:pPr>
              <w:pStyle w:val="Compact"/>
              <w:jc w:val="center"/>
            </w:pPr>
            <w:r>
              <w:t xml:space="preserve">16.38 ± 10.18</w:t>
            </w:r>
            <w:r>
              <w:t xml:space="preserve"> </w:t>
            </w:r>
            <w:r>
              <w:t xml:space="preserve">n = 146</w:t>
            </w:r>
          </w:p>
        </w:tc>
        <w:tc>
          <w:tcPr/>
          <w:p>
            <w:pPr>
              <w:pStyle w:val="Compact"/>
              <w:jc w:val="center"/>
            </w:pPr>
            <w:r>
              <w:t xml:space="preserve">13.03 ± 10.60</w:t>
            </w:r>
            <w:r>
              <w:t xml:space="preserve"> </w:t>
            </w:r>
            <w:r>
              <w:t xml:space="preserve">n = 283</w:t>
            </w:r>
          </w:p>
        </w:tc>
        <w:tc>
          <w:tcPr/>
          <w:p>
            <w:pPr>
              <w:pStyle w:val="Compact"/>
              <w:jc w:val="center"/>
            </w:pPr>
            <w:r>
              <w:t xml:space="preserve">12.60 ± 11.09</w:t>
            </w:r>
            <w:r>
              <w:t xml:space="preserve"> </w:t>
            </w:r>
            <w:r>
              <w:t xml:space="preserve">n = 236</w:t>
            </w:r>
          </w:p>
        </w:tc>
        <w:tc>
          <w:tcPr/>
          <w:p>
            <w:pPr>
              <w:pStyle w:val="Compact"/>
              <w:jc w:val="center"/>
            </w:pPr>
            <w:r>
              <w:t xml:space="preserve">11.13 ± 9.92</w:t>
            </w:r>
            <w:r>
              <w:t xml:space="preserve"> </w:t>
            </w:r>
            <w:r>
              <w:t xml:space="preserve">n = 85</w:t>
            </w:r>
          </w:p>
        </w:tc>
        <w:tc>
          <w:tcPr/>
          <w:p>
            <w:pPr>
              <w:pStyle w:val="Compact"/>
              <w:jc w:val="center"/>
            </w:pPr>
            <w:r>
              <w:t xml:space="preserve">11.95 ± 9.54</w:t>
            </w:r>
            <w:r>
              <w:t xml:space="preserve"> </w:t>
            </w:r>
            <w:r>
              <w:t xml:space="preserve">n = 21</w:t>
            </w:r>
          </w:p>
        </w:tc>
        <w:tc>
          <w:tcPr/>
          <w:p>
            <w:pPr>
              <w:pStyle w:val="Compact"/>
              <w:jc w:val="center"/>
            </w:pPr>
            <w:r>
              <w:t xml:space="preserve">11.39 ± 10.70</w:t>
            </w:r>
            <w:r>
              <w:t xml:space="preserve"> </w:t>
            </w:r>
            <w:r>
              <w:t xml:space="preserve">n = 223</w:t>
            </w:r>
          </w:p>
        </w:tc>
      </w:tr>
      <w:tr>
        <w:tc>
          <w:tcPr/>
          <w:p>
            <w:pPr>
              <w:pStyle w:val="Compact"/>
              <w:jc w:val="left"/>
            </w:pPr>
            <w:r>
              <w:t xml:space="preserve">Stress</w:t>
            </w:r>
          </w:p>
        </w:tc>
        <w:tc>
          <w:tcPr/>
          <w:p>
            <w:pPr>
              <w:pStyle w:val="Compact"/>
            </w:pPr>
          </w:p>
        </w:tc>
        <w:tc>
          <w:tcPr/>
          <w:p>
            <w:pPr>
              <w:pStyle w:val="Compact"/>
              <w:jc w:val="center"/>
            </w:pPr>
            <w:r>
              <w:t xml:space="preserve">18.91 ± 9.29</w:t>
            </w:r>
            <w:r>
              <w:t xml:space="preserve"> </w:t>
            </w:r>
            <w:r>
              <w:t xml:space="preserve">n = 425</w:t>
            </w:r>
          </w:p>
        </w:tc>
        <w:tc>
          <w:tcPr/>
          <w:p>
            <w:pPr>
              <w:pStyle w:val="Compact"/>
              <w:jc w:val="center"/>
            </w:pPr>
            <w:r>
              <w:t xml:space="preserve">16.23 ± 8.74</w:t>
            </w:r>
            <w:r>
              <w:t xml:space="preserve"> </w:t>
            </w:r>
            <w:r>
              <w:t xml:space="preserve">n = 146</w:t>
            </w:r>
          </w:p>
        </w:tc>
        <w:tc>
          <w:tcPr/>
          <w:p>
            <w:pPr>
              <w:pStyle w:val="Compact"/>
              <w:jc w:val="center"/>
            </w:pPr>
            <w:r>
              <w:t xml:space="preserve">14.56 ± 9.31</w:t>
            </w:r>
            <w:r>
              <w:t xml:space="preserve"> </w:t>
            </w:r>
            <w:r>
              <w:t xml:space="preserve">n = 283</w:t>
            </w:r>
          </w:p>
        </w:tc>
        <w:tc>
          <w:tcPr/>
          <w:p>
            <w:pPr>
              <w:pStyle w:val="Compact"/>
              <w:jc w:val="center"/>
            </w:pPr>
            <w:r>
              <w:t xml:space="preserve">12.56 ± 9.33</w:t>
            </w:r>
            <w:r>
              <w:t xml:space="preserve"> </w:t>
            </w:r>
            <w:r>
              <w:t xml:space="preserve">n = 236</w:t>
            </w:r>
          </w:p>
        </w:tc>
        <w:tc>
          <w:tcPr/>
          <w:p>
            <w:pPr>
              <w:pStyle w:val="Compact"/>
              <w:jc w:val="center"/>
            </w:pPr>
            <w:r>
              <w:t xml:space="preserve">13.73 ± 9.83</w:t>
            </w:r>
            <w:r>
              <w:t xml:space="preserve"> </w:t>
            </w:r>
            <w:r>
              <w:t xml:space="preserve">n = 85</w:t>
            </w:r>
          </w:p>
        </w:tc>
        <w:tc>
          <w:tcPr/>
          <w:p>
            <w:pPr>
              <w:pStyle w:val="Compact"/>
              <w:jc w:val="center"/>
            </w:pPr>
            <w:r>
              <w:t xml:space="preserve">12.90 ± 9.04</w:t>
            </w:r>
            <w:r>
              <w:t xml:space="preserve"> </w:t>
            </w:r>
            <w:r>
              <w:t xml:space="preserve">n = 21</w:t>
            </w:r>
          </w:p>
        </w:tc>
        <w:tc>
          <w:tcPr/>
          <w:p>
            <w:pPr>
              <w:pStyle w:val="Compact"/>
              <w:jc w:val="center"/>
            </w:pPr>
            <w:r>
              <w:t xml:space="preserve">12.66 ± 9.97</w:t>
            </w:r>
            <w:r>
              <w:t xml:space="preserve"> </w:t>
            </w:r>
            <w:r>
              <w:t xml:space="preserve">n = 223</w:t>
            </w:r>
          </w:p>
        </w:tc>
      </w:tr>
      <w:tr>
        <w:tc>
          <w:tcPr/>
          <w:p>
            <w:pPr>
              <w:pStyle w:val="Compact"/>
              <w:jc w:val="left"/>
            </w:pPr>
            <w:r>
              <w:t xml:space="preserve">Total</w:t>
            </w:r>
          </w:p>
        </w:tc>
        <w:tc>
          <w:tcPr/>
          <w:p>
            <w:pPr>
              <w:pStyle w:val="Compact"/>
            </w:pPr>
          </w:p>
        </w:tc>
        <w:tc>
          <w:tcPr/>
          <w:p>
            <w:pPr>
              <w:pStyle w:val="Compact"/>
              <w:jc w:val="center"/>
            </w:pPr>
            <w:r>
              <w:t xml:space="preserve">49.90 ± 24.23</w:t>
            </w:r>
            <w:r>
              <w:t xml:space="preserve"> </w:t>
            </w:r>
            <w:r>
              <w:t xml:space="preserve">n = 425</w:t>
            </w:r>
          </w:p>
        </w:tc>
        <w:tc>
          <w:tcPr/>
          <w:p>
            <w:pPr>
              <w:pStyle w:val="Compact"/>
              <w:jc w:val="center"/>
            </w:pPr>
            <w:r>
              <w:t xml:space="preserve">41.77 ± 22.44</w:t>
            </w:r>
            <w:r>
              <w:t xml:space="preserve"> </w:t>
            </w:r>
            <w:r>
              <w:t xml:space="preserve">n = 146</w:t>
            </w:r>
          </w:p>
        </w:tc>
        <w:tc>
          <w:tcPr/>
          <w:p>
            <w:pPr>
              <w:pStyle w:val="Compact"/>
              <w:jc w:val="center"/>
            </w:pPr>
            <w:r>
              <w:t xml:space="preserve">35.65 ± 24.47</w:t>
            </w:r>
            <w:r>
              <w:t xml:space="preserve"> </w:t>
            </w:r>
            <w:r>
              <w:t xml:space="preserve">n = 283</w:t>
            </w:r>
          </w:p>
        </w:tc>
        <w:tc>
          <w:tcPr/>
          <w:p>
            <w:pPr>
              <w:pStyle w:val="Compact"/>
              <w:jc w:val="center"/>
            </w:pPr>
            <w:r>
              <w:t xml:space="preserve">32.38 ± 24.56</w:t>
            </w:r>
            <w:r>
              <w:t xml:space="preserve"> </w:t>
            </w:r>
            <w:r>
              <w:t xml:space="preserve">n = 236</w:t>
            </w:r>
          </w:p>
        </w:tc>
        <w:tc>
          <w:tcPr/>
          <w:p>
            <w:pPr>
              <w:pStyle w:val="Compact"/>
              <w:jc w:val="center"/>
            </w:pPr>
            <w:r>
              <w:t xml:space="preserve">33.12 ± 25.07</w:t>
            </w:r>
            <w:r>
              <w:t xml:space="preserve"> </w:t>
            </w:r>
            <w:r>
              <w:t xml:space="preserve">n = 85</w:t>
            </w:r>
          </w:p>
        </w:tc>
        <w:tc>
          <w:tcPr/>
          <w:p>
            <w:pPr>
              <w:pStyle w:val="Compact"/>
              <w:jc w:val="center"/>
            </w:pPr>
            <w:r>
              <w:t xml:space="preserve">31.67 ± 23.42</w:t>
            </w:r>
            <w:r>
              <w:t xml:space="preserve"> </w:t>
            </w:r>
            <w:r>
              <w:t xml:space="preserve">n = 21</w:t>
            </w:r>
          </w:p>
        </w:tc>
        <w:tc>
          <w:tcPr/>
          <w:p>
            <w:pPr>
              <w:pStyle w:val="Compact"/>
              <w:jc w:val="center"/>
            </w:pPr>
            <w:r>
              <w:t xml:space="preserve">30.72 ± 25.00</w:t>
            </w:r>
            <w:r>
              <w:t xml:space="preserve"> </w:t>
            </w:r>
            <w:r>
              <w:t xml:space="preserve">n = 223</w:t>
            </w:r>
          </w:p>
        </w:tc>
      </w:tr>
      <w:tr>
        <w:tc>
          <w:tcPr/>
          <w:p>
            <w:pPr>
              <w:pStyle w:val="Compact"/>
              <w:jc w:val="left"/>
            </w:pPr>
            <w:r>
              <w:t xml:space="preserve">GAS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pt mean</w:t>
            </w:r>
          </w:p>
        </w:tc>
        <w:tc>
          <w:tcPr/>
          <w:p>
            <w:pPr>
              <w:pStyle w:val="Compact"/>
            </w:pPr>
          </w:p>
        </w:tc>
        <w:tc>
          <w:tcPr/>
          <w:p>
            <w:pPr>
              <w:pStyle w:val="Compact"/>
            </w:pPr>
          </w:p>
        </w:tc>
        <w:tc>
          <w:tcPr/>
          <w:p>
            <w:pPr>
              <w:pStyle w:val="Compact"/>
            </w:pPr>
          </w:p>
        </w:tc>
        <w:tc>
          <w:tcPr/>
          <w:p>
            <w:pPr>
              <w:pStyle w:val="Compact"/>
              <w:jc w:val="center"/>
            </w:pPr>
            <w:r>
              <w:t xml:space="preserve">1.48 ± 1.03</w:t>
            </w:r>
            <w:r>
              <w:t xml:space="preserve"> </w:t>
            </w:r>
            <w:r>
              <w:t xml:space="preserve">n = 282</w:t>
            </w:r>
          </w:p>
        </w:tc>
        <w:tc>
          <w:tcPr/>
          <w:p>
            <w:pPr>
              <w:pStyle w:val="Compact"/>
              <w:jc w:val="center"/>
            </w:pPr>
            <w:r>
              <w:t xml:space="preserve">2.03 ± 1.10</w:t>
            </w:r>
            <w:r>
              <w:t xml:space="preserve"> </w:t>
            </w:r>
            <w:r>
              <w:t xml:space="preserve">n = 235</w:t>
            </w:r>
          </w:p>
        </w:tc>
        <w:tc>
          <w:tcPr/>
          <w:p>
            <w:pPr>
              <w:pStyle w:val="Compact"/>
              <w:jc w:val="center"/>
            </w:pPr>
            <w:r>
              <w:t xml:space="preserve">2.12 ± 1.08</w:t>
            </w:r>
            <w:r>
              <w:t xml:space="preserve"> </w:t>
            </w:r>
            <w:r>
              <w:t xml:space="preserve">n = 101</w:t>
            </w:r>
          </w:p>
        </w:tc>
        <w:tc>
          <w:tcPr/>
          <w:p>
            <w:pPr>
              <w:pStyle w:val="Compact"/>
              <w:jc w:val="center"/>
            </w:pPr>
            <w:r>
              <w:t xml:space="preserve">2.48 ± 0.84</w:t>
            </w:r>
            <w:r>
              <w:t xml:space="preserve"> </w:t>
            </w:r>
            <w:r>
              <w:t xml:space="preserve">n = 24</w:t>
            </w:r>
          </w:p>
        </w:tc>
        <w:tc>
          <w:tcPr/>
          <w:p>
            <w:pPr>
              <w:pStyle w:val="Compact"/>
              <w:jc w:val="center"/>
            </w:pPr>
            <w:r>
              <w:t xml:space="preserve">2.25 ± 1.15</w:t>
            </w:r>
            <w:r>
              <w:t xml:space="preserve"> </w:t>
            </w:r>
            <w:r>
              <w:t xml:space="preserve">n = 102</w:t>
            </w:r>
          </w:p>
        </w:tc>
      </w:tr>
      <w:tr>
        <w:tc>
          <w:tcPr/>
          <w:p>
            <w:pPr>
              <w:pStyle w:val="Compact"/>
              <w:jc w:val="left"/>
            </w:pPr>
            <w:r>
              <w:t xml:space="preserve">th mean</w:t>
            </w:r>
          </w:p>
        </w:tc>
        <w:tc>
          <w:tcPr/>
          <w:p>
            <w:pPr>
              <w:pStyle w:val="Compact"/>
            </w:pPr>
          </w:p>
        </w:tc>
        <w:tc>
          <w:tcPr/>
          <w:p>
            <w:pPr>
              <w:pStyle w:val="Compact"/>
            </w:pPr>
          </w:p>
        </w:tc>
        <w:tc>
          <w:tcPr/>
          <w:p>
            <w:pPr>
              <w:pStyle w:val="Compact"/>
            </w:pPr>
          </w:p>
        </w:tc>
        <w:tc>
          <w:tcPr/>
          <w:p>
            <w:pPr>
              <w:pStyle w:val="Compact"/>
              <w:jc w:val="center"/>
            </w:pPr>
            <w:r>
              <w:t xml:space="preserve">1.49 ± 1.02</w:t>
            </w:r>
            <w:r>
              <w:t xml:space="preserve"> </w:t>
            </w:r>
            <w:r>
              <w:t xml:space="preserve">n = 217</w:t>
            </w:r>
          </w:p>
        </w:tc>
        <w:tc>
          <w:tcPr/>
          <w:p>
            <w:pPr>
              <w:pStyle w:val="Compact"/>
              <w:jc w:val="center"/>
            </w:pPr>
            <w:r>
              <w:t xml:space="preserve">2.09 ± 1.08</w:t>
            </w:r>
            <w:r>
              <w:t xml:space="preserve"> </w:t>
            </w:r>
            <w:r>
              <w:t xml:space="preserve">n = 160</w:t>
            </w:r>
          </w:p>
        </w:tc>
        <w:tc>
          <w:tcPr/>
          <w:p>
            <w:pPr>
              <w:pStyle w:val="Compact"/>
              <w:jc w:val="center"/>
            </w:pPr>
            <w:r>
              <w:t xml:space="preserve">2.53 ± 0.94</w:t>
            </w:r>
            <w:r>
              <w:t xml:space="preserve"> </w:t>
            </w:r>
            <w:r>
              <w:t xml:space="preserve">n = 57</w:t>
            </w:r>
          </w:p>
        </w:tc>
        <w:tc>
          <w:tcPr/>
          <w:p>
            <w:pPr>
              <w:pStyle w:val="Compact"/>
              <w:jc w:val="center"/>
            </w:pPr>
            <w:r>
              <w:t xml:space="preserve">2.98 ± 0.62</w:t>
            </w:r>
            <w:r>
              <w:t xml:space="preserve"> </w:t>
            </w:r>
            <w:r>
              <w:t xml:space="preserve">n = 14</w:t>
            </w:r>
          </w:p>
        </w:tc>
        <w:tc>
          <w:tcPr/>
          <w:p>
            <w:pPr>
              <w:pStyle w:val="Compact"/>
            </w:pPr>
          </w:p>
        </w:tc>
      </w:tr>
      <w:tr>
        <w:tc>
          <w:tcPr/>
          <w:p>
            <w:pPr>
              <w:pStyle w:val="Compact"/>
              <w:jc w:val="left"/>
            </w:pPr>
            <w:r>
              <w:t xml:space="preserve">Global ratings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pt benefit</w:t>
            </w:r>
          </w:p>
        </w:tc>
        <w:tc>
          <w:tcPr/>
          <w:p>
            <w:pPr>
              <w:pStyle w:val="Compact"/>
            </w:pPr>
          </w:p>
        </w:tc>
        <w:tc>
          <w:tcPr/>
          <w:p>
            <w:pPr>
              <w:pStyle w:val="Compact"/>
            </w:pPr>
          </w:p>
        </w:tc>
        <w:tc>
          <w:tcPr/>
          <w:p>
            <w:pPr>
              <w:pStyle w:val="Compact"/>
            </w:pPr>
          </w:p>
        </w:tc>
        <w:tc>
          <w:tcPr/>
          <w:p>
            <w:pPr>
              <w:pStyle w:val="Compact"/>
              <w:jc w:val="center"/>
            </w:pPr>
            <w:r>
              <w:t xml:space="preserve">4.59 ± 1.03</w:t>
            </w:r>
            <w:r>
              <w:t xml:space="preserve"> </w:t>
            </w:r>
            <w:r>
              <w:t xml:space="preserve">n = 404</w:t>
            </w:r>
          </w:p>
        </w:tc>
        <w:tc>
          <w:tcPr/>
          <w:p>
            <w:pPr>
              <w:pStyle w:val="Compact"/>
              <w:jc w:val="center"/>
            </w:pPr>
            <w:r>
              <w:t xml:space="preserve">4.95 ± 0.96</w:t>
            </w:r>
            <w:r>
              <w:t xml:space="preserve"> </w:t>
            </w:r>
            <w:r>
              <w:t xml:space="preserve">n = 311</w:t>
            </w:r>
          </w:p>
        </w:tc>
        <w:tc>
          <w:tcPr/>
          <w:p>
            <w:pPr>
              <w:pStyle w:val="Compact"/>
              <w:jc w:val="center"/>
            </w:pPr>
            <w:r>
              <w:t xml:space="preserve">5.07 ± 0.90</w:t>
            </w:r>
            <w:r>
              <w:t xml:space="preserve"> </w:t>
            </w:r>
            <w:r>
              <w:t xml:space="preserve">n = 123</w:t>
            </w:r>
          </w:p>
        </w:tc>
        <w:tc>
          <w:tcPr/>
          <w:p>
            <w:pPr>
              <w:pStyle w:val="Compact"/>
              <w:jc w:val="center"/>
            </w:pPr>
            <w:r>
              <w:t xml:space="preserve">5.40 ± 0.62</w:t>
            </w:r>
            <w:r>
              <w:t xml:space="preserve"> </w:t>
            </w:r>
            <w:r>
              <w:t xml:space="preserve">n = 30</w:t>
            </w:r>
          </w:p>
        </w:tc>
        <w:tc>
          <w:tcPr/>
          <w:p>
            <w:pPr>
              <w:pStyle w:val="Compact"/>
              <w:jc w:val="center"/>
            </w:pPr>
            <w:r>
              <w:t xml:space="preserve">4.72 ± 1.20</w:t>
            </w:r>
            <w:r>
              <w:t xml:space="preserve"> </w:t>
            </w:r>
            <w:r>
              <w:t xml:space="preserve">n = 230</w:t>
            </w:r>
          </w:p>
        </w:tc>
      </w:tr>
      <w:tr>
        <w:tc>
          <w:tcPr/>
          <w:p>
            <w:pPr>
              <w:pStyle w:val="Compact"/>
              <w:jc w:val="left"/>
            </w:pPr>
            <w:r>
              <w:t xml:space="preserve">pt satisfaction</w:t>
            </w:r>
          </w:p>
        </w:tc>
        <w:tc>
          <w:tcPr/>
          <w:p>
            <w:pPr>
              <w:pStyle w:val="Compact"/>
            </w:pPr>
          </w:p>
        </w:tc>
        <w:tc>
          <w:tcPr/>
          <w:p>
            <w:pPr>
              <w:pStyle w:val="Compact"/>
            </w:pPr>
          </w:p>
        </w:tc>
        <w:tc>
          <w:tcPr/>
          <w:p>
            <w:pPr>
              <w:pStyle w:val="Compact"/>
            </w:pPr>
          </w:p>
        </w:tc>
        <w:tc>
          <w:tcPr/>
          <w:p>
            <w:pPr>
              <w:pStyle w:val="Compact"/>
              <w:jc w:val="center"/>
            </w:pPr>
            <w:r>
              <w:t xml:space="preserve">4.15 ± 1.06</w:t>
            </w:r>
            <w:r>
              <w:t xml:space="preserve"> </w:t>
            </w:r>
            <w:r>
              <w:t xml:space="preserve">n = 404</w:t>
            </w:r>
          </w:p>
        </w:tc>
        <w:tc>
          <w:tcPr/>
          <w:p>
            <w:pPr>
              <w:pStyle w:val="Compact"/>
              <w:jc w:val="center"/>
            </w:pPr>
            <w:r>
              <w:t xml:space="preserve">4.48 ± 1.08</w:t>
            </w:r>
            <w:r>
              <w:t xml:space="preserve"> </w:t>
            </w:r>
            <w:r>
              <w:t xml:space="preserve">n = 311</w:t>
            </w:r>
          </w:p>
        </w:tc>
        <w:tc>
          <w:tcPr/>
          <w:p>
            <w:pPr>
              <w:pStyle w:val="Compact"/>
              <w:jc w:val="center"/>
            </w:pPr>
            <w:r>
              <w:t xml:space="preserve">4.50 ± 0.98</w:t>
            </w:r>
            <w:r>
              <w:t xml:space="preserve"> </w:t>
            </w:r>
            <w:r>
              <w:t xml:space="preserve">n = 123</w:t>
            </w:r>
          </w:p>
        </w:tc>
        <w:tc>
          <w:tcPr/>
          <w:p>
            <w:pPr>
              <w:pStyle w:val="Compact"/>
              <w:jc w:val="center"/>
            </w:pPr>
            <w:r>
              <w:t xml:space="preserve">4.70 ± 0.75</w:t>
            </w:r>
            <w:r>
              <w:t xml:space="preserve"> </w:t>
            </w:r>
            <w:r>
              <w:t xml:space="preserve">n = 30</w:t>
            </w:r>
          </w:p>
        </w:tc>
        <w:tc>
          <w:tcPr/>
          <w:p>
            <w:pPr>
              <w:pStyle w:val="Compact"/>
              <w:jc w:val="center"/>
            </w:pPr>
            <w:r>
              <w:t xml:space="preserve">4.33 ± 1.19</w:t>
            </w:r>
            <w:r>
              <w:t xml:space="preserve"> </w:t>
            </w:r>
            <w:r>
              <w:t xml:space="preserve">n = 230</w:t>
            </w:r>
          </w:p>
        </w:tc>
      </w:tr>
      <w:tr>
        <w:tc>
          <w:tcPr/>
          <w:p>
            <w:pPr>
              <w:pStyle w:val="Compact"/>
              <w:jc w:val="left"/>
            </w:pPr>
            <w:r>
              <w:t xml:space="preserve">th benefit</w:t>
            </w:r>
          </w:p>
        </w:tc>
        <w:tc>
          <w:tcPr/>
          <w:p>
            <w:pPr>
              <w:pStyle w:val="Compact"/>
            </w:pPr>
          </w:p>
        </w:tc>
        <w:tc>
          <w:tcPr/>
          <w:p>
            <w:pPr>
              <w:pStyle w:val="Compact"/>
            </w:pPr>
          </w:p>
        </w:tc>
        <w:tc>
          <w:tcPr/>
          <w:p>
            <w:pPr>
              <w:pStyle w:val="Compact"/>
            </w:pPr>
          </w:p>
        </w:tc>
        <w:tc>
          <w:tcPr/>
          <w:p>
            <w:pPr>
              <w:pStyle w:val="Compact"/>
              <w:jc w:val="center"/>
            </w:pPr>
            <w:r>
              <w:t xml:space="preserve">3.89 ± 0.94</w:t>
            </w:r>
            <w:r>
              <w:t xml:space="preserve"> </w:t>
            </w:r>
            <w:r>
              <w:t xml:space="preserve">n = 311</w:t>
            </w:r>
          </w:p>
        </w:tc>
        <w:tc>
          <w:tcPr/>
          <w:p>
            <w:pPr>
              <w:pStyle w:val="Compact"/>
              <w:jc w:val="center"/>
            </w:pPr>
            <w:r>
              <w:t xml:space="preserve">4.36 ± 1.00</w:t>
            </w:r>
            <w:r>
              <w:t xml:space="preserve"> </w:t>
            </w:r>
            <w:r>
              <w:t xml:space="preserve">n = 210</w:t>
            </w:r>
          </w:p>
        </w:tc>
        <w:tc>
          <w:tcPr/>
          <w:p>
            <w:pPr>
              <w:pStyle w:val="Compact"/>
              <w:jc w:val="center"/>
            </w:pPr>
            <w:r>
              <w:t xml:space="preserve">4.76 ± 0.80</w:t>
            </w:r>
            <w:r>
              <w:t xml:space="preserve"> </w:t>
            </w:r>
            <w:r>
              <w:t xml:space="preserve">n = 72</w:t>
            </w:r>
          </w:p>
        </w:tc>
        <w:tc>
          <w:tcPr/>
          <w:p>
            <w:pPr>
              <w:pStyle w:val="Compact"/>
              <w:jc w:val="center"/>
            </w:pPr>
            <w:r>
              <w:t xml:space="preserve">5.17 ± 0.51</w:t>
            </w:r>
            <w:r>
              <w:t xml:space="preserve"> </w:t>
            </w:r>
            <w:r>
              <w:t xml:space="preserve">n = 18</w:t>
            </w:r>
          </w:p>
        </w:tc>
        <w:tc>
          <w:tcPr/>
          <w:p>
            <w:pPr>
              <w:pStyle w:val="Compact"/>
            </w:pPr>
          </w:p>
        </w:tc>
      </w:tr>
      <w:tr>
        <w:tc>
          <w:tcPr/>
          <w:p>
            <w:pPr>
              <w:pStyle w:val="Compact"/>
              <w:jc w:val="left"/>
            </w:pPr>
            <w:r>
              <w:t xml:space="preserve">th satisfaction</w:t>
            </w:r>
          </w:p>
        </w:tc>
        <w:tc>
          <w:tcPr/>
          <w:p>
            <w:pPr>
              <w:pStyle w:val="Compact"/>
            </w:pPr>
          </w:p>
        </w:tc>
        <w:tc>
          <w:tcPr/>
          <w:p>
            <w:pPr>
              <w:pStyle w:val="Compact"/>
            </w:pPr>
          </w:p>
        </w:tc>
        <w:tc>
          <w:tcPr/>
          <w:p>
            <w:pPr>
              <w:pStyle w:val="Compact"/>
            </w:pPr>
          </w:p>
        </w:tc>
        <w:tc>
          <w:tcPr/>
          <w:p>
            <w:pPr>
              <w:pStyle w:val="Compact"/>
              <w:jc w:val="center"/>
            </w:pPr>
            <w:r>
              <w:t xml:space="preserve">3.67 ± 0.96</w:t>
            </w:r>
            <w:r>
              <w:t xml:space="preserve"> </w:t>
            </w:r>
            <w:r>
              <w:t xml:space="preserve">n = 311</w:t>
            </w:r>
          </w:p>
        </w:tc>
        <w:tc>
          <w:tcPr/>
          <w:p>
            <w:pPr>
              <w:pStyle w:val="Compact"/>
              <w:jc w:val="center"/>
            </w:pPr>
            <w:r>
              <w:t xml:space="preserve">4.09 ± 1.09</w:t>
            </w:r>
            <w:r>
              <w:t xml:space="preserve"> </w:t>
            </w:r>
            <w:r>
              <w:t xml:space="preserve">n = 210</w:t>
            </w:r>
          </w:p>
        </w:tc>
        <w:tc>
          <w:tcPr/>
          <w:p>
            <w:pPr>
              <w:pStyle w:val="Compact"/>
              <w:jc w:val="center"/>
            </w:pPr>
            <w:r>
              <w:t xml:space="preserve">4.44 ± 0.99</w:t>
            </w:r>
            <w:r>
              <w:t xml:space="preserve"> </w:t>
            </w:r>
            <w:r>
              <w:t xml:space="preserve">n = 72</w:t>
            </w:r>
          </w:p>
        </w:tc>
        <w:tc>
          <w:tcPr/>
          <w:p>
            <w:pPr>
              <w:pStyle w:val="Compact"/>
              <w:jc w:val="center"/>
            </w:pPr>
            <w:r>
              <w:t xml:space="preserve">4.56 ± 0.78</w:t>
            </w:r>
            <w:r>
              <w:t xml:space="preserve"> </w:t>
            </w:r>
            <w:r>
              <w:t xml:space="preserve">n = 18</w:t>
            </w:r>
          </w:p>
        </w:tc>
        <w:tc>
          <w:tcPr/>
          <w:p>
            <w:pPr>
              <w:pStyle w:val="Compact"/>
            </w:pPr>
          </w:p>
        </w:tc>
      </w:tr>
      <w:tr>
        <w:tc>
          <w:tcPr/>
          <w:p>
            <w:pPr>
              <w:pStyle w:val="Compact"/>
              <w:jc w:val="left"/>
            </w:pPr>
            <w:r>
              <w:t xml:space="preserve">PMH</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Sum</w:t>
            </w:r>
          </w:p>
        </w:tc>
        <w:tc>
          <w:tcPr/>
          <w:p>
            <w:pPr>
              <w:pStyle w:val="Compact"/>
            </w:pPr>
          </w:p>
        </w:tc>
        <w:tc>
          <w:tcPr/>
          <w:p>
            <w:pPr>
              <w:pStyle w:val="Compact"/>
              <w:jc w:val="center"/>
            </w:pPr>
            <w:r>
              <w:t xml:space="preserve">10.64 ± 5.79</w:t>
            </w:r>
            <w:r>
              <w:t xml:space="preserve"> </w:t>
            </w:r>
            <w:r>
              <w:t xml:space="preserve">n = 588</w:t>
            </w:r>
          </w:p>
        </w:tc>
        <w:tc>
          <w:tcPr/>
          <w:p>
            <w:pPr>
              <w:pStyle w:val="Compact"/>
              <w:jc w:val="center"/>
            </w:pPr>
            <w:r>
              <w:t xml:space="preserve">11.50 ± 6.00</w:t>
            </w:r>
            <w:r>
              <w:t xml:space="preserve"> </w:t>
            </w:r>
            <w:r>
              <w:t xml:space="preserve">n = 274</w:t>
            </w:r>
          </w:p>
        </w:tc>
        <w:tc>
          <w:tcPr/>
          <w:p>
            <w:pPr>
              <w:pStyle w:val="Compact"/>
              <w:jc w:val="center"/>
            </w:pPr>
            <w:r>
              <w:t xml:space="preserve">13.03 ± 6.43</w:t>
            </w:r>
            <w:r>
              <w:t xml:space="preserve"> </w:t>
            </w:r>
            <w:r>
              <w:t xml:space="preserve">n = 401</w:t>
            </w:r>
          </w:p>
        </w:tc>
        <w:tc>
          <w:tcPr/>
          <w:p>
            <w:pPr>
              <w:pStyle w:val="Compact"/>
              <w:jc w:val="center"/>
            </w:pPr>
            <w:r>
              <w:t xml:space="preserve">14.05 ± 6.53</w:t>
            </w:r>
            <w:r>
              <w:t xml:space="preserve"> </w:t>
            </w:r>
            <w:r>
              <w:t xml:space="preserve">n = 316</w:t>
            </w:r>
          </w:p>
        </w:tc>
        <w:tc>
          <w:tcPr/>
          <w:p>
            <w:pPr>
              <w:pStyle w:val="Compact"/>
              <w:jc w:val="center"/>
            </w:pPr>
            <w:r>
              <w:t xml:space="preserve">13.44 ± 6.24</w:t>
            </w:r>
            <w:r>
              <w:t xml:space="preserve"> </w:t>
            </w:r>
            <w:r>
              <w:t xml:space="preserve">n = 121</w:t>
            </w:r>
          </w:p>
        </w:tc>
        <w:tc>
          <w:tcPr/>
          <w:p>
            <w:pPr>
              <w:pStyle w:val="Compact"/>
              <w:jc w:val="center"/>
            </w:pPr>
            <w:r>
              <w:t xml:space="preserve">12.70 ± 5.83</w:t>
            </w:r>
            <w:r>
              <w:t xml:space="preserve"> </w:t>
            </w:r>
            <w:r>
              <w:t xml:space="preserve">n = 30</w:t>
            </w:r>
          </w:p>
        </w:tc>
        <w:tc>
          <w:tcPr/>
          <w:p>
            <w:pPr>
              <w:pStyle w:val="Compact"/>
              <w:jc w:val="center"/>
            </w:pPr>
            <w:r>
              <w:t xml:space="preserve">15.24 ± 6.79</w:t>
            </w:r>
            <w:r>
              <w:t xml:space="preserve"> </w:t>
            </w:r>
            <w:r>
              <w:t xml:space="preserve">n = 230</w:t>
            </w:r>
          </w:p>
        </w:tc>
      </w:tr>
    </w:tbl>
    <w:p>
      <w:pPr>
        <w:pStyle w:val="BodyText"/>
      </w:pPr>
      <w:r>
        <w:t xml:space="preserve">Table 2 reports descriptive statistics restricted to patients with complete data at both pre-treatment and post-treatment assessments. For complete-case descriptive analyses, the post-treatment endpoint was defined as the assessment at the end of the second short-term therapy phase (KZT2-DUPost), as this represents the last common assessment across the majority of patients. This table provides a descriptive approximation of within-person change, independent of selective dropout.</w:t>
      </w:r>
    </w:p>
    <w:tbl>
      <w:tblPr>
        <w:tblStyle w:val="Table"/>
        <w:tblW w:type="pct" w:w="5000"/>
        <w:tblLayout w:type="fixed"/>
        <w:tblLook w:firstRow="1" w:lastRow="0" w:firstColumn="0" w:lastColumn="0" w:noHBand="0" w:noVBand="0" w:val="0020"/>
      </w:tblPr>
      <w:tblGrid>
        <w:gridCol w:w="3617"/>
        <w:gridCol w:w="488"/>
        <w:gridCol w:w="635"/>
        <w:gridCol w:w="831"/>
        <w:gridCol w:w="831"/>
        <w:gridCol w:w="831"/>
        <w:gridCol w:w="684"/>
      </w:tblGrid>
      <w:tr>
        <w:trPr>
          <w:tblHeader w:val="on"/>
        </w:trPr>
        <w:tc>
          <w:tcPr/>
          <w:p>
            <w:pPr>
              <w:pStyle w:val="Compact"/>
              <w:jc w:val="left"/>
            </w:pPr>
            <w:r>
              <w:t xml:space="preserve">Scale</w:t>
            </w:r>
          </w:p>
        </w:tc>
        <w:tc>
          <w:tcPr/>
          <w:p>
            <w:pPr>
              <w:pStyle w:val="Compact"/>
              <w:jc w:val="center"/>
            </w:pPr>
            <w:r>
              <w:t xml:space="preserve">Baseline</w:t>
            </w:r>
          </w:p>
        </w:tc>
        <w:tc>
          <w:tcPr/>
          <w:p>
            <w:pPr>
              <w:pStyle w:val="Compact"/>
              <w:jc w:val="center"/>
            </w:pPr>
            <w:r>
              <w:t xml:space="preserve">Endpoint</w:t>
            </w:r>
          </w:p>
        </w:tc>
        <w:tc>
          <w:tcPr/>
          <w:p>
            <w:pPr>
              <w:pStyle w:val="Compact"/>
              <w:jc w:val="center"/>
            </w:pPr>
            <w:r>
              <w:t xml:space="preserve">Baseline M ± SD</w:t>
            </w:r>
          </w:p>
        </w:tc>
        <w:tc>
          <w:tcPr/>
          <w:p>
            <w:pPr>
              <w:pStyle w:val="Compact"/>
              <w:jc w:val="center"/>
            </w:pPr>
            <w:r>
              <w:t xml:space="preserve">Endpoint M ± SD</w:t>
            </w:r>
          </w:p>
        </w:tc>
        <w:tc>
          <w:tcPr/>
          <w:p>
            <w:pPr>
              <w:pStyle w:val="Compact"/>
              <w:jc w:val="center"/>
            </w:pPr>
            <w:r>
              <w:t xml:space="preserve">ΔM (End − Base)</w:t>
            </w:r>
          </w:p>
        </w:tc>
        <w:tc>
          <w:tcPr/>
          <w:p>
            <w:pPr>
              <w:pStyle w:val="Compact"/>
              <w:jc w:val="center"/>
            </w:pPr>
            <w:r>
              <w:t xml:space="preserve">n (complete)</w:t>
            </w:r>
          </w:p>
        </w:tc>
      </w:tr>
      <w:tr>
        <w:tc>
          <w:tcPr/>
          <w:p>
            <w:pPr>
              <w:pStyle w:val="Compact"/>
              <w:jc w:val="left"/>
            </w:pPr>
            <w:r>
              <w:t xml:space="preserve">BDI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Sum</w:t>
            </w:r>
          </w:p>
        </w:tc>
        <w:tc>
          <w:tcPr/>
          <w:p>
            <w:pPr>
              <w:pStyle w:val="Compact"/>
              <w:jc w:val="center"/>
            </w:pPr>
            <w:r>
              <w:t xml:space="preserve">DU-Prä</w:t>
            </w:r>
          </w:p>
        </w:tc>
        <w:tc>
          <w:tcPr/>
          <w:p>
            <w:pPr>
              <w:pStyle w:val="Compact"/>
              <w:jc w:val="center"/>
            </w:pPr>
            <w:r>
              <w:t xml:space="preserve">KZT2-DUPost</w:t>
            </w:r>
          </w:p>
        </w:tc>
        <w:tc>
          <w:tcPr/>
          <w:p>
            <w:pPr>
              <w:pStyle w:val="Compact"/>
              <w:jc w:val="center"/>
            </w:pPr>
            <w:r>
              <w:t xml:space="preserve">22.63 ± 11.98</w:t>
            </w:r>
          </w:p>
        </w:tc>
        <w:tc>
          <w:tcPr/>
          <w:p>
            <w:pPr>
              <w:pStyle w:val="Compact"/>
              <w:jc w:val="center"/>
            </w:pPr>
            <w:r>
              <w:t xml:space="preserve">14.98 ± 12.40</w:t>
            </w:r>
          </w:p>
        </w:tc>
        <w:tc>
          <w:tcPr/>
          <w:p>
            <w:pPr>
              <w:pStyle w:val="Compact"/>
              <w:jc w:val="center"/>
            </w:pPr>
            <w:r>
              <w:t xml:space="preserve">-7.65</w:t>
            </w:r>
          </w:p>
        </w:tc>
        <w:tc>
          <w:tcPr/>
          <w:p>
            <w:pPr>
              <w:pStyle w:val="Compact"/>
              <w:jc w:val="center"/>
            </w:pPr>
            <w:r>
              <w:t xml:space="preserve">299</w:t>
            </w:r>
          </w:p>
        </w:tc>
      </w:tr>
      <w:tr>
        <w:tc>
          <w:tcPr/>
          <w:p>
            <w:pPr>
              <w:pStyle w:val="Compact"/>
              <w:jc w:val="left"/>
            </w:pPr>
            <w:r>
              <w:t xml:space="preserve">BSI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GSI</w:t>
            </w:r>
          </w:p>
        </w:tc>
        <w:tc>
          <w:tcPr/>
          <w:p>
            <w:pPr>
              <w:pStyle w:val="Compact"/>
              <w:jc w:val="center"/>
            </w:pPr>
            <w:r>
              <w:t xml:space="preserve">DI</w:t>
            </w:r>
          </w:p>
        </w:tc>
        <w:tc>
          <w:tcPr/>
          <w:p>
            <w:pPr>
              <w:pStyle w:val="Compact"/>
              <w:jc w:val="center"/>
            </w:pPr>
            <w:r>
              <w:t xml:space="preserve">KZT2-DUPost</w:t>
            </w:r>
          </w:p>
        </w:tc>
        <w:tc>
          <w:tcPr/>
          <w:p>
            <w:pPr>
              <w:pStyle w:val="Compact"/>
              <w:jc w:val="center"/>
            </w:pPr>
            <w:r>
              <w:t xml:space="preserve">1.19 ± 0.67</w:t>
            </w:r>
          </w:p>
        </w:tc>
        <w:tc>
          <w:tcPr/>
          <w:p>
            <w:pPr>
              <w:pStyle w:val="Compact"/>
              <w:jc w:val="center"/>
            </w:pPr>
            <w:r>
              <w:t xml:space="preserve">0.83 ± 0.66</w:t>
            </w:r>
          </w:p>
        </w:tc>
        <w:tc>
          <w:tcPr/>
          <w:p>
            <w:pPr>
              <w:pStyle w:val="Compact"/>
              <w:jc w:val="center"/>
            </w:pPr>
            <w:r>
              <w:t xml:space="preserve">-0.36</w:t>
            </w:r>
          </w:p>
        </w:tc>
        <w:tc>
          <w:tcPr/>
          <w:p>
            <w:pPr>
              <w:pStyle w:val="Compact"/>
              <w:jc w:val="center"/>
            </w:pPr>
            <w:r>
              <w:t xml:space="preserve">253</w:t>
            </w:r>
          </w:p>
        </w:tc>
      </w:tr>
      <w:tr>
        <w:tc>
          <w:tcPr/>
          <w:p>
            <w:pPr>
              <w:pStyle w:val="Compact"/>
              <w:jc w:val="left"/>
            </w:pPr>
            <w:r>
              <w:t xml:space="preserve">DASS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Anxiety</w:t>
            </w:r>
          </w:p>
        </w:tc>
        <w:tc>
          <w:tcPr/>
          <w:p>
            <w:pPr>
              <w:pStyle w:val="Compact"/>
              <w:jc w:val="center"/>
            </w:pPr>
            <w:r>
              <w:t xml:space="preserve">DU-Prä</w:t>
            </w:r>
          </w:p>
        </w:tc>
        <w:tc>
          <w:tcPr/>
          <w:p>
            <w:pPr>
              <w:pStyle w:val="Compact"/>
              <w:jc w:val="center"/>
            </w:pPr>
            <w:r>
              <w:t xml:space="preserve">KZT2-DUPost</w:t>
            </w:r>
          </w:p>
        </w:tc>
        <w:tc>
          <w:tcPr/>
          <w:p>
            <w:pPr>
              <w:pStyle w:val="Compact"/>
              <w:jc w:val="center"/>
            </w:pPr>
            <w:r>
              <w:t xml:space="preserve">11.38 ± 7.99</w:t>
            </w:r>
          </w:p>
        </w:tc>
        <w:tc>
          <w:tcPr/>
          <w:p>
            <w:pPr>
              <w:pStyle w:val="Compact"/>
              <w:jc w:val="center"/>
            </w:pPr>
            <w:r>
              <w:t xml:space="preserve">6.94 ± 6.95</w:t>
            </w:r>
          </w:p>
        </w:tc>
        <w:tc>
          <w:tcPr/>
          <w:p>
            <w:pPr>
              <w:pStyle w:val="Compact"/>
              <w:jc w:val="center"/>
            </w:pPr>
            <w:r>
              <w:t xml:space="preserve">-4.43</w:t>
            </w:r>
          </w:p>
        </w:tc>
        <w:tc>
          <w:tcPr/>
          <w:p>
            <w:pPr>
              <w:pStyle w:val="Compact"/>
              <w:jc w:val="center"/>
            </w:pPr>
            <w:r>
              <w:t xml:space="preserve">192</w:t>
            </w:r>
          </w:p>
        </w:tc>
      </w:tr>
      <w:tr>
        <w:tc>
          <w:tcPr/>
          <w:p>
            <w:pPr>
              <w:pStyle w:val="Compact"/>
              <w:jc w:val="left"/>
            </w:pPr>
            <w:r>
              <w:t xml:space="preserve">Depression</w:t>
            </w:r>
          </w:p>
        </w:tc>
        <w:tc>
          <w:tcPr/>
          <w:p>
            <w:pPr>
              <w:pStyle w:val="Compact"/>
              <w:jc w:val="center"/>
            </w:pPr>
            <w:r>
              <w:t xml:space="preserve">DU-Prä</w:t>
            </w:r>
          </w:p>
        </w:tc>
        <w:tc>
          <w:tcPr/>
          <w:p>
            <w:pPr>
              <w:pStyle w:val="Compact"/>
              <w:jc w:val="center"/>
            </w:pPr>
            <w:r>
              <w:t xml:space="preserve">KZT2-DUPost</w:t>
            </w:r>
          </w:p>
        </w:tc>
        <w:tc>
          <w:tcPr/>
          <w:p>
            <w:pPr>
              <w:pStyle w:val="Compact"/>
              <w:jc w:val="center"/>
            </w:pPr>
            <w:r>
              <w:t xml:space="preserve">19.77 ± 11.41</w:t>
            </w:r>
          </w:p>
        </w:tc>
        <w:tc>
          <w:tcPr/>
          <w:p>
            <w:pPr>
              <w:pStyle w:val="Compact"/>
              <w:jc w:val="center"/>
            </w:pPr>
            <w:r>
              <w:t xml:space="preserve">12.82 ± 11.47</w:t>
            </w:r>
          </w:p>
        </w:tc>
        <w:tc>
          <w:tcPr/>
          <w:p>
            <w:pPr>
              <w:pStyle w:val="Compact"/>
              <w:jc w:val="center"/>
            </w:pPr>
            <w:r>
              <w:t xml:space="preserve">-6.95</w:t>
            </w:r>
          </w:p>
        </w:tc>
        <w:tc>
          <w:tcPr/>
          <w:p>
            <w:pPr>
              <w:pStyle w:val="Compact"/>
              <w:jc w:val="center"/>
            </w:pPr>
            <w:r>
              <w:t xml:space="preserve">192</w:t>
            </w:r>
          </w:p>
        </w:tc>
      </w:tr>
      <w:tr>
        <w:tc>
          <w:tcPr/>
          <w:p>
            <w:pPr>
              <w:pStyle w:val="Compact"/>
              <w:jc w:val="left"/>
            </w:pPr>
            <w:r>
              <w:t xml:space="preserve">Stress</w:t>
            </w:r>
          </w:p>
        </w:tc>
        <w:tc>
          <w:tcPr/>
          <w:p>
            <w:pPr>
              <w:pStyle w:val="Compact"/>
              <w:jc w:val="center"/>
            </w:pPr>
            <w:r>
              <w:t xml:space="preserve">DU-Prä</w:t>
            </w:r>
          </w:p>
        </w:tc>
        <w:tc>
          <w:tcPr/>
          <w:p>
            <w:pPr>
              <w:pStyle w:val="Compact"/>
              <w:jc w:val="center"/>
            </w:pPr>
            <w:r>
              <w:t xml:space="preserve">KZT2-DUPost</w:t>
            </w:r>
          </w:p>
        </w:tc>
        <w:tc>
          <w:tcPr/>
          <w:p>
            <w:pPr>
              <w:pStyle w:val="Compact"/>
              <w:jc w:val="center"/>
            </w:pPr>
            <w:r>
              <w:t xml:space="preserve">19.02 ± 9.69</w:t>
            </w:r>
          </w:p>
        </w:tc>
        <w:tc>
          <w:tcPr/>
          <w:p>
            <w:pPr>
              <w:pStyle w:val="Compact"/>
              <w:jc w:val="center"/>
            </w:pPr>
            <w:r>
              <w:t xml:space="preserve">12.28 ± 9.22</w:t>
            </w:r>
          </w:p>
        </w:tc>
        <w:tc>
          <w:tcPr/>
          <w:p>
            <w:pPr>
              <w:pStyle w:val="Compact"/>
              <w:jc w:val="center"/>
            </w:pPr>
            <w:r>
              <w:t xml:space="preserve">-6.74</w:t>
            </w:r>
          </w:p>
        </w:tc>
        <w:tc>
          <w:tcPr/>
          <w:p>
            <w:pPr>
              <w:pStyle w:val="Compact"/>
              <w:jc w:val="center"/>
            </w:pPr>
            <w:r>
              <w:t xml:space="preserve">192</w:t>
            </w:r>
          </w:p>
        </w:tc>
      </w:tr>
      <w:tr>
        <w:tc>
          <w:tcPr/>
          <w:p>
            <w:pPr>
              <w:pStyle w:val="Compact"/>
              <w:jc w:val="left"/>
            </w:pPr>
            <w:r>
              <w:t xml:space="preserve">Total</w:t>
            </w:r>
          </w:p>
        </w:tc>
        <w:tc>
          <w:tcPr/>
          <w:p>
            <w:pPr>
              <w:pStyle w:val="Compact"/>
              <w:jc w:val="center"/>
            </w:pPr>
            <w:r>
              <w:t xml:space="preserve">DU-Prä</w:t>
            </w:r>
          </w:p>
        </w:tc>
        <w:tc>
          <w:tcPr/>
          <w:p>
            <w:pPr>
              <w:pStyle w:val="Compact"/>
              <w:jc w:val="center"/>
            </w:pPr>
            <w:r>
              <w:t xml:space="preserve">KZT2-DUPost</w:t>
            </w:r>
          </w:p>
        </w:tc>
        <w:tc>
          <w:tcPr/>
          <w:p>
            <w:pPr>
              <w:pStyle w:val="Compact"/>
              <w:jc w:val="center"/>
            </w:pPr>
            <w:r>
              <w:t xml:space="preserve">50.16 ± 24.37</w:t>
            </w:r>
          </w:p>
        </w:tc>
        <w:tc>
          <w:tcPr/>
          <w:p>
            <w:pPr>
              <w:pStyle w:val="Compact"/>
              <w:jc w:val="center"/>
            </w:pPr>
            <w:r>
              <w:t xml:space="preserve">32.04 ± 24.61</w:t>
            </w:r>
          </w:p>
        </w:tc>
        <w:tc>
          <w:tcPr/>
          <w:p>
            <w:pPr>
              <w:pStyle w:val="Compact"/>
              <w:jc w:val="center"/>
            </w:pPr>
            <w:r>
              <w:t xml:space="preserve">-18.12</w:t>
            </w:r>
          </w:p>
        </w:tc>
        <w:tc>
          <w:tcPr/>
          <w:p>
            <w:pPr>
              <w:pStyle w:val="Compact"/>
              <w:jc w:val="center"/>
            </w:pPr>
            <w:r>
              <w:t xml:space="preserve">192</w:t>
            </w:r>
          </w:p>
        </w:tc>
      </w:tr>
      <w:tr>
        <w:tc>
          <w:tcPr/>
          <w:p>
            <w:pPr>
              <w:pStyle w:val="Compact"/>
              <w:jc w:val="left"/>
            </w:pPr>
            <w:r>
              <w:t xml:space="preserve">PMH</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Sum</w:t>
            </w:r>
          </w:p>
        </w:tc>
        <w:tc>
          <w:tcPr/>
          <w:p>
            <w:pPr>
              <w:pStyle w:val="Compact"/>
              <w:jc w:val="center"/>
            </w:pPr>
            <w:r>
              <w:t xml:space="preserve">DU-Prä</w:t>
            </w:r>
          </w:p>
        </w:tc>
        <w:tc>
          <w:tcPr/>
          <w:p>
            <w:pPr>
              <w:pStyle w:val="Compact"/>
              <w:jc w:val="center"/>
            </w:pPr>
            <w:r>
              <w:t xml:space="preserve">KZT2-DUPost</w:t>
            </w:r>
          </w:p>
        </w:tc>
        <w:tc>
          <w:tcPr/>
          <w:p>
            <w:pPr>
              <w:pStyle w:val="Compact"/>
              <w:jc w:val="center"/>
            </w:pPr>
            <w:r>
              <w:t xml:space="preserve">10.60 ± 5.70</w:t>
            </w:r>
          </w:p>
        </w:tc>
        <w:tc>
          <w:tcPr/>
          <w:p>
            <w:pPr>
              <w:pStyle w:val="Compact"/>
              <w:jc w:val="center"/>
            </w:pPr>
            <w:r>
              <w:t xml:space="preserve">13.94 ± 6.56</w:t>
            </w:r>
          </w:p>
        </w:tc>
        <w:tc>
          <w:tcPr/>
          <w:p>
            <w:pPr>
              <w:pStyle w:val="Compact"/>
              <w:jc w:val="center"/>
            </w:pPr>
            <w:r>
              <w:t xml:space="preserve">3.34</w:t>
            </w:r>
          </w:p>
        </w:tc>
        <w:tc>
          <w:tcPr/>
          <w:p>
            <w:pPr>
              <w:pStyle w:val="Compact"/>
              <w:jc w:val="center"/>
            </w:pPr>
            <w:r>
              <w:t xml:space="preserve">297</w:t>
            </w:r>
          </w:p>
        </w:tc>
      </w:tr>
    </w:tbl>
    <w:bookmarkEnd w:id="48"/>
    <w:bookmarkEnd w:id="49"/>
    <w:bookmarkEnd w:id="50"/>
    <w:bookmarkStart w:id="55" w:name="research-areas"/>
    <w:p>
      <w:pPr>
        <w:pStyle w:val="Heading1"/>
      </w:pPr>
      <w:r>
        <w:t xml:space="preserve">Research areas</w:t>
      </w:r>
    </w:p>
    <w:p>
      <w:pPr>
        <w:pStyle w:val="FirstParagraph"/>
      </w:pPr>
      <w:r>
        <w:t xml:space="preserve">This project comprises multiple complementary research areas that share a common dataset and preprocessing pipeline but address distinct research questions. To avoid analytic flexibility and to maximize interpretability, each substudy pre-specifies its text inputs, outcomes, and evaluation strategy.</w:t>
      </w:r>
    </w:p>
    <w:bookmarkStart w:id="51" w:name="X9e88458ed07a2b8c65bf4ef5dc33a838724008f"/>
    <w:p>
      <w:pPr>
        <w:pStyle w:val="Heading2"/>
      </w:pPr>
      <w:r>
        <w:t xml:space="preserve">Research area 1: Language as clinical assessment (cross-sectional)</w:t>
      </w:r>
    </w:p>
    <w:p>
      <w:pPr>
        <w:pStyle w:val="FirstParagraph"/>
      </w:pPr>
      <w:r>
        <w:rPr>
          <w:b/>
          <w:bCs/>
        </w:rPr>
        <w:t xml:space="preserve">Core research question.</w:t>
      </w:r>
      <w:r>
        <w:t xml:space="preserve"> </w:t>
      </w:r>
      <w:r>
        <w:t xml:space="preserve">Does patients’ pre-therapy language provide clinically meaningful information about symptom severity and functioning, and does it add predictive value beyond established self-report questionnaires?</w:t>
      </w:r>
    </w:p>
    <w:p>
      <w:pPr>
        <w:pStyle w:val="BodyText"/>
      </w:pPr>
      <w:r>
        <w:rPr>
          <w:b/>
          <w:bCs/>
        </w:rPr>
        <w:t xml:space="preserve">Text inputs.</w:t>
      </w:r>
      <w:r>
        <w:t xml:space="preserve"> </w:t>
      </w:r>
      <w:r>
        <w:t xml:space="preserve">Q1 Problem developtment, Q10</w:t>
      </w:r>
      <w:r>
        <w:t xml:space="preserve"> </w:t>
      </w:r>
      <w:r>
        <w:rPr>
          <w:i/>
          <w:iCs/>
        </w:rPr>
        <w:t xml:space="preserve">Problem description,</w:t>
      </w:r>
      <w:r>
        <w:t xml:space="preserve"> </w:t>
      </w:r>
      <w:r>
        <w:t xml:space="preserve">Q12</w:t>
      </w:r>
      <w:r>
        <w:t xml:space="preserve"> </w:t>
      </w:r>
      <w:r>
        <w:rPr>
          <w:i/>
          <w:iCs/>
        </w:rPr>
        <w:t xml:space="preserve">Therapy goals</w:t>
      </w:r>
    </w:p>
    <w:p>
      <w:pPr>
        <w:pStyle w:val="BodyText"/>
      </w:pPr>
      <w:r>
        <w:rPr>
          <w:b/>
          <w:bCs/>
        </w:rPr>
        <w:t xml:space="preserve">Outcomes.</w:t>
      </w:r>
    </w:p>
    <w:p>
      <w:pPr>
        <w:numPr>
          <w:ilvl w:val="0"/>
          <w:numId w:val="1002"/>
        </w:numPr>
      </w:pPr>
      <w:r>
        <w:t xml:space="preserve">Convergent validity outcomes: Cross-sectional self-report symptom (BDI-II, BSI/GSI, DASS-42) and well-being (PMH) measures</w:t>
      </w:r>
    </w:p>
    <w:p>
      <w:pPr>
        <w:numPr>
          <w:ilvl w:val="0"/>
          <w:numId w:val="1002"/>
        </w:numPr>
      </w:pPr>
      <w:r>
        <w:t xml:space="preserve">Incremental validity outcomes: Clinician-rated symptom severity (CGI-Severity).</w:t>
      </w:r>
    </w:p>
    <w:p>
      <w:pPr>
        <w:pStyle w:val="FirstParagraph"/>
      </w:pPr>
      <w:r>
        <w:rPr>
          <w:b/>
          <w:bCs/>
        </w:rPr>
        <w:t xml:space="preserve">Models &amp; evaluation.</w:t>
      </w:r>
      <w:r>
        <w:t xml:space="preserve"> </w:t>
      </w:r>
      <w:r>
        <w:t xml:space="preserve">Convergent validity with self-report symptom measures (BDI-II, BSI/GSI, DASS-42) will be evaluated by estimating the proportion of symptom variance explained by language-based representations. Incremental validity will be tested by assessing whether language explains additional variance in clinician-rated symptom severity (CGI-Severity) beyond self-report questionnaires.</w:t>
      </w:r>
    </w:p>
    <w:p>
      <w:pPr>
        <w:pStyle w:val="BodyText"/>
      </w:pPr>
      <w:r>
        <w:t xml:space="preserve">The Sequential Evaluation with Model Pre-registration</w:t>
      </w:r>
      <w:r>
        <w:t xml:space="preserve"> </w:t>
      </w:r>
      <w:r>
        <w:t xml:space="preserve">(</w:t>
      </w:r>
      <w:hyperlink w:anchor="Xfa5e15e36a95c69dddff7a1923dfc0ebd691fd8">
        <w:r>
          <w:rPr>
            <w:rStyle w:val="Hyperlink"/>
          </w:rPr>
          <w:t xml:space="preserve">Kjell, Ganesan, et al., 2024</w:t>
        </w:r>
      </w:hyperlink>
      <w:r>
        <w:t xml:space="preserve">)</w:t>
      </w:r>
      <w:r>
        <w:t xml:space="preserve"> </w:t>
      </w:r>
      <w:r>
        <w:t xml:space="preserve">framework will be implemented to ensure robust model development, mitigating overfitting and enabling unbiased performance evaluation. Additionally, evaluating models on prospective data will simulate real-world clinical deployment by assessing performance on new, unseen patient data.</w:t>
      </w:r>
    </w:p>
    <w:p>
      <w:pPr>
        <w:pStyle w:val="BodyText"/>
      </w:pPr>
      <w:r>
        <w:t xml:space="preserve">Contextual embeddings derived from pretrained LLMs will be linked to clinical outcomes using state-of-the-art prediction models, including ridge regression</w:t>
      </w:r>
      <w:r>
        <w:t xml:space="preserve"> </w:t>
      </w:r>
      <w:r>
        <w:t xml:space="preserve">(</w:t>
      </w:r>
      <w:hyperlink w:anchor="ref-Hoerl1970">
        <w:r>
          <w:rPr>
            <w:rStyle w:val="Hyperlink"/>
          </w:rPr>
          <w:t xml:space="preserve">Hoerl &amp; Kennard, 1970</w:t>
        </w:r>
      </w:hyperlink>
      <w:r>
        <w:t xml:space="preserve">)</w:t>
      </w:r>
      <w:r>
        <w:t xml:space="preserve">, lasso regression</w:t>
      </w:r>
      <w:r>
        <w:t xml:space="preserve"> </w:t>
      </w:r>
      <w:r>
        <w:t xml:space="preserve">(</w:t>
      </w:r>
      <w:hyperlink w:anchor="ref-10.1111/j.2517-6161.1996.tb02080.x">
        <w:r>
          <w:rPr>
            <w:rStyle w:val="Hyperlink"/>
          </w:rPr>
          <w:t xml:space="preserve">Tibshirani, 1996</w:t>
        </w:r>
      </w:hyperlink>
      <w:r>
        <w:t xml:space="preserve">)</w:t>
      </w:r>
      <w:r>
        <w:t xml:space="preserve">, and random forests</w:t>
      </w:r>
      <w:r>
        <w:t xml:space="preserve"> </w:t>
      </w:r>
      <w:r>
        <w:t xml:space="preserve">(</w:t>
      </w:r>
      <w:hyperlink w:anchor="ref-598994">
        <w:r>
          <w:rPr>
            <w:rStyle w:val="Hyperlink"/>
          </w:rPr>
          <w:t xml:space="preserve">Ho, 1995</w:t>
        </w:r>
      </w:hyperlink>
      <w:r>
        <w:t xml:space="preserve">)</w:t>
      </w:r>
      <w:r>
        <w:t xml:space="preserve">.</w:t>
      </w:r>
    </w:p>
    <w:bookmarkEnd w:id="51"/>
    <w:bookmarkStart w:id="52" w:name="X85ebae8c07381962c11a2b5a529d92f98c10abe"/>
    <w:p>
      <w:pPr>
        <w:pStyle w:val="Heading2"/>
      </w:pPr>
      <w:r>
        <w:t xml:space="preserve">Research area 2: Patient narratives and themes</w:t>
      </w:r>
    </w:p>
    <w:p>
      <w:pPr>
        <w:pStyle w:val="FirstParagraph"/>
      </w:pPr>
      <w:r>
        <w:rPr>
          <w:b/>
          <w:bCs/>
        </w:rPr>
        <w:t xml:space="preserve">Core research question.</w:t>
      </w:r>
      <w:r>
        <w:t xml:space="preserve"> </w:t>
      </w:r>
      <w:r>
        <w:t xml:space="preserve">How do patients conceptualize the their mental health problems, as well as anticipated improvements, and how do these narrative patterns vary across diagnostic categories, baseline severity or sociodemographic (e.g. age, gender) and anamnestic (e.g. childhood trauma) characteristics.</w:t>
      </w:r>
    </w:p>
    <w:p>
      <w:pPr>
        <w:pStyle w:val="BodyText"/>
      </w:pPr>
      <w:r>
        <w:rPr>
          <w:b/>
          <w:bCs/>
        </w:rPr>
        <w:t xml:space="preserve">Text inputs.</w:t>
      </w:r>
      <w:r>
        <w:t xml:space="preserve"> </w:t>
      </w:r>
      <w:r>
        <w:t xml:space="preserve">Q1</w:t>
      </w:r>
      <w:r>
        <w:t xml:space="preserve"> </w:t>
      </w:r>
      <w:r>
        <w:rPr>
          <w:i/>
          <w:iCs/>
        </w:rPr>
        <w:t xml:space="preserve">Problem development</w:t>
      </w:r>
      <w:r>
        <w:t xml:space="preserve">, Q2</w:t>
      </w:r>
      <w:r>
        <w:t xml:space="preserve"> </w:t>
      </w:r>
      <w:r>
        <w:rPr>
          <w:i/>
          <w:iCs/>
        </w:rPr>
        <w:t xml:space="preserve">Extra stressors</w:t>
      </w:r>
      <w:r>
        <w:t xml:space="preserve">, Q3</w:t>
      </w:r>
      <w:r>
        <w:t xml:space="preserve"> </w:t>
      </w:r>
      <w:r>
        <w:rPr>
          <w:i/>
          <w:iCs/>
        </w:rPr>
        <w:t xml:space="preserve">Pre-onset changes</w:t>
      </w:r>
      <w:r>
        <w:t xml:space="preserve">, Q6</w:t>
      </w:r>
      <w:r>
        <w:t xml:space="preserve"> </w:t>
      </w:r>
      <w:r>
        <w:rPr>
          <w:i/>
          <w:iCs/>
        </w:rPr>
        <w:t xml:space="preserve">Problem causes</w:t>
      </w:r>
      <w:r>
        <w:t xml:space="preserve">, Q7</w:t>
      </w:r>
      <w:r>
        <w:t xml:space="preserve"> </w:t>
      </w:r>
      <w:r>
        <w:rPr>
          <w:i/>
          <w:iCs/>
        </w:rPr>
        <w:t xml:space="preserve">Expected improvements</w:t>
      </w:r>
      <w:r>
        <w:t xml:space="preserve">, Q8</w:t>
      </w:r>
      <w:r>
        <w:t xml:space="preserve"> </w:t>
      </w:r>
      <w:r>
        <w:rPr>
          <w:i/>
          <w:iCs/>
        </w:rPr>
        <w:t xml:space="preserve">Environment response</w:t>
      </w:r>
      <w:r>
        <w:t xml:space="preserve">. Question-wise modeling.</w:t>
      </w:r>
    </w:p>
    <w:p>
      <w:pPr>
        <w:pStyle w:val="BodyText"/>
      </w:pPr>
      <w:r>
        <w:rPr>
          <w:b/>
          <w:bCs/>
        </w:rPr>
        <w:t xml:space="preserve">Outcomes.</w:t>
      </w:r>
      <w:r>
        <w:t xml:space="preserve"> </w:t>
      </w:r>
      <w:r>
        <w:t xml:space="preserve">No single predictive outcome is specified, as the primary aim is interpretive and theory-generating rather than predictive.</w:t>
      </w:r>
    </w:p>
    <w:p>
      <w:pPr>
        <w:pStyle w:val="BodyText"/>
      </w:pPr>
      <w:r>
        <w:rPr>
          <w:b/>
          <w:bCs/>
        </w:rPr>
        <w:t xml:space="preserve">Models &amp; evaluation.</w:t>
      </w:r>
      <w:r>
        <w:t xml:space="preserve"> </w:t>
      </w:r>
      <w:r>
        <w:t xml:space="preserve">Topic modeling; interpretive labeling; comparison of topic prevalence across patient groups.</w:t>
      </w:r>
    </w:p>
    <w:bookmarkEnd w:id="52"/>
    <w:bookmarkStart w:id="53" w:name="Xfd3c6e770deaf216731ca65d527dd2692b16ca9"/>
    <w:p>
      <w:pPr>
        <w:pStyle w:val="Heading2"/>
      </w:pPr>
      <w:r>
        <w:t xml:space="preserve">Research area 3: Predicting treatment response and goal attainment (longitudinal prediction)</w:t>
      </w:r>
    </w:p>
    <w:p>
      <w:pPr>
        <w:pStyle w:val="FirstParagraph"/>
      </w:pPr>
      <w:r>
        <w:rPr>
          <w:b/>
          <w:bCs/>
        </w:rPr>
        <w:t xml:space="preserve">Core research question.</w:t>
      </w:r>
      <w:r>
        <w:t xml:space="preserve"> </w:t>
      </w:r>
      <w:r>
        <w:t xml:space="preserve">Can patients’ pre-therapy language predict clinically meaningful treatment outcomes beyond baseline symptom severity and demographic or anamnestic characteristics?</w:t>
      </w:r>
    </w:p>
    <w:p>
      <w:pPr>
        <w:pStyle w:val="BodyText"/>
      </w:pPr>
      <w:r>
        <w:rPr>
          <w:b/>
          <w:bCs/>
        </w:rPr>
        <w:t xml:space="preserve">Conceptual contribution.</w:t>
      </w:r>
      <w:r>
        <w:t xml:space="preserve"> </w:t>
      </w:r>
      <w:r>
        <w:t xml:space="preserve">This substudy extends language-based mental health assessment from cross-sectional validity to prognostic utility. While prior work has primarily examined whether language reflects current symptom severity, less is known about whether pre-therapy narratives contain information relevant for predicting future treatment response.</w:t>
      </w:r>
    </w:p>
    <w:p>
      <w:pPr>
        <w:pStyle w:val="BodyText"/>
      </w:pPr>
      <w:r>
        <w:rPr>
          <w:b/>
          <w:bCs/>
        </w:rPr>
        <w:t xml:space="preserve">Text inputs.</w:t>
      </w:r>
      <w:r>
        <w:t xml:space="preserve"> </w:t>
      </w:r>
      <w:r>
        <w:t xml:space="preserve">Primary: Q10, Q12, Q7, Q1; Secondary: concatenation models.</w:t>
      </w:r>
    </w:p>
    <w:p>
      <w:pPr>
        <w:pStyle w:val="BodyText"/>
      </w:pPr>
      <w:r>
        <w:rPr>
          <w:b/>
          <w:bCs/>
        </w:rPr>
        <w:t xml:space="preserve">Outcomes.</w:t>
      </w:r>
    </w:p>
    <w:p>
      <w:pPr>
        <w:numPr>
          <w:ilvl w:val="0"/>
          <w:numId w:val="1003"/>
        </w:numPr>
      </w:pPr>
      <w:r>
        <w:t xml:space="preserve">Clinician-rated improvement (CGI-Improvement) at 6 months-follow-up assessment.</w:t>
      </w:r>
    </w:p>
    <w:p>
      <w:pPr>
        <w:numPr>
          <w:ilvl w:val="0"/>
          <w:numId w:val="1003"/>
        </w:numPr>
      </w:pPr>
      <w:r>
        <w:t xml:space="preserve">Global therapy outcome ratings (patient- and therapist-reported) at 6 months-follow-up assessment.</w:t>
      </w:r>
    </w:p>
    <w:p>
      <w:pPr>
        <w:numPr>
          <w:ilvl w:val="0"/>
          <w:numId w:val="1003"/>
        </w:numPr>
      </w:pPr>
      <w:r>
        <w:t xml:space="preserve">Goal Attainment Scale at 6 months-follow-up assessment.</w:t>
      </w:r>
    </w:p>
    <w:p>
      <w:pPr>
        <w:numPr>
          <w:ilvl w:val="0"/>
          <w:numId w:val="1003"/>
        </w:numPr>
      </w:pPr>
      <w:r>
        <w:t xml:space="preserve">Pre-Post differences in symptom (BDI-II, BSI/GSI, DASS-42) and well-being (PMH) scales .</w:t>
      </w:r>
    </w:p>
    <w:p>
      <w:pPr>
        <w:pStyle w:val="FirstParagraph"/>
      </w:pPr>
      <w:r>
        <w:rPr>
          <w:b/>
          <w:bCs/>
        </w:rPr>
        <w:t xml:space="preserve">Models &amp; evaluation.</w:t>
      </w:r>
    </w:p>
    <w:p>
      <w:pPr>
        <w:numPr>
          <w:ilvl w:val="0"/>
          <w:numId w:val="1004"/>
        </w:numPr>
      </w:pPr>
      <w:r>
        <w:t xml:space="preserve">Baseline prognostic models: Demographic variables and baseline symptom severity and well-being (e.g., BDI-II, BSI/GSI, PMH, CGI-Severity).</w:t>
      </w:r>
    </w:p>
    <w:p>
      <w:pPr>
        <w:numPr>
          <w:ilvl w:val="0"/>
          <w:numId w:val="1004"/>
        </w:numPr>
      </w:pPr>
      <w:r>
        <w:t xml:space="preserve">Language-augmented models: Baseline predictors plus pre-therapy language representations.</w:t>
      </w:r>
    </w:p>
    <w:bookmarkEnd w:id="53"/>
    <w:bookmarkStart w:id="54" w:name="X9d0a033f43185ca6494a89fe16bd34606c27e91"/>
    <w:p>
      <w:pPr>
        <w:pStyle w:val="Heading2"/>
      </w:pPr>
      <w:r>
        <w:t xml:space="preserve">Research area 4: Prompt-based LLMs for interpretable language assessment</w:t>
      </w:r>
    </w:p>
    <w:p>
      <w:pPr>
        <w:pStyle w:val="FirstParagraph"/>
      </w:pPr>
      <w:r>
        <w:rPr>
          <w:b/>
          <w:bCs/>
        </w:rPr>
        <w:t xml:space="preserve">Core research question.</w:t>
      </w:r>
      <w:r>
        <w:t xml:space="preserve"> </w:t>
      </w:r>
      <w:r>
        <w:t xml:space="preserve">Can prompt-based LLMs reliably extract interpretable, clinically meaningful scores from pre-therapy narratives, and do these language measures add incremental value beyond (a) standardized questionnaires and (b) embedding-based language representations?</w:t>
      </w:r>
    </w:p>
    <w:bookmarkEnd w:id="54"/>
    <w:bookmarkEnd w:id="55"/>
    <w:p>
      <w:pPr>
        <w:pStyle w:val="Heading1"/>
      </w:pPr>
      <w:r>
        <w:t xml:space="preserve">References</w:t>
      </w:r>
    </w:p>
    <w:bookmarkStart w:id="106" w:name="refs"/>
    <w:bookmarkStart w:id="56" w:name="ref-Beck1996"/>
    <w:p>
      <w:pPr>
        <w:pStyle w:val="Bibliography"/>
      </w:pPr>
      <w:r>
        <w:t xml:space="preserve">Beck, A. T., Steer, R. A., &amp; Brown, G. K. (1996).</w:t>
      </w:r>
      <w:r>
        <w:t xml:space="preserve"> </w:t>
      </w:r>
      <w:r>
        <w:rPr>
          <w:i/>
          <w:iCs/>
        </w:rPr>
        <w:t xml:space="preserve">BDI-II</w:t>
      </w:r>
      <w:r>
        <w:rPr>
          <w:i/>
          <w:iCs/>
        </w:rPr>
        <w:t xml:space="preserve">:</w:t>
      </w:r>
      <w:r>
        <w:rPr>
          <w:i/>
          <w:iCs/>
        </w:rPr>
        <w:t xml:space="preserve"> </w:t>
      </w:r>
      <w:r>
        <w:rPr>
          <w:i/>
          <w:iCs/>
        </w:rPr>
        <w:t xml:space="preserve">Beck Depression Inventory</w:t>
      </w:r>
      <w:r>
        <w:rPr>
          <w:i/>
          <w:iCs/>
        </w:rPr>
        <w:t xml:space="preserve"> </w:t>
      </w:r>
      <w:r>
        <w:rPr>
          <w:i/>
          <w:iCs/>
        </w:rPr>
        <w:t xml:space="preserve">manual</w:t>
      </w:r>
      <w:r>
        <w:t xml:space="preserve"> </w:t>
      </w:r>
      <w:r>
        <w:t xml:space="preserve">(2nd ed.). Psychological Corporation.</w:t>
      </w:r>
    </w:p>
    <w:bookmarkEnd w:id="56"/>
    <w:bookmarkStart w:id="58" w:name="ref-bernstein2003"/>
    <w:p>
      <w:pPr>
        <w:pStyle w:val="Bibliography"/>
      </w:pPr>
      <w:r>
        <w:t xml:space="preserve">Bernstein, D. P., Stein, J. A., Newcomb, M. D., Walker, E., Pogge, D., Ahluvalia, T., Stokes, J., Handelsman, L., Medrano, M., Desmond, D., &amp; Zule, W. (2003). Development and validation of a brief screening version of the Childhood Trauma Questionnaire.</w:t>
      </w:r>
      <w:r>
        <w:t xml:space="preserve"> </w:t>
      </w:r>
      <w:r>
        <w:rPr>
          <w:i/>
          <w:iCs/>
        </w:rPr>
        <w:t xml:space="preserve">Child Abuse &amp; Neglect</w:t>
      </w:r>
      <w:r>
        <w:t xml:space="preserve">,</w:t>
      </w:r>
      <w:r>
        <w:t xml:space="preserve"> </w:t>
      </w:r>
      <w:r>
        <w:rPr>
          <w:i/>
          <w:iCs/>
        </w:rPr>
        <w:t xml:space="preserve">27</w:t>
      </w:r>
      <w:r>
        <w:t xml:space="preserve">(2), 169–190.</w:t>
      </w:r>
      <w:r>
        <w:t xml:space="preserve"> </w:t>
      </w:r>
      <w:hyperlink r:id="rId57">
        <w:r>
          <w:rPr>
            <w:rStyle w:val="Hyperlink"/>
          </w:rPr>
          <w:t xml:space="preserve">https://doi.org/10.1016/s0145-2134(02)00541-0</w:t>
        </w:r>
      </w:hyperlink>
    </w:p>
    <w:bookmarkEnd w:id="58"/>
    <w:bookmarkStart w:id="59" w:name="ref-chorpita2011evidence"/>
    <w:p>
      <w:pPr>
        <w:pStyle w:val="Bibliography"/>
      </w:pPr>
      <w:r>
        <w:t xml:space="preserve">Chorpita, B. F., Daleiden, E. L., Ebesutani, C., Young, J., Becker, K. D., Nakamura, B. J., Phillips, L., Ward, A., Lynch, R., Trent, L., et al. (2011). Evidence-based treatments for children and adolescents:</w:t>
      </w:r>
      <w:r>
        <w:t xml:space="preserve"> </w:t>
      </w:r>
      <w:r>
        <w:t xml:space="preserve">An</w:t>
      </w:r>
      <w:r>
        <w:t xml:space="preserve"> </w:t>
      </w:r>
      <w:r>
        <w:t xml:space="preserve">updated review of indicators of efficacy and effectiveness.</w:t>
      </w:r>
      <w:r>
        <w:t xml:space="preserve"> </w:t>
      </w:r>
      <w:r>
        <w:rPr>
          <w:i/>
          <w:iCs/>
        </w:rPr>
        <w:t xml:space="preserve">Clinical Psychology: Science and Practice</w:t>
      </w:r>
      <w:r>
        <w:t xml:space="preserve">,</w:t>
      </w:r>
      <w:r>
        <w:t xml:space="preserve"> </w:t>
      </w:r>
      <w:r>
        <w:rPr>
          <w:i/>
          <w:iCs/>
        </w:rPr>
        <w:t xml:space="preserve">18</w:t>
      </w:r>
      <w:r>
        <w:t xml:space="preserve">(2), 154–172.</w:t>
      </w:r>
    </w:p>
    <w:bookmarkEnd w:id="59"/>
    <w:bookmarkStart w:id="61" w:name="ref-devlin-etal-2019-bert"/>
    <w:p>
      <w:pPr>
        <w:pStyle w:val="Bibliography"/>
      </w:pPr>
      <w:r>
        <w:t xml:space="preserve">Devlin, J., Chang, M.-W., Lee, K., &amp; Toutanova, K. (2019).</w:t>
      </w:r>
      <w:r>
        <w:t xml:space="preserve"> </w:t>
      </w:r>
      <w:r>
        <w:t xml:space="preserve">BERT</w:t>
      </w:r>
      <w:r>
        <w:t xml:space="preserve">:</w:t>
      </w:r>
      <w:r>
        <w:t xml:space="preserve"> </w:t>
      </w:r>
      <w:r>
        <w:t xml:space="preserve">Pre-training</w:t>
      </w:r>
      <w:r>
        <w:t xml:space="preserve"> </w:t>
      </w:r>
      <w:r>
        <w:t xml:space="preserve">of deep bidirectional transformers for language understanding. In J. Burstein, C. Doran, &amp; T. Solorio (Eds.),</w:t>
      </w:r>
      <w:r>
        <w:t xml:space="preserve"> </w:t>
      </w:r>
      <w:r>
        <w:rPr>
          <w:i/>
          <w:iCs/>
        </w:rPr>
        <w:t xml:space="preserve">Proceedings of the 2019 conference of the north</w:t>
      </w:r>
      <w:r>
        <w:rPr>
          <w:i/>
          <w:iCs/>
        </w:rPr>
        <w:t xml:space="preserve"> </w:t>
      </w:r>
      <w:r>
        <w:rPr>
          <w:i/>
          <w:iCs/>
        </w:rPr>
        <w:t xml:space="preserve">American</w:t>
      </w:r>
      <w:r>
        <w:rPr>
          <w:i/>
          <w:iCs/>
        </w:rPr>
        <w:t xml:space="preserve"> </w:t>
      </w:r>
      <w:r>
        <w:rPr>
          <w:i/>
          <w:iCs/>
        </w:rPr>
        <w:t xml:space="preserve">chapter of the association for computational linguistics:</w:t>
      </w:r>
      <w:r>
        <w:rPr>
          <w:i/>
          <w:iCs/>
        </w:rPr>
        <w:t xml:space="preserve"> </w:t>
      </w:r>
      <w:r>
        <w:rPr>
          <w:i/>
          <w:iCs/>
        </w:rPr>
        <w:t xml:space="preserve">Human</w:t>
      </w:r>
      <w:r>
        <w:rPr>
          <w:i/>
          <w:iCs/>
        </w:rPr>
        <w:t xml:space="preserve"> </w:t>
      </w:r>
      <w:r>
        <w:rPr>
          <w:i/>
          <w:iCs/>
        </w:rPr>
        <w:t xml:space="preserve">language technologies, volume 1 (long and short papers)</w:t>
      </w:r>
      <w:r>
        <w:t xml:space="preserve"> </w:t>
      </w:r>
      <w:r>
        <w:t xml:space="preserve">(pp. 4171–4186). Association for Computational Linguistics.</w:t>
      </w:r>
      <w:r>
        <w:t xml:space="preserve"> </w:t>
      </w:r>
      <w:hyperlink r:id="rId60">
        <w:r>
          <w:rPr>
            <w:rStyle w:val="Hyperlink"/>
          </w:rPr>
          <w:t xml:space="preserve">https://doi.org/10.18653/v1/N19-1423</w:t>
        </w:r>
      </w:hyperlink>
    </w:p>
    <w:bookmarkEnd w:id="61"/>
    <w:bookmarkStart w:id="63" w:name="ref-eberhardt2024"/>
    <w:p>
      <w:pPr>
        <w:pStyle w:val="Bibliography"/>
      </w:pPr>
      <w:r>
        <w:t xml:space="preserve">Eberhardt, S. T., Schaffrath, J., Moggia, D., Schwartz, B., Jaehde, M., Rubel, J. A., Baur, T., André, E., &amp; Lutz, W. (2024). Decoding emotions: Exploring the validity of sentiment analysis in psychotherapy.</w:t>
      </w:r>
      <w:r>
        <w:t xml:space="preserve"> </w:t>
      </w:r>
      <w:r>
        <w:rPr>
          <w:i/>
          <w:iCs/>
        </w:rPr>
        <w:t xml:space="preserve">Psychotherapy Research</w:t>
      </w:r>
      <w:r>
        <w:t xml:space="preserve">,</w:t>
      </w:r>
      <w:r>
        <w:t xml:space="preserve"> </w:t>
      </w:r>
      <w:r>
        <w:rPr>
          <w:i/>
          <w:iCs/>
        </w:rPr>
        <w:t xml:space="preserve">35</w:t>
      </w:r>
      <w:r>
        <w:t xml:space="preserve">(2), 174–189.</w:t>
      </w:r>
      <w:r>
        <w:t xml:space="preserve"> </w:t>
      </w:r>
      <w:hyperlink r:id="rId62">
        <w:r>
          <w:rPr>
            <w:rStyle w:val="Hyperlink"/>
          </w:rPr>
          <w:t xml:space="preserve">https://doi.org/10.1080/10503307.2024.2322522</w:t>
        </w:r>
      </w:hyperlink>
    </w:p>
    <w:bookmarkEnd w:id="63"/>
    <w:bookmarkStart w:id="65" w:name="ref-eichstaedt2018"/>
    <w:p>
      <w:pPr>
        <w:pStyle w:val="Bibliography"/>
      </w:pPr>
      <w:r>
        <w:t xml:space="preserve">Eichstaedt, J. C., Smith, R. J., Merchant, R. M., Ungar, L. H., Crutchley, P., Preoţiuc-Pietro, D., Asch, D. A., &amp; Schwartz, H. A. (2018). Facebook language predicts depression in medical records.</w:t>
      </w:r>
      <w:r>
        <w:t xml:space="preserve"> </w:t>
      </w:r>
      <w:r>
        <w:rPr>
          <w:i/>
          <w:iCs/>
        </w:rPr>
        <w:t xml:space="preserve">Proceedings of the National Academy of Sciences</w:t>
      </w:r>
      <w:r>
        <w:t xml:space="preserve">,</w:t>
      </w:r>
      <w:r>
        <w:t xml:space="preserve"> </w:t>
      </w:r>
      <w:r>
        <w:rPr>
          <w:i/>
          <w:iCs/>
        </w:rPr>
        <w:t xml:space="preserve">115</w:t>
      </w:r>
      <w:r>
        <w:t xml:space="preserve">(44), 11203–11208.</w:t>
      </w:r>
      <w:r>
        <w:t xml:space="preserve"> </w:t>
      </w:r>
      <w:hyperlink r:id="rId64">
        <w:r>
          <w:rPr>
            <w:rStyle w:val="Hyperlink"/>
          </w:rPr>
          <w:t xml:space="preserve">https://doi.org/10.1073/pnas.1802331115</w:t>
        </w:r>
      </w:hyperlink>
    </w:p>
    <w:bookmarkEnd w:id="65"/>
    <w:bookmarkStart w:id="66" w:name="ref-book"/>
    <w:p>
      <w:pPr>
        <w:pStyle w:val="Bibliography"/>
      </w:pPr>
      <w:r>
        <w:t xml:space="preserve">Franke, G. (2002).</w:t>
      </w:r>
      <w:r>
        <w:t xml:space="preserve"> </w:t>
      </w:r>
      <w:r>
        <w:rPr>
          <w:i/>
          <w:iCs/>
        </w:rPr>
        <w:t xml:space="preserve">Franke, g.h. (2000). BSI. Brief symptom inventory - deutsche version. Manual. Göttingen: beltz.</w:t>
      </w:r>
    </w:p>
    <w:bookmarkEnd w:id="66"/>
    <w:bookmarkStart w:id="68" w:name="ref-598994"/>
    <w:p>
      <w:pPr>
        <w:pStyle w:val="Bibliography"/>
      </w:pPr>
      <w:r>
        <w:t xml:space="preserve">Ho, T. K. (1995). Random decision forests.</w:t>
      </w:r>
      <w:r>
        <w:t xml:space="preserve"> </w:t>
      </w:r>
      <w:r>
        <w:rPr>
          <w:i/>
          <w:iCs/>
        </w:rPr>
        <w:t xml:space="preserve">Proceedings of 3rd International Conference on Document Analysis and Recognition</w:t>
      </w:r>
      <w:r>
        <w:t xml:space="preserve">,</w:t>
      </w:r>
      <w:r>
        <w:t xml:space="preserve"> </w:t>
      </w:r>
      <w:r>
        <w:rPr>
          <w:i/>
          <w:iCs/>
        </w:rPr>
        <w:t xml:space="preserve">1</w:t>
      </w:r>
      <w:r>
        <w:t xml:space="preserve">, 278–282 vol.1.</w:t>
      </w:r>
      <w:r>
        <w:t xml:space="preserve"> </w:t>
      </w:r>
      <w:hyperlink r:id="rId67">
        <w:r>
          <w:rPr>
            <w:rStyle w:val="Hyperlink"/>
          </w:rPr>
          <w:t xml:space="preserve">https://doi.org/10.1109/ICDAR.1995.598994</w:t>
        </w:r>
      </w:hyperlink>
    </w:p>
    <w:bookmarkEnd w:id="68"/>
    <w:bookmarkStart w:id="70" w:name="ref-Hoerl1970"/>
    <w:p>
      <w:pPr>
        <w:pStyle w:val="Bibliography"/>
      </w:pPr>
      <w:r>
        <w:t xml:space="preserve">Hoerl, A. E., &amp; Kennard, R. W. (1970). Ridge</w:t>
      </w:r>
      <w:r>
        <w:t xml:space="preserve"> </w:t>
      </w:r>
      <w:r>
        <w:t xml:space="preserve">Regression</w:t>
      </w:r>
      <w:r>
        <w:t xml:space="preserve">:</w:t>
      </w:r>
      <w:r>
        <w:t xml:space="preserve"> </w:t>
      </w:r>
      <w:r>
        <w:t xml:space="preserve">Biased Estimation</w:t>
      </w:r>
      <w:r>
        <w:t xml:space="preserve"> </w:t>
      </w:r>
      <w:r>
        <w:t xml:space="preserve">for</w:t>
      </w:r>
      <w:r>
        <w:t xml:space="preserve"> </w:t>
      </w:r>
      <w:r>
        <w:t xml:space="preserve">Nonorthogonal Problems</w:t>
      </w:r>
      <w:r>
        <w:t xml:space="preserve">.</w:t>
      </w:r>
      <w:r>
        <w:t xml:space="preserve"> </w:t>
      </w:r>
      <w:r>
        <w:rPr>
          <w:i/>
          <w:iCs/>
        </w:rPr>
        <w:t xml:space="preserve">Technometrics</w:t>
      </w:r>
      <w:r>
        <w:t xml:space="preserve">,</w:t>
      </w:r>
      <w:r>
        <w:t xml:space="preserve"> </w:t>
      </w:r>
      <w:r>
        <w:rPr>
          <w:i/>
          <w:iCs/>
        </w:rPr>
        <w:t xml:space="preserve">12</w:t>
      </w:r>
      <w:r>
        <w:t xml:space="preserve">(1), 55–67.</w:t>
      </w:r>
      <w:r>
        <w:t xml:space="preserve"> </w:t>
      </w:r>
      <w:hyperlink r:id="rId69">
        <w:r>
          <w:rPr>
            <w:rStyle w:val="Hyperlink"/>
          </w:rPr>
          <w:t xml:space="preserve">https://doi.org/10.1080/00401706.1970.10488634</w:t>
        </w:r>
      </w:hyperlink>
    </w:p>
    <w:bookmarkEnd w:id="70"/>
    <w:bookmarkStart w:id="72" w:name="ref-Jensen-Doss2008"/>
    <w:p>
      <w:pPr>
        <w:pStyle w:val="Bibliography"/>
      </w:pPr>
      <w:r>
        <w:t xml:space="preserve">Jensen-Doss, A., &amp; Weisz, J. R. (2008). Diagnostic agreement predicts treatment process and outcomes in youth mental health clinics.</w:t>
      </w:r>
      <w:r>
        <w:t xml:space="preserve"> </w:t>
      </w:r>
      <w:r>
        <w:rPr>
          <w:i/>
          <w:iCs/>
        </w:rPr>
        <w:t xml:space="preserve">Journal of Consulting and Clinical Psychology</w:t>
      </w:r>
      <w:r>
        <w:t xml:space="preserve">,</w:t>
      </w:r>
      <w:r>
        <w:t xml:space="preserve"> </w:t>
      </w:r>
      <w:r>
        <w:rPr>
          <w:i/>
          <w:iCs/>
        </w:rPr>
        <w:t xml:space="preserve">76</w:t>
      </w:r>
      <w:r>
        <w:t xml:space="preserve">(5), 711–722.</w:t>
      </w:r>
      <w:r>
        <w:t xml:space="preserve"> </w:t>
      </w:r>
      <w:hyperlink r:id="rId71">
        <w:r>
          <w:rPr>
            <w:rStyle w:val="Hyperlink"/>
          </w:rPr>
          <w:t xml:space="preserve">https://doi.org/10.1037/0022-006X.76.5.711</w:t>
        </w:r>
      </w:hyperlink>
    </w:p>
    <w:bookmarkEnd w:id="72"/>
    <w:bookmarkStart w:id="74" w:name="ref-kiresuk1968"/>
    <w:p>
      <w:pPr>
        <w:pStyle w:val="Bibliography"/>
      </w:pPr>
      <w:r>
        <w:t xml:space="preserve">Kiresuk, T. J., &amp; Sherman, R. E. (1968). Goal attainment scaling: A general method for evaluating comprehensive community mental health programs.</w:t>
      </w:r>
      <w:r>
        <w:t xml:space="preserve"> </w:t>
      </w:r>
      <w:r>
        <w:rPr>
          <w:i/>
          <w:iCs/>
        </w:rPr>
        <w:t xml:space="preserve">Community Mental Health Journal</w:t>
      </w:r>
      <w:r>
        <w:t xml:space="preserve">,</w:t>
      </w:r>
      <w:r>
        <w:t xml:space="preserve"> </w:t>
      </w:r>
      <w:r>
        <w:rPr>
          <w:i/>
          <w:iCs/>
        </w:rPr>
        <w:t xml:space="preserve">4</w:t>
      </w:r>
      <w:r>
        <w:t xml:space="preserve">(6), 443–453.</w:t>
      </w:r>
      <w:r>
        <w:t xml:space="preserve"> </w:t>
      </w:r>
      <w:hyperlink r:id="rId73">
        <w:r>
          <w:rPr>
            <w:rStyle w:val="Hyperlink"/>
          </w:rPr>
          <w:t xml:space="preserve">https://doi.org/10.1007/BF01530764</w:t>
        </w:r>
      </w:hyperlink>
    </w:p>
    <w:bookmarkEnd w:id="74"/>
    <w:bookmarkStart w:id="76" w:name="Xfa5e15e36a95c69dddff7a1923dfc0ebd691fd8"/>
    <w:p>
      <w:pPr>
        <w:pStyle w:val="Bibliography"/>
      </w:pPr>
      <w:r>
        <w:t xml:space="preserve">Kjell, O. N. E., Ganesan, A. V., Boyd, R., Oltmanns, J. R., Rivero, A., Feltman, S., Carr, M. A., Luft, B. J., Kotov, R., &amp; Schwartz, H. A. (2024).</w:t>
      </w:r>
      <w:r>
        <w:t xml:space="preserve"> </w:t>
      </w:r>
      <w:r>
        <w:rPr>
          <w:i/>
          <w:iCs/>
        </w:rPr>
        <w:t xml:space="preserve">Demonstrating high validity of a new</w:t>
      </w:r>
      <w:r>
        <w:rPr>
          <w:i/>
          <w:iCs/>
        </w:rPr>
        <w:t xml:space="preserve"> </w:t>
      </w:r>
      <w:r>
        <w:rPr>
          <w:i/>
          <w:iCs/>
        </w:rPr>
        <w:t xml:space="preserve">AI-language</w:t>
      </w:r>
      <w:r>
        <w:rPr>
          <w:i/>
          <w:iCs/>
        </w:rPr>
        <w:t xml:space="preserve"> </w:t>
      </w:r>
      <w:r>
        <w:rPr>
          <w:i/>
          <w:iCs/>
        </w:rPr>
        <w:t xml:space="preserve">assessment of</w:t>
      </w:r>
      <w:r>
        <w:rPr>
          <w:i/>
          <w:iCs/>
        </w:rPr>
        <w:t xml:space="preserve"> </w:t>
      </w:r>
      <w:r>
        <w:rPr>
          <w:i/>
          <w:iCs/>
        </w:rPr>
        <w:t xml:space="preserve">PTSD</w:t>
      </w:r>
      <w:r>
        <w:rPr>
          <w:i/>
          <w:iCs/>
        </w:rPr>
        <w:t xml:space="preserve">: A sequential evaluation with model pre-registration</w:t>
      </w:r>
      <w:r>
        <w:t xml:space="preserve">. PsyArXiv.</w:t>
      </w:r>
      <w:r>
        <w:t xml:space="preserve"> </w:t>
      </w:r>
      <w:hyperlink r:id="rId75">
        <w:r>
          <w:rPr>
            <w:rStyle w:val="Hyperlink"/>
          </w:rPr>
          <w:t xml:space="preserve">https://doi.org/10.31234/osf.io/xw24e</w:t>
        </w:r>
      </w:hyperlink>
    </w:p>
    <w:bookmarkEnd w:id="76"/>
    <w:bookmarkStart w:id="78" w:name="ref-kjell2019semantic"/>
    <w:p>
      <w:pPr>
        <w:pStyle w:val="Bibliography"/>
      </w:pPr>
      <w:r>
        <w:t xml:space="preserve">Kjell, O. N. E., Kjell, K., Garcia, D., &amp; Sikström, S. (2019). Semantic measures:</w:t>
      </w:r>
      <w:r>
        <w:t xml:space="preserve"> </w:t>
      </w:r>
      <w:r>
        <w:t xml:space="preserve">Using</w:t>
      </w:r>
      <w:r>
        <w:t xml:space="preserve"> </w:t>
      </w:r>
      <w:r>
        <w:t xml:space="preserve">natural language processing to measure, differentiate, and describe psychological constructs.</w:t>
      </w:r>
      <w:r>
        <w:t xml:space="preserve"> </w:t>
      </w:r>
      <w:r>
        <w:rPr>
          <w:i/>
          <w:iCs/>
        </w:rPr>
        <w:t xml:space="preserve">Psychological Methods</w:t>
      </w:r>
      <w:r>
        <w:t xml:space="preserve">,</w:t>
      </w:r>
      <w:r>
        <w:t xml:space="preserve"> </w:t>
      </w:r>
      <w:r>
        <w:rPr>
          <w:i/>
          <w:iCs/>
        </w:rPr>
        <w:t xml:space="preserve">24</w:t>
      </w:r>
      <w:r>
        <w:t xml:space="preserve">(1), 92–115.</w:t>
      </w:r>
      <w:r>
        <w:t xml:space="preserve"> </w:t>
      </w:r>
      <w:hyperlink r:id="rId77">
        <w:r>
          <w:rPr>
            <w:rStyle w:val="Hyperlink"/>
          </w:rPr>
          <w:t xml:space="preserve">https://doi.org/10.1037/met0000191</w:t>
        </w:r>
      </w:hyperlink>
    </w:p>
    <w:bookmarkEnd w:id="78"/>
    <w:bookmarkStart w:id="80" w:name="ref-Kjell2024"/>
    <w:p>
      <w:pPr>
        <w:pStyle w:val="Bibliography"/>
      </w:pPr>
      <w:r>
        <w:t xml:space="preserve">Kjell, O. N. E., Kjell, K., &amp; Schwartz, H. A. (2024). Beyond rating scales:</w:t>
      </w:r>
      <w:r>
        <w:t xml:space="preserve"> </w:t>
      </w:r>
      <w:r>
        <w:t xml:space="preserve">With</w:t>
      </w:r>
      <w:r>
        <w:t xml:space="preserve"> </w:t>
      </w:r>
      <w:r>
        <w:t xml:space="preserve">targeted evaluation, large language models are poised for psychological assessment.</w:t>
      </w:r>
      <w:r>
        <w:t xml:space="preserve"> </w:t>
      </w:r>
      <w:r>
        <w:rPr>
          <w:i/>
          <w:iCs/>
        </w:rPr>
        <w:t xml:space="preserve">Psychiatry Research</w:t>
      </w:r>
      <w:r>
        <w:t xml:space="preserve">,</w:t>
      </w:r>
      <w:r>
        <w:t xml:space="preserve"> </w:t>
      </w:r>
      <w:r>
        <w:rPr>
          <w:i/>
          <w:iCs/>
        </w:rPr>
        <w:t xml:space="preserve">333</w:t>
      </w:r>
      <w:r>
        <w:t xml:space="preserve">, 115667.</w:t>
      </w:r>
      <w:r>
        <w:t xml:space="preserve"> </w:t>
      </w:r>
      <w:hyperlink r:id="rId79">
        <w:r>
          <w:rPr>
            <w:rStyle w:val="Hyperlink"/>
          </w:rPr>
          <w:t xml:space="preserve">https://doi.org/10.1016/j.psychres.2023.115667</w:t>
        </w:r>
      </w:hyperlink>
    </w:p>
    <w:bookmarkEnd w:id="80"/>
    <w:bookmarkStart w:id="82" w:name="ref-Kjell2022"/>
    <w:p>
      <w:pPr>
        <w:pStyle w:val="Bibliography"/>
      </w:pPr>
      <w:r>
        <w:t xml:space="preserve">Kjell, O. N. E., Sikström, S., Kjell, K., &amp; Schwartz, H. A. (2022). Natural language analyzed with</w:t>
      </w:r>
      <w:r>
        <w:t xml:space="preserve"> </w:t>
      </w:r>
      <w:r>
        <w:t xml:space="preserve">AI-based</w:t>
      </w:r>
      <w:r>
        <w:t xml:space="preserve"> </w:t>
      </w:r>
      <w:r>
        <w:t xml:space="preserve">transformers predict traditional subjective well-being measures approaching the theoretical upper limits in accuracy.</w:t>
      </w:r>
      <w:r>
        <w:t xml:space="preserve"> </w:t>
      </w:r>
      <w:r>
        <w:rPr>
          <w:i/>
          <w:iCs/>
        </w:rPr>
        <w:t xml:space="preserve">Scientific Reports</w:t>
      </w:r>
      <w:r>
        <w:t xml:space="preserve">,</w:t>
      </w:r>
      <w:r>
        <w:t xml:space="preserve"> </w:t>
      </w:r>
      <w:r>
        <w:rPr>
          <w:i/>
          <w:iCs/>
        </w:rPr>
        <w:t xml:space="preserve">12</w:t>
      </w:r>
      <w:r>
        <w:t xml:space="preserve">(1), 3918.</w:t>
      </w:r>
      <w:r>
        <w:t xml:space="preserve"> </w:t>
      </w:r>
      <w:hyperlink r:id="rId81">
        <w:r>
          <w:rPr>
            <w:rStyle w:val="Hyperlink"/>
          </w:rPr>
          <w:t xml:space="preserve">https://doi.org/10.1038/s41598-022-07520-w</w:t>
        </w:r>
      </w:hyperlink>
    </w:p>
    <w:bookmarkEnd w:id="82"/>
    <w:bookmarkStart w:id="83" w:name="ref-Likert1932"/>
    <w:p>
      <w:pPr>
        <w:pStyle w:val="Bibliography"/>
      </w:pPr>
      <w:r>
        <w:t xml:space="preserve">Likert, R. (1932). A technique for the measurement of attitudes.</w:t>
      </w:r>
      <w:r>
        <w:t xml:space="preserve"> </w:t>
      </w:r>
      <w:r>
        <w:rPr>
          <w:i/>
          <w:iCs/>
        </w:rPr>
        <w:t xml:space="preserve">Arch. Psychol.</w:t>
      </w:r>
      <w:r>
        <w:t xml:space="preserve">,</w:t>
      </w:r>
      <w:r>
        <w:t xml:space="preserve"> </w:t>
      </w:r>
      <w:r>
        <w:rPr>
          <w:i/>
          <w:iCs/>
        </w:rPr>
        <w:t xml:space="preserve">140</w:t>
      </w:r>
      <w:r>
        <w:t xml:space="preserve">(55).</w:t>
      </w:r>
    </w:p>
    <w:bookmarkEnd w:id="83"/>
    <w:bookmarkStart w:id="85" w:name="ref-Lovibond1995"/>
    <w:p>
      <w:pPr>
        <w:pStyle w:val="Bibliography"/>
      </w:pPr>
      <w:r>
        <w:t xml:space="preserve">Lovibond, P. F., &amp; Lovibond, S. H. (1995). The structure of negative emotional states: Comparison of the Depression Anxiety Stress Scales (DASS) with the Beck Depression and Anxiety Inventories.</w:t>
      </w:r>
      <w:r>
        <w:t xml:space="preserve"> </w:t>
      </w:r>
      <w:r>
        <w:rPr>
          <w:i/>
          <w:iCs/>
        </w:rPr>
        <w:t xml:space="preserve">Behaviour Research and Therapy</w:t>
      </w:r>
      <w:r>
        <w:t xml:space="preserve">,</w:t>
      </w:r>
      <w:r>
        <w:t xml:space="preserve"> </w:t>
      </w:r>
      <w:r>
        <w:rPr>
          <w:i/>
          <w:iCs/>
        </w:rPr>
        <w:t xml:space="preserve">33</w:t>
      </w:r>
      <w:r>
        <w:t xml:space="preserve">(3), 335–343.</w:t>
      </w:r>
      <w:r>
        <w:t xml:space="preserve"> </w:t>
      </w:r>
      <w:hyperlink r:id="rId84">
        <w:r>
          <w:rPr>
            <w:rStyle w:val="Hyperlink"/>
          </w:rPr>
          <w:t xml:space="preserve">https://doi.org/10.1016/0005-7967(94)00075-u</w:t>
        </w:r>
      </w:hyperlink>
    </w:p>
    <w:bookmarkEnd w:id="85"/>
    <w:bookmarkStart w:id="87" w:name="ref-lukat2016"/>
    <w:p>
      <w:pPr>
        <w:pStyle w:val="Bibliography"/>
      </w:pPr>
      <w:r>
        <w:t xml:space="preserve">Lukat, J., Margraf, J., Lutz, R., Veld, W. M. van der, &amp; Becker, E. S. (2016). Psychometric properties of the positive mental health scale (PMH-scale).</w:t>
      </w:r>
      <w:r>
        <w:t xml:space="preserve"> </w:t>
      </w:r>
      <w:r>
        <w:rPr>
          <w:i/>
          <w:iCs/>
        </w:rPr>
        <w:t xml:space="preserve">BMC Psychology</w:t>
      </w:r>
      <w:r>
        <w:t xml:space="preserve">,</w:t>
      </w:r>
      <w:r>
        <w:t xml:space="preserve"> </w:t>
      </w:r>
      <w:r>
        <w:rPr>
          <w:i/>
          <w:iCs/>
        </w:rPr>
        <w:t xml:space="preserve">4</w:t>
      </w:r>
      <w:r>
        <w:t xml:space="preserve">(1), 8.</w:t>
      </w:r>
      <w:r>
        <w:t xml:space="preserve"> </w:t>
      </w:r>
      <w:hyperlink r:id="rId86">
        <w:r>
          <w:rPr>
            <w:rStyle w:val="Hyperlink"/>
          </w:rPr>
          <w:t xml:space="preserve">https://doi.org/10.1186/s40359-016-0111-x</w:t>
        </w:r>
      </w:hyperlink>
    </w:p>
    <w:bookmarkEnd w:id="87"/>
    <w:bookmarkStart w:id="89" w:name="ref-Lutz2022"/>
    <w:p>
      <w:pPr>
        <w:pStyle w:val="Bibliography"/>
      </w:pPr>
      <w:r>
        <w:t xml:space="preserve">Lutz, W., Schwartz, B., &amp; Delgadillo, J. (2022). Measurement-</w:t>
      </w:r>
      <w:r>
        <w:t xml:space="preserve">Based</w:t>
      </w:r>
      <w:r>
        <w:t xml:space="preserve"> </w:t>
      </w:r>
      <w:r>
        <w:t xml:space="preserve">and</w:t>
      </w:r>
      <w:r>
        <w:t xml:space="preserve"> </w:t>
      </w:r>
      <w:r>
        <w:t xml:space="preserve">Data-Informed Psychological Therapy</w:t>
      </w:r>
      <w:r>
        <w:t xml:space="preserve">.</w:t>
      </w:r>
      <w:r>
        <w:t xml:space="preserve"> </w:t>
      </w:r>
      <w:r>
        <w:rPr>
          <w:i/>
          <w:iCs/>
        </w:rPr>
        <w:t xml:space="preserve">Annual Review of Clinical Psychology</w:t>
      </w:r>
      <w:r>
        <w:t xml:space="preserve">,</w:t>
      </w:r>
      <w:r>
        <w:t xml:space="preserve"> </w:t>
      </w:r>
      <w:r>
        <w:rPr>
          <w:i/>
          <w:iCs/>
        </w:rPr>
        <w:t xml:space="preserve">18</w:t>
      </w:r>
      <w:r>
        <w:t xml:space="preserve">(1), 71–98.</w:t>
      </w:r>
      <w:r>
        <w:t xml:space="preserve"> </w:t>
      </w:r>
      <w:hyperlink r:id="rId88">
        <w:r>
          <w:rPr>
            <w:rStyle w:val="Hyperlink"/>
          </w:rPr>
          <w:t xml:space="preserve">https://doi.org/10.1146/annurev-clinpsy-071720-014821</w:t>
        </w:r>
      </w:hyperlink>
    </w:p>
    <w:bookmarkEnd w:id="89"/>
    <w:bookmarkStart w:id="91" w:name="ref-margraf2021"/>
    <w:p>
      <w:pPr>
        <w:pStyle w:val="Bibliography"/>
      </w:pPr>
      <w:r>
        <w:t xml:space="preserve">Margraf, J., Cwik, J. C., Brachel, R. von, Suppiger, A., &amp; Schneider, S. (2021).</w:t>
      </w:r>
      <w:r>
        <w:t xml:space="preserve"> </w:t>
      </w:r>
      <w:r>
        <w:rPr>
          <w:i/>
          <w:iCs/>
        </w:rPr>
        <w:t xml:space="preserve">DIPS open access 1.2: Diagnostisches interview bei psychischen störungen</w:t>
      </w:r>
      <w:r>
        <w:t xml:space="preserve">.</w:t>
      </w:r>
      <w:r>
        <w:t xml:space="preserve"> </w:t>
      </w:r>
      <w:hyperlink r:id="rId90">
        <w:r>
          <w:rPr>
            <w:rStyle w:val="Hyperlink"/>
          </w:rPr>
          <w:t xml:space="preserve">https://doi.org/10.46586/rub.172.149</w:t>
        </w:r>
      </w:hyperlink>
    </w:p>
    <w:bookmarkEnd w:id="91"/>
    <w:bookmarkStart w:id="93" w:name="ref-michalak2003"/>
    <w:p>
      <w:pPr>
        <w:pStyle w:val="Bibliography"/>
      </w:pPr>
      <w:r>
        <w:t xml:space="preserve">Michalak, J., Kosfelder, J., Meyer, F., &amp; Schulte, D. (2003). Messung des Therapieerfolgs.</w:t>
      </w:r>
      <w:r>
        <w:t xml:space="preserve"> </w:t>
      </w:r>
      <w:r>
        <w:rPr>
          <w:i/>
          <w:iCs/>
        </w:rPr>
        <w:t xml:space="preserve">Zeitschrift für Klinische Psychologie und Psychotherapie</w:t>
      </w:r>
      <w:r>
        <w:t xml:space="preserve">,</w:t>
      </w:r>
      <w:r>
        <w:t xml:space="preserve"> </w:t>
      </w:r>
      <w:r>
        <w:rPr>
          <w:i/>
          <w:iCs/>
        </w:rPr>
        <w:t xml:space="preserve">32</w:t>
      </w:r>
      <w:r>
        <w:t xml:space="preserve">(2), 94–103.</w:t>
      </w:r>
      <w:r>
        <w:t xml:space="preserve"> </w:t>
      </w:r>
      <w:hyperlink r:id="rId92">
        <w:r>
          <w:rPr>
            <w:rStyle w:val="Hyperlink"/>
          </w:rPr>
          <w:t xml:space="preserve">https://doi.org/10.1026/0084-5345.32.2.94</w:t>
        </w:r>
      </w:hyperlink>
    </w:p>
    <w:bookmarkEnd w:id="93"/>
    <w:bookmarkStart w:id="95" w:name="ref-Radford2022"/>
    <w:p>
      <w:pPr>
        <w:pStyle w:val="Bibliography"/>
      </w:pPr>
      <w:r>
        <w:t xml:space="preserve">Radford, A., Kim, J. W., Xu, T., Brockman, G., McLeavey, C., &amp; Sutskever, I. (2022). Robust</w:t>
      </w:r>
      <w:r>
        <w:t xml:space="preserve"> </w:t>
      </w:r>
      <w:r>
        <w:t xml:space="preserve">Speech Recognition</w:t>
      </w:r>
      <w:r>
        <w:t xml:space="preserve"> </w:t>
      </w:r>
      <w:r>
        <w:t xml:space="preserve">via</w:t>
      </w:r>
      <w:r>
        <w:t xml:space="preserve"> </w:t>
      </w:r>
      <w:r>
        <w:t xml:space="preserve">Large-Scale Weak Supervision</w:t>
      </w:r>
      <w:r>
        <w:t xml:space="preserve">.</w:t>
      </w:r>
      <w:r>
        <w:t xml:space="preserve"> </w:t>
      </w:r>
      <w:r>
        <w:rPr>
          <w:i/>
          <w:iCs/>
        </w:rPr>
        <w:t xml:space="preserve">arXiv Preprint arXiv: 2212.04356</w:t>
      </w:r>
      <w:r>
        <w:t xml:space="preserve">.</w:t>
      </w:r>
      <w:r>
        <w:t xml:space="preserve"> </w:t>
      </w:r>
      <w:hyperlink r:id="rId94">
        <w:r>
          <w:rPr>
            <w:rStyle w:val="Hyperlink"/>
          </w:rPr>
          <w:t xml:space="preserve">https://arxiv.org/abs/2212.04356</w:t>
        </w:r>
      </w:hyperlink>
    </w:p>
    <w:bookmarkEnd w:id="95"/>
    <w:bookmarkStart w:id="96" w:name="ref-shannon1948mathematical"/>
    <w:p>
      <w:pPr>
        <w:pStyle w:val="Bibliography"/>
      </w:pPr>
      <w:r>
        <w:t xml:space="preserve">Shannon, C. E. (1948). A mathematical theory of communication.</w:t>
      </w:r>
      <w:r>
        <w:t xml:space="preserve"> </w:t>
      </w:r>
      <w:r>
        <w:rPr>
          <w:i/>
          <w:iCs/>
        </w:rPr>
        <w:t xml:space="preserve">The Bell System Technical Journal</w:t>
      </w:r>
      <w:r>
        <w:t xml:space="preserve">,</w:t>
      </w:r>
      <w:r>
        <w:t xml:space="preserve"> </w:t>
      </w:r>
      <w:r>
        <w:rPr>
          <w:i/>
          <w:iCs/>
        </w:rPr>
        <w:t xml:space="preserve">27</w:t>
      </w:r>
      <w:r>
        <w:t xml:space="preserve">(3), 379423.</w:t>
      </w:r>
    </w:p>
    <w:bookmarkEnd w:id="96"/>
    <w:bookmarkStart w:id="98" w:name="ref-tanana2021"/>
    <w:p>
      <w:pPr>
        <w:pStyle w:val="Bibliography"/>
      </w:pPr>
      <w:r>
        <w:t xml:space="preserve">Tanana, M. J., Soma, C. S., Kuo, P. B., Bertagnolli, N. M., Dembe, A., Pace, B. T., Srikumar, V., Atkins, D. C., &amp; Imel, Z. E. (2021). How do you feel? Using natural language processing to automatically rate emotion in psychotherapy.</w:t>
      </w:r>
      <w:r>
        <w:t xml:space="preserve"> </w:t>
      </w:r>
      <w:r>
        <w:rPr>
          <w:i/>
          <w:iCs/>
        </w:rPr>
        <w:t xml:space="preserve">Behavior Research Methods</w:t>
      </w:r>
      <w:r>
        <w:t xml:space="preserve">,</w:t>
      </w:r>
      <w:r>
        <w:t xml:space="preserve"> </w:t>
      </w:r>
      <w:r>
        <w:rPr>
          <w:i/>
          <w:iCs/>
        </w:rPr>
        <w:t xml:space="preserve">53</w:t>
      </w:r>
      <w:r>
        <w:t xml:space="preserve">(5), 2069–2082.</w:t>
      </w:r>
      <w:r>
        <w:t xml:space="preserve"> </w:t>
      </w:r>
      <w:hyperlink r:id="rId97">
        <w:r>
          <w:rPr>
            <w:rStyle w:val="Hyperlink"/>
          </w:rPr>
          <w:t xml:space="preserve">https://doi.org/10.3758/s13428-020-01531-z</w:t>
        </w:r>
      </w:hyperlink>
    </w:p>
    <w:bookmarkEnd w:id="98"/>
    <w:bookmarkStart w:id="100" w:name="ref-10.1111/j.2517-6161.1996.tb02080.x"/>
    <w:p>
      <w:pPr>
        <w:pStyle w:val="Bibliography"/>
      </w:pPr>
      <w:r>
        <w:t xml:space="preserve">Tibshirani, R. (1996). Regression shrinkage and selection via the lasso.</w:t>
      </w:r>
      <w:r>
        <w:t xml:space="preserve"> </w:t>
      </w:r>
      <w:r>
        <w:rPr>
          <w:i/>
          <w:iCs/>
        </w:rPr>
        <w:t xml:space="preserve">Journal of the Royal Statistical Society: Series B (Methodological)</w:t>
      </w:r>
      <w:r>
        <w:t xml:space="preserve">,</w:t>
      </w:r>
      <w:r>
        <w:t xml:space="preserve"> </w:t>
      </w:r>
      <w:r>
        <w:rPr>
          <w:i/>
          <w:iCs/>
        </w:rPr>
        <w:t xml:space="preserve">58</w:t>
      </w:r>
      <w:r>
        <w:t xml:space="preserve">(1), 267–288.</w:t>
      </w:r>
      <w:r>
        <w:t xml:space="preserve"> </w:t>
      </w:r>
      <w:hyperlink r:id="rId99">
        <w:r>
          <w:rPr>
            <w:rStyle w:val="Hyperlink"/>
          </w:rPr>
          <w:t xml:space="preserve">https://doi.org/10.1111/j.2517-6161.1996.tb02080.x</w:t>
        </w:r>
      </w:hyperlink>
    </w:p>
    <w:bookmarkEnd w:id="100"/>
    <w:bookmarkStart w:id="101" w:name="ref-Vaswani2017"/>
    <w:p>
      <w:pPr>
        <w:pStyle w:val="Bibliography"/>
      </w:pPr>
      <w:r>
        <w:t xml:space="preserve">Vaswani, A., Shazeer, N., Parmar, N., Uszkoreit, J., Jones, L., Gomez, A. N., Kaiser, L., &amp; Polosukhin, I. (2017). Attention is</w:t>
      </w:r>
      <w:r>
        <w:t xml:space="preserve"> </w:t>
      </w:r>
      <w:r>
        <w:t xml:space="preserve">All</w:t>
      </w:r>
      <w:r>
        <w:t xml:space="preserve"> </w:t>
      </w:r>
      <w:r>
        <w:t xml:space="preserve">you</w:t>
      </w:r>
      <w:r>
        <w:t xml:space="preserve"> </w:t>
      </w:r>
      <w:r>
        <w:t xml:space="preserve">Need</w:t>
      </w:r>
      <w:r>
        <w:t xml:space="preserve">.</w:t>
      </w:r>
      <w:r>
        <w:t xml:space="preserve"> </w:t>
      </w:r>
      <w:r>
        <w:rPr>
          <w:i/>
          <w:iCs/>
        </w:rPr>
        <w:t xml:space="preserve">Advances in</w:t>
      </w:r>
      <w:r>
        <w:rPr>
          <w:i/>
          <w:iCs/>
        </w:rPr>
        <w:t xml:space="preserve"> </w:t>
      </w:r>
      <w:r>
        <w:rPr>
          <w:i/>
          <w:iCs/>
        </w:rPr>
        <w:t xml:space="preserve">Neural Information Processing Systems</w:t>
      </w:r>
      <w:r>
        <w:t xml:space="preserve">,</w:t>
      </w:r>
      <w:r>
        <w:t xml:space="preserve"> </w:t>
      </w:r>
      <w:r>
        <w:rPr>
          <w:i/>
          <w:iCs/>
        </w:rPr>
        <w:t xml:space="preserve">30</w:t>
      </w:r>
      <w:r>
        <w:t xml:space="preserve">.</w:t>
      </w:r>
    </w:p>
    <w:bookmarkEnd w:id="101"/>
    <w:bookmarkStart w:id="102" w:name="ref-wampold2015great"/>
    <w:p>
      <w:pPr>
        <w:pStyle w:val="Bibliography"/>
      </w:pPr>
      <w:r>
        <w:t xml:space="preserve">Wampold, B. E., &amp; Imel, Z. E. (2015).</w:t>
      </w:r>
      <w:r>
        <w:t xml:space="preserve"> </w:t>
      </w:r>
      <w:r>
        <w:rPr>
          <w:i/>
          <w:iCs/>
        </w:rPr>
        <w:t xml:space="preserve">The great psychotherapy debate:</w:t>
      </w:r>
      <w:r>
        <w:rPr>
          <w:i/>
          <w:iCs/>
        </w:rPr>
        <w:t xml:space="preserve"> </w:t>
      </w:r>
      <w:r>
        <w:rPr>
          <w:i/>
          <w:iCs/>
        </w:rPr>
        <w:t xml:space="preserve">The</w:t>
      </w:r>
      <w:r>
        <w:rPr>
          <w:i/>
          <w:iCs/>
        </w:rPr>
        <w:t xml:space="preserve"> </w:t>
      </w:r>
      <w:r>
        <w:rPr>
          <w:i/>
          <w:iCs/>
        </w:rPr>
        <w:t xml:space="preserve">evidence for what makes psychotherapy work</w:t>
      </w:r>
      <w:r>
        <w:t xml:space="preserve">. Routledge.</w:t>
      </w:r>
    </w:p>
    <w:bookmarkEnd w:id="102"/>
    <w:bookmarkStart w:id="104" w:name="ref-wingenfeld2010"/>
    <w:p>
      <w:pPr>
        <w:pStyle w:val="Bibliography"/>
      </w:pPr>
      <w:r>
        <w:t xml:space="preserve">Wingenfeld, K., Spitzer, C., Mensebach, C., Grabe, H., Hill, A., Gast, U., Schlosser, N., Höpp, H., Beblo, T., &amp; Driessen, M. (2010). Die deutsche Version des Childhood Trauma Questionnaire (CTQ): Erste Befunde zu den psychometrischen Kennwerten.</w:t>
      </w:r>
      <w:r>
        <w:t xml:space="preserve"> </w:t>
      </w:r>
      <w:r>
        <w:rPr>
          <w:i/>
          <w:iCs/>
        </w:rPr>
        <w:t xml:space="preserve">PPmP - Psychotherapie · Psychosomatik · Medizinische Psychologie</w:t>
      </w:r>
      <w:r>
        <w:t xml:space="preserve">,</w:t>
      </w:r>
      <w:r>
        <w:t xml:space="preserve"> </w:t>
      </w:r>
      <w:r>
        <w:rPr>
          <w:i/>
          <w:iCs/>
        </w:rPr>
        <w:t xml:space="preserve">60</w:t>
      </w:r>
      <w:r>
        <w:t xml:space="preserve">(08), e13–e13.</w:t>
      </w:r>
      <w:r>
        <w:t xml:space="preserve"> </w:t>
      </w:r>
      <w:hyperlink r:id="rId103">
        <w:r>
          <w:rPr>
            <w:rStyle w:val="Hyperlink"/>
          </w:rPr>
          <w:t xml:space="preserve">https://doi.org/10.1055/s-0030-1253494</w:t>
        </w:r>
      </w:hyperlink>
    </w:p>
    <w:bookmarkEnd w:id="104"/>
    <w:bookmarkStart w:id="105" w:name="ref-WorldHealthOrganization2017"/>
    <w:p>
      <w:pPr>
        <w:pStyle w:val="Bibliography"/>
      </w:pPr>
      <w:r>
        <w:t xml:space="preserve">World Health Organization. (2017).</w:t>
      </w:r>
      <w:r>
        <w:t xml:space="preserve"> </w:t>
      </w:r>
      <w:r>
        <w:rPr>
          <w:i/>
          <w:iCs/>
        </w:rPr>
        <w:t xml:space="preserve">Depression and other common mental disorders:</w:t>
      </w:r>
      <w:r>
        <w:rPr>
          <w:i/>
          <w:iCs/>
        </w:rPr>
        <w:t xml:space="preserve"> </w:t>
      </w:r>
      <w:r>
        <w:rPr>
          <w:i/>
          <w:iCs/>
        </w:rPr>
        <w:t xml:space="preserve">Global</w:t>
      </w:r>
      <w:r>
        <w:rPr>
          <w:i/>
          <w:iCs/>
        </w:rPr>
        <w:t xml:space="preserve"> </w:t>
      </w:r>
      <w:r>
        <w:rPr>
          <w:i/>
          <w:iCs/>
        </w:rPr>
        <w:t xml:space="preserve">health estimates</w:t>
      </w:r>
      <w:r>
        <w:t xml:space="preserve">.</w:t>
      </w:r>
    </w:p>
    <w:bookmarkEnd w:id="105"/>
    <w:bookmarkEnd w:id="106"/>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3" Target="media/rId23.png" /><Relationship Type="http://schemas.openxmlformats.org/officeDocument/2006/relationships/image" Id="rId29" Target="media/rId29.png" /><Relationship Type="http://schemas.openxmlformats.org/officeDocument/2006/relationships/image" Id="rId26" Target="media/rId26.svg" /><Relationship Type="http://schemas.openxmlformats.org/officeDocument/2006/relationships/hyperlink" Id="rId94" Target="https://arxiv.org/abs/2212.04356" TargetMode="External" /><Relationship Type="http://schemas.openxmlformats.org/officeDocument/2006/relationships/hyperlink" Id="rId73" Target="https://doi.org/10.1007/BF01530764" TargetMode="External" /><Relationship Type="http://schemas.openxmlformats.org/officeDocument/2006/relationships/hyperlink" Id="rId84" Target="https://doi.org/10.1016/0005-7967(94)00075-u" TargetMode="External" /><Relationship Type="http://schemas.openxmlformats.org/officeDocument/2006/relationships/hyperlink" Id="rId79" Target="https://doi.org/10.1016/j.psychres.2023.115667" TargetMode="External" /><Relationship Type="http://schemas.openxmlformats.org/officeDocument/2006/relationships/hyperlink" Id="rId57" Target="https://doi.org/10.1016/s0145-2134(02)00541-0" TargetMode="External" /><Relationship Type="http://schemas.openxmlformats.org/officeDocument/2006/relationships/hyperlink" Id="rId92" Target="https://doi.org/10.1026/0084-5345.32.2.94" TargetMode="External" /><Relationship Type="http://schemas.openxmlformats.org/officeDocument/2006/relationships/hyperlink" Id="rId71" Target="https://doi.org/10.1037/0022-006X.76.5.711" TargetMode="External" /><Relationship Type="http://schemas.openxmlformats.org/officeDocument/2006/relationships/hyperlink" Id="rId77" Target="https://doi.org/10.1037/met0000191" TargetMode="External" /><Relationship Type="http://schemas.openxmlformats.org/officeDocument/2006/relationships/hyperlink" Id="rId81" Target="https://doi.org/10.1038/s41598-022-07520-w" TargetMode="External" /><Relationship Type="http://schemas.openxmlformats.org/officeDocument/2006/relationships/hyperlink" Id="rId103" Target="https://doi.org/10.1055/s-0030-1253494" TargetMode="External" /><Relationship Type="http://schemas.openxmlformats.org/officeDocument/2006/relationships/hyperlink" Id="rId64" Target="https://doi.org/10.1073/pnas.1802331115" TargetMode="External" /><Relationship Type="http://schemas.openxmlformats.org/officeDocument/2006/relationships/hyperlink" Id="rId69" Target="https://doi.org/10.1080/00401706.1970.10488634" TargetMode="External" /><Relationship Type="http://schemas.openxmlformats.org/officeDocument/2006/relationships/hyperlink" Id="rId62" Target="https://doi.org/10.1080/10503307.2024.2322522" TargetMode="External" /><Relationship Type="http://schemas.openxmlformats.org/officeDocument/2006/relationships/hyperlink" Id="rId67" Target="https://doi.org/10.1109/ICDAR.1995.598994" TargetMode="External" /><Relationship Type="http://schemas.openxmlformats.org/officeDocument/2006/relationships/hyperlink" Id="rId99" Target="https://doi.org/10.1111/j.2517-6161.1996.tb02080.x" TargetMode="External" /><Relationship Type="http://schemas.openxmlformats.org/officeDocument/2006/relationships/hyperlink" Id="rId88" Target="https://doi.org/10.1146/annurev-clinpsy-071720-014821" TargetMode="External" /><Relationship Type="http://schemas.openxmlformats.org/officeDocument/2006/relationships/hyperlink" Id="rId86" Target="https://doi.org/10.1186/s40359-016-0111-x" TargetMode="External" /><Relationship Type="http://schemas.openxmlformats.org/officeDocument/2006/relationships/hyperlink" Id="rId60" Target="https://doi.org/10.18653/v1/N19-1423" TargetMode="External" /><Relationship Type="http://schemas.openxmlformats.org/officeDocument/2006/relationships/hyperlink" Id="rId75" Target="https://doi.org/10.31234/osf.io/xw24e" TargetMode="External" /><Relationship Type="http://schemas.openxmlformats.org/officeDocument/2006/relationships/hyperlink" Id="rId97" Target="https://doi.org/10.3758/s13428-020-01531-z" TargetMode="External" /><Relationship Type="http://schemas.openxmlformats.org/officeDocument/2006/relationships/hyperlink" Id="rId90" Target="https://doi.org/10.46586/rub.172.149" TargetMode="External" /><Relationship Type="http://schemas.openxmlformats.org/officeDocument/2006/relationships/hyperlink" Id="rId41" Target="https://github.com/openai/whisper" TargetMode="External" /><Relationship Type="http://schemas.openxmlformats.org/officeDocument/2006/relationships/hyperlink" Id="rId30" Target="https://www.research-school.rub.de" TargetMode="External" /><Relationship Type="http://schemas.openxmlformats.org/officeDocument/2006/relationships/hyperlink" Id="rId21" Target="mailto:gabriel.bonnin@ruhr-uni-bochum.de" TargetMode="External" /></Relationships>
</file>

<file path=word/_rels/footnotes.xml.rels><?xml version="1.0" encoding="UTF-8"?><Relationships xmlns="http://schemas.openxmlformats.org/package/2006/relationships"><Relationship Type="http://schemas.openxmlformats.org/officeDocument/2006/relationships/hyperlink" Id="rId94" Target="https://arxiv.org/abs/2212.04356" TargetMode="External" /><Relationship Type="http://schemas.openxmlformats.org/officeDocument/2006/relationships/hyperlink" Id="rId73" Target="https://doi.org/10.1007/BF01530764" TargetMode="External" /><Relationship Type="http://schemas.openxmlformats.org/officeDocument/2006/relationships/hyperlink" Id="rId84" Target="https://doi.org/10.1016/0005-7967(94)00075-u" TargetMode="External" /><Relationship Type="http://schemas.openxmlformats.org/officeDocument/2006/relationships/hyperlink" Id="rId79" Target="https://doi.org/10.1016/j.psychres.2023.115667" TargetMode="External" /><Relationship Type="http://schemas.openxmlformats.org/officeDocument/2006/relationships/hyperlink" Id="rId57" Target="https://doi.org/10.1016/s0145-2134(02)00541-0" TargetMode="External" /><Relationship Type="http://schemas.openxmlformats.org/officeDocument/2006/relationships/hyperlink" Id="rId92" Target="https://doi.org/10.1026/0084-5345.32.2.94" TargetMode="External" /><Relationship Type="http://schemas.openxmlformats.org/officeDocument/2006/relationships/hyperlink" Id="rId71" Target="https://doi.org/10.1037/0022-006X.76.5.711" TargetMode="External" /><Relationship Type="http://schemas.openxmlformats.org/officeDocument/2006/relationships/hyperlink" Id="rId77" Target="https://doi.org/10.1037/met0000191" TargetMode="External" /><Relationship Type="http://schemas.openxmlformats.org/officeDocument/2006/relationships/hyperlink" Id="rId81" Target="https://doi.org/10.1038/s41598-022-07520-w" TargetMode="External" /><Relationship Type="http://schemas.openxmlformats.org/officeDocument/2006/relationships/hyperlink" Id="rId103" Target="https://doi.org/10.1055/s-0030-1253494" TargetMode="External" /><Relationship Type="http://schemas.openxmlformats.org/officeDocument/2006/relationships/hyperlink" Id="rId64" Target="https://doi.org/10.1073/pnas.1802331115" TargetMode="External" /><Relationship Type="http://schemas.openxmlformats.org/officeDocument/2006/relationships/hyperlink" Id="rId69" Target="https://doi.org/10.1080/00401706.1970.10488634" TargetMode="External" /><Relationship Type="http://schemas.openxmlformats.org/officeDocument/2006/relationships/hyperlink" Id="rId62" Target="https://doi.org/10.1080/10503307.2024.2322522" TargetMode="External" /><Relationship Type="http://schemas.openxmlformats.org/officeDocument/2006/relationships/hyperlink" Id="rId67" Target="https://doi.org/10.1109/ICDAR.1995.598994" TargetMode="External" /><Relationship Type="http://schemas.openxmlformats.org/officeDocument/2006/relationships/hyperlink" Id="rId99" Target="https://doi.org/10.1111/j.2517-6161.1996.tb02080.x" TargetMode="External" /><Relationship Type="http://schemas.openxmlformats.org/officeDocument/2006/relationships/hyperlink" Id="rId88" Target="https://doi.org/10.1146/annurev-clinpsy-071720-014821" TargetMode="External" /><Relationship Type="http://schemas.openxmlformats.org/officeDocument/2006/relationships/hyperlink" Id="rId86" Target="https://doi.org/10.1186/s40359-016-0111-x" TargetMode="External" /><Relationship Type="http://schemas.openxmlformats.org/officeDocument/2006/relationships/hyperlink" Id="rId60" Target="https://doi.org/10.18653/v1/N19-1423" TargetMode="External" /><Relationship Type="http://schemas.openxmlformats.org/officeDocument/2006/relationships/hyperlink" Id="rId75" Target="https://doi.org/10.31234/osf.io/xw24e" TargetMode="External" /><Relationship Type="http://schemas.openxmlformats.org/officeDocument/2006/relationships/hyperlink" Id="rId97" Target="https://doi.org/10.3758/s13428-020-01531-z" TargetMode="External" /><Relationship Type="http://schemas.openxmlformats.org/officeDocument/2006/relationships/hyperlink" Id="rId90" Target="https://doi.org/10.46586/rub.172.149" TargetMode="External" /><Relationship Type="http://schemas.openxmlformats.org/officeDocument/2006/relationships/hyperlink" Id="rId41" Target="https://github.com/openai/whisper" TargetMode="External" /><Relationship Type="http://schemas.openxmlformats.org/officeDocument/2006/relationships/hyperlink" Id="rId30" Target="https://www.research-school.rub.de" TargetMode="External" /><Relationship Type="http://schemas.openxmlformats.org/officeDocument/2006/relationships/hyperlink" Id="rId21" Target="mailto:gabriel.bonnin@ruhr-uni-bochum.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MENTAL HEALTH EVALUATION THROUGH TEXT ANALYSIS</dc:description>
  <cp:keywords/>
  <dcterms:created xsi:type="dcterms:W3CDTF">2026-02-07T22:38:06Z</dcterms:created>
  <dcterms:modified xsi:type="dcterms:W3CDTF">2026-02-07T22:38:06Z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uthor">
    <vt:lpwstr/>
  </property>
  <property fmtid="{D5CDD505-2E9C-101B-9397-08002B2CF9AE}" pid="5" name="apasubtitle">
    <vt:lpwstr>umbrella project documentation</vt:lpwstr>
  </property>
  <property fmtid="{D5CDD505-2E9C-101B-9397-08002B2CF9AE}" pid="6" name="apatitle">
    <vt:lpwstr>MENTAL HEALTH EVALUATION THROUGH TEXT ANALYSIS</vt:lpwstr>
  </property>
  <property fmtid="{D5CDD505-2E9C-101B-9397-08002B2CF9AE}" pid="7" name="apatitledisplay">
    <vt:lpwstr>Mental Health Evaluation through Text Analysis: umbrella project documentation</vt:lpwstr>
  </property>
  <property fmtid="{D5CDD505-2E9C-101B-9397-08002B2CF9AE}" pid="8" name="authors">
    <vt:lpwstr/>
  </property>
  <property fmtid="{D5CDD505-2E9C-101B-9397-08002B2CF9AE}" pid="9" name="biblio-config">
    <vt:lpwstr>True</vt:lpwstr>
  </property>
  <property fmtid="{D5CDD505-2E9C-101B-9397-08002B2CF9AE}" pid="10" name="by-affiliation">
    <vt:lpwstr/>
  </property>
  <property fmtid="{D5CDD505-2E9C-101B-9397-08002B2CF9AE}" pid="11" name="by-author">
    <vt:lpwstr/>
  </property>
  <property fmtid="{D5CDD505-2E9C-101B-9397-08002B2CF9AE}" pid="12" name="cap-location">
    <vt:lpwstr>top</vt:lpwstr>
  </property>
  <property fmtid="{D5CDD505-2E9C-101B-9397-08002B2CF9AE}" pid="13" name="clear-hidden-classes">
    <vt:lpwstr>none</vt:lpwstr>
  </property>
  <property fmtid="{D5CDD505-2E9C-101B-9397-08002B2CF9AE}" pid="14" name="crossref">
    <vt:lpwstr/>
  </property>
  <property fmtid="{D5CDD505-2E9C-101B-9397-08002B2CF9AE}" pid="15" name="csl">
    <vt:lpwstr>references/apa-2.csl</vt:lpwstr>
  </property>
  <property fmtid="{D5CDD505-2E9C-101B-9397-08002B2CF9AE}" pid="16" name="documentmode">
    <vt:lpwstr>man</vt:lpwstr>
  </property>
  <property fmtid="{D5CDD505-2E9C-101B-9397-08002B2CF9AE}" pid="17" name="fig-cap-location">
    <vt:lpwstr>top</vt:lpwstr>
  </property>
  <property fmtid="{D5CDD505-2E9C-101B-9397-08002B2CF9AE}" pid="18" name="google-scholar">
    <vt:lpwstr>True</vt:lpwstr>
  </property>
  <property fmtid="{D5CDD505-2E9C-101B-9397-08002B2CF9AE}" pid="19" name="header-includes">
    <vt:lpwstr/>
  </property>
  <property fmtid="{D5CDD505-2E9C-101B-9397-08002B2CF9AE}" pid="20" name="include-after">
    <vt:lpwstr/>
  </property>
  <property fmtid="{D5CDD505-2E9C-101B-9397-08002B2CF9AE}" pid="21" name="include-before">
    <vt:lpwstr/>
  </property>
  <property fmtid="{D5CDD505-2E9C-101B-9397-08002B2CF9AE}" pid="22" name="knitr">
    <vt:lpwstr/>
  </property>
  <property fmtid="{D5CDD505-2E9C-101B-9397-08002B2CF9AE}" pid="23" name="labels">
    <vt:lpwstr/>
  </property>
  <property fmtid="{D5CDD505-2E9C-101B-9397-08002B2CF9AE}" pid="24" name="language">
    <vt:lpwstr/>
  </property>
  <property fmtid="{D5CDD505-2E9C-101B-9397-08002B2CF9AE}" pid="25" name="lightbox">
    <vt:lpwstr>auto</vt:lpwstr>
  </property>
  <property fmtid="{D5CDD505-2E9C-101B-9397-08002B2CF9AE}" pid="26" name="link-citations">
    <vt:lpwstr>True</vt:lpwstr>
  </property>
  <property fmtid="{D5CDD505-2E9C-101B-9397-08002B2CF9AE}" pid="27" name="manuscript">
    <vt:lpwstr/>
  </property>
  <property fmtid="{D5CDD505-2E9C-101B-9397-08002B2CF9AE}" pid="28" name="no-ampersand-parenthetical">
    <vt:lpwstr>False</vt:lpwstr>
  </property>
  <property fmtid="{D5CDD505-2E9C-101B-9397-08002B2CF9AE}" pid="29" name="notebook-preview-options">
    <vt:lpwstr/>
  </property>
  <property fmtid="{D5CDD505-2E9C-101B-9397-08002B2CF9AE}" pid="30" name="number-depth">
    <vt:lpwstr>3</vt:lpwstr>
  </property>
  <property fmtid="{D5CDD505-2E9C-101B-9397-08002B2CF9AE}" pid="31" name="numbersections">
    <vt:lpwstr>False</vt:lpwstr>
  </property>
  <property fmtid="{D5CDD505-2E9C-101B-9397-08002B2CF9AE}" pid="32" name="oneaffiliation">
    <vt:lpwstr>True</vt:lpwstr>
  </property>
  <property fmtid="{D5CDD505-2E9C-101B-9397-08002B2CF9AE}" pid="33" name="oneauthor">
    <vt:lpwstr>True</vt:lpwstr>
  </property>
  <property fmtid="{D5CDD505-2E9C-101B-9397-08002B2CF9AE}" pid="34" name="quarto-internal">
    <vt:lpwstr/>
  </property>
  <property fmtid="{D5CDD505-2E9C-101B-9397-08002B2CF9AE}" pid="35" name="references">
    <vt:lpwstr/>
  </property>
  <property fmtid="{D5CDD505-2E9C-101B-9397-08002B2CF9AE}" pid="36" name="remove-hidden">
    <vt:lpwstr>all</vt:lpwstr>
  </property>
  <property fmtid="{D5CDD505-2E9C-101B-9397-08002B2CF9AE}" pid="37" name="revealjs-plugins">
    <vt:lpwstr/>
  </property>
  <property fmtid="{D5CDD505-2E9C-101B-9397-08002B2CF9AE}" pid="38" name="suppress-abstract">
    <vt:lpwstr>False</vt:lpwstr>
  </property>
  <property fmtid="{D5CDD505-2E9C-101B-9397-08002B2CF9AE}" pid="39" name="suppress-affiliation">
    <vt:lpwstr>False</vt:lpwstr>
  </property>
  <property fmtid="{D5CDD505-2E9C-101B-9397-08002B2CF9AE}" pid="40" name="suppress-author">
    <vt:lpwstr>False</vt:lpwstr>
  </property>
  <property fmtid="{D5CDD505-2E9C-101B-9397-08002B2CF9AE}" pid="41" name="suppress-author-note">
    <vt:lpwstr>False</vt:lpwstr>
  </property>
  <property fmtid="{D5CDD505-2E9C-101B-9397-08002B2CF9AE}" pid="42" name="suppress-corresponding-address">
    <vt:lpwstr>False</vt:lpwstr>
  </property>
  <property fmtid="{D5CDD505-2E9C-101B-9397-08002B2CF9AE}" pid="43" name="suppress-corresponding-affiliation-name">
    <vt:lpwstr>False</vt:lpwstr>
  </property>
  <property fmtid="{D5CDD505-2E9C-101B-9397-08002B2CF9AE}" pid="44" name="suppress-corresponding-city">
    <vt:lpwstr>False</vt:lpwstr>
  </property>
  <property fmtid="{D5CDD505-2E9C-101B-9397-08002B2CF9AE}" pid="45" name="suppress-corresponding-department">
    <vt:lpwstr>False</vt:lpwstr>
  </property>
  <property fmtid="{D5CDD505-2E9C-101B-9397-08002B2CF9AE}" pid="46" name="suppress-corresponding-email">
    <vt:lpwstr>False</vt:lpwstr>
  </property>
  <property fmtid="{D5CDD505-2E9C-101B-9397-08002B2CF9AE}" pid="47" name="suppress-corresponding-group">
    <vt:lpwstr>False</vt:lpwstr>
  </property>
  <property fmtid="{D5CDD505-2E9C-101B-9397-08002B2CF9AE}" pid="48" name="suppress-corresponding-paragraph">
    <vt:lpwstr>False</vt:lpwstr>
  </property>
  <property fmtid="{D5CDD505-2E9C-101B-9397-08002B2CF9AE}" pid="49" name="suppress-corresponding-postal-code">
    <vt:lpwstr>False</vt:lpwstr>
  </property>
  <property fmtid="{D5CDD505-2E9C-101B-9397-08002B2CF9AE}" pid="50" name="suppress-corresponding-region">
    <vt:lpwstr>False</vt:lpwstr>
  </property>
  <property fmtid="{D5CDD505-2E9C-101B-9397-08002B2CF9AE}" pid="51" name="suppress-credit-statement">
    <vt:lpwstr>False</vt:lpwstr>
  </property>
  <property fmtid="{D5CDD505-2E9C-101B-9397-08002B2CF9AE}" pid="52" name="suppress-disclosures-paragraph">
    <vt:lpwstr>False</vt:lpwstr>
  </property>
  <property fmtid="{D5CDD505-2E9C-101B-9397-08002B2CF9AE}" pid="53" name="suppress-impact-statement">
    <vt:lpwstr>False</vt:lpwstr>
  </property>
  <property fmtid="{D5CDD505-2E9C-101B-9397-08002B2CF9AE}" pid="54" name="suppress-keywords">
    <vt:lpwstr>False</vt:lpwstr>
  </property>
  <property fmtid="{D5CDD505-2E9C-101B-9397-08002B2CF9AE}" pid="55" name="suppress-orcid">
    <vt:lpwstr>False</vt:lpwstr>
  </property>
  <property fmtid="{D5CDD505-2E9C-101B-9397-08002B2CF9AE}" pid="56" name="suppress-short-title">
    <vt:lpwstr>False</vt:lpwstr>
  </property>
  <property fmtid="{D5CDD505-2E9C-101B-9397-08002B2CF9AE}" pid="57" name="suppress-status-change-paragraph">
    <vt:lpwstr>False</vt:lpwstr>
  </property>
  <property fmtid="{D5CDD505-2E9C-101B-9397-08002B2CF9AE}" pid="58" name="suppress-title">
    <vt:lpwstr>False</vt:lpwstr>
  </property>
  <property fmtid="{D5CDD505-2E9C-101B-9397-08002B2CF9AE}" pid="59" name="suppress-title-introduction">
    <vt:lpwstr>False</vt:lpwstr>
  </property>
  <property fmtid="{D5CDD505-2E9C-101B-9397-08002B2CF9AE}" pid="60" name="suppress-title-page">
    <vt:lpwstr>False</vt:lpwstr>
  </property>
  <property fmtid="{D5CDD505-2E9C-101B-9397-08002B2CF9AE}" pid="61" name="suppress-title-page-number">
    <vt:lpwstr>False</vt:lpwstr>
  </property>
  <property fmtid="{D5CDD505-2E9C-101B-9397-08002B2CF9AE}" pid="62" name="tbl-cap-location">
    <vt:lpwstr>top</vt:lpwstr>
  </property>
  <property fmtid="{D5CDD505-2E9C-101B-9397-08002B2CF9AE}" pid="63" name="template-partials">
    <vt:lpwstr/>
  </property>
  <property fmtid="{D5CDD505-2E9C-101B-9397-08002B2CF9AE}" pid="64" name="theme">
    <vt:lpwstr>cosmo</vt:lpwstr>
  </property>
  <property fmtid="{D5CDD505-2E9C-101B-9397-08002B2CF9AE}" pid="65" name="title-block-style">
    <vt:lpwstr>manuscript</vt:lpwstr>
  </property>
  <property fmtid="{D5CDD505-2E9C-101B-9397-08002B2CF9AE}" pid="66" name="toc-title">
    <vt:lpwstr>Table of contents</vt:lpwstr>
  </property>
  <property fmtid="{D5CDD505-2E9C-101B-9397-08002B2CF9AE}" pid="67" name="unroll-markdown-cells">
    <vt:lpwstr>True</vt:lpwstr>
  </property>
  <property fmtid="{D5CDD505-2E9C-101B-9397-08002B2CF9AE}" pid="68" name="wordn">
    <vt:lpwstr>6240</vt:lpwstr>
  </property>
  <property fmtid="{D5CDD505-2E9C-101B-9397-08002B2CF9AE}" pid="69" name="zerocitations">
    <vt:lpwstr>False</vt:lpwstr>
  </property>
</Properties>
</file>