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Extreme events: a shift or a change in shape?</w:t>
      </w:r>
    </w:p>
    <w:p>
      <w:r>
        <w:rPr>
          <w:b w:val="0"/>
          <w:i w:val="0"/>
        </w:rPr>
        <w:t>Track 2 | Sections 1, 5 and 6</w:t>
      </w:r>
    </w:p>
    <w:p>
      <w:pPr>
        <w:pStyle w:val="Heading1"/>
      </w:pPr>
      <w:r>
        <w:t>1. Question</w:t>
      </w:r>
    </w:p>
    <w:p>
      <w:r>
        <w:rPr>
          <w:b w:val="0"/>
          <w:i w:val="0"/>
        </w:rPr>
        <w:t>Have heat and drought extremes become more frequent or more intense in Spain, France, Germany and Sweden, and how much of that change can be described by a shift in the mean? We compare 1961-1990 with 1996-2025 using country-level ERA5-Land data from the Copernicus Interactive Climate Atlas. Our central question is whether the recent distribution resembles the early distribution moved to a new level, or whether its extreme tail has moved further than the mean.</w:t>
      </w:r>
    </w:p>
    <w:p>
      <w:r>
        <w:rPr>
          <w:b w:val="0"/>
          <w:i w:val="0"/>
        </w:rPr>
        <w:t>The distinction matters for risk assessment. A fixed historical threshold can be crossed much more often after the mean changes, even if variability around the mean stays constant. More exceedances therefore do not, by themselves, establish that a tail has become heavier. For water managers, agricultural producers and planners, both the level of the climate variable and the distribution around that level matter. Our data measure climate conditions; they do not measure economic losses or identify the benefits of an adaptation policy.</w:t>
      </w:r>
    </w:p>
    <w:p>
      <w:r>
        <w:rPr>
          <w:b w:val="0"/>
          <w:i w:val="0"/>
        </w:rPr>
        <w:t>Three references frame the question. IPCC AR6 Chapter 11 documents changes in the frequency and intensity of temperature extremes and assesses their human contribution using evidence beyond simple historical comparisons (Seneviratne et al., 2021, Sections 11.2-11.3). Hansen, Sato and Ruedy (2012) show a shift toward hotter seasonal temperature anomalies and a larger occurrence of exceptionally hot summers. Rhines and Huybers (2013) question the inference of increased variability from those distributions: normalisation, trends and changing station coverage can produce apparent widening. Their result makes the empirical task clear. We must compare tail changes with a shift benchmark, rather than infer a change in shape from an increase in extremes alone. These papers concern seasonal temperatures and different spatial aggregations; our analysis is not a direct replication.</w:t>
      </w:r>
    </w:p>
    <w:p>
      <w:r>
        <w:rPr>
          <w:b w:val="0"/>
          <w:i w:val="0"/>
        </w:rPr>
        <w:t>We use two complementary indices: monthly TXx for June-August, measuring the country average of local monthly temperature maxima, and September SPEI-6, summarising April-September climatic water balance. The four countries span southern to northern Europe, allowing us to compare contrasting climates within one dataset. TXx values are expressed relative to each country's early-period mean for the same calendar month. We examine its upper tail at P75, P90, P95 and P99. For SPEI-6, lower values mean drier conditions, so the corresponding thresholds are P25, P10, P5 and P1.</w:t>
      </w:r>
    </w:p>
    <w:p>
      <w:r>
        <w:rPr>
          <w:b w:val="0"/>
          <w:i w:val="0"/>
        </w:rPr>
        <w:t>An answer requires three comparisons: the change in the mean and spread; the change in tail percentiles relative to the mean; and the frequency of crossing fixed early-period thresholds. Time trends and quantile regressions provide a further check on whether the centre and tails move at different rates. The results describe these four country-level series over the observed record. They do not attribute individual events to greenhouse gas emissions or predict future extremes.</w:t>
      </w:r>
    </w:p>
    <w:p>
      <w:r>
        <w:br w:type="page"/>
      </w:r>
    </w:p>
    <w:p>
      <w:pPr>
        <w:pStyle w:val="Heading1"/>
      </w:pPr>
      <w:r>
        <w:t>5. Econometrics</w:t>
      </w:r>
    </w:p>
    <w:p>
      <w:pPr>
        <w:pStyle w:val="Heading2"/>
      </w:pPr>
      <w:r>
        <w:t>5.1. Fixed thresholds and a shift benchmark</w:t>
      </w:r>
    </w:p>
    <w:p>
      <w:r>
        <w:rPr>
          <w:b w:val="0"/>
          <w:i w:val="0"/>
        </w:rPr>
        <w:t>We set each country's thresholds on 1961-1990 and apply the same values to 1996-2025. Frequency is the share of observations above the TXx threshold or below the SPEI-6 threshold, not a count of distinct heatwaves or drought episodes. Let the mean shift be</w:t>
      </w:r>
    </w:p>
    <w:p>
      <w:pPr>
        <w:pStyle w:val="FirstParagraph"/>
      </w:pPr>
      <m:oMathPara>
        <m:oMathParaPr>
          <m:jc m:val="center"/>
        </m:oMathParaPr>
        <m:oMath>
          <m:r>
            <m:rPr>
              <m:sty m:val="p"/>
            </m:rPr>
            <m:t>Δ</m:t>
          </m:r>
          <m:r>
            <m:rPr>
              <m:sty m:val="p"/>
            </m:rPr>
            <m:t>=</m:t>
          </m:r>
          <m:sSub>
            <m:e>
              <m:acc>
                <m:accPr>
                  <m:chr m:val="‾"/>
                </m:accPr>
                <m:e>
                  <m:r>
                    <m:t>y</m:t>
                  </m:r>
                </m:e>
              </m:acc>
            </m:e>
            <m:sub>
              <m:r>
                <m:t>R</m:t>
              </m:r>
            </m:sub>
          </m:sSub>
          <m:r>
            <m:rPr>
              <m:sty m:val="p"/>
            </m:rPr>
            <m:t>−</m:t>
          </m:r>
          <m:sSub>
            <m:e>
              <m:acc>
                <m:accPr>
                  <m:chr m:val="‾"/>
                </m:accPr>
                <m:e>
                  <m:r>
                    <m:t>y</m:t>
                  </m:r>
                </m:e>
              </m:acc>
            </m:e>
            <m:sub>
              <m:r>
                <m:t>E</m:t>
              </m:r>
            </m:sub>
          </m:sSub>
          <m:r>
            <m:rPr>
              <m:sty m:val="p"/>
            </m:rPr>
            <m:t>.</m:t>
          </m:r>
        </m:oMath>
      </m:oMathPara>
    </w:p>
    <w:p>
      <w:r>
        <w:rPr>
          <w:b w:val="0"/>
          <w:i w:val="0"/>
        </w:rPr>
        <w:t>The shift benchmark adds delta to every early observation and recounts exceedances. It preserves the early distribution's shape and uses the observed mean change; it is a descriptive benchmark, not an independent forecast.</w:t>
      </w:r>
    </w:p>
    <w:p>
      <w:r>
        <w:rPr>
          <w:b w:val="0"/>
          <w:i w:val="0"/>
          <w:sz w:val="18"/>
        </w:rPr>
      </w:r>
      <w:r>
        <w:rPr>
          <w:b/>
          <w:i w:val="0"/>
          <w:sz w:val="18"/>
        </w:rPr>
        <w:t>Table 3. Threshold sensitivity: early count / recent count / shift-benchmark count.</w:t>
      </w:r>
      <w:r>
        <w:rPr>
          <w:b w:val="0"/>
          <w:i w:val="0"/>
          <w:sz w:val="18"/>
        </w:rPr>
      </w:r>
    </w:p>
    <w:tbl>
      <w:tblPr>
        <w:tblW w:type="auto" w:w="0"/>
        <w:jc w:val="center"/>
        <w:tblLayout w:type="fixed"/>
        <w:tblLook w:firstColumn="1" w:firstRow="1" w:lastColumn="0" w:lastRow="0" w:noHBand="0" w:noVBand="1" w:val="04A0"/>
      </w:tblPr>
      <w:tblGrid>
        <w:gridCol w:w="1008"/>
        <w:gridCol w:w="1080"/>
        <w:gridCol w:w="1951"/>
        <w:gridCol w:w="1951"/>
        <w:gridCol w:w="1951"/>
        <w:gridCol w:w="1951"/>
      </w:tblGrid>
      <w:tr>
        <w:trPr>
          <w:cantSplit/>
          <w:tblHeader/>
        </w:trPr>
        <w:tc>
          <w:tcPr>
            <w:tcW w:type="dxa" w:w="1008"/>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Index</w:t>
            </w:r>
          </w:p>
        </w:tc>
        <w:tc>
          <w:tcPr>
            <w:tcW w:type="dxa" w:w="1080"/>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Country</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P75 / P25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P90 / P10</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P95 / P5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P99 / P1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65 / 70</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47 / 54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43 / 48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14 / 11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62 / 64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44 / 42</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27 / 29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20 / 16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55 / 56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41 / 37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31 / 27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24 / 14</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23 / 36 / 30</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9 / 18 / 13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5 / 9 / 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3 / 3</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20 / 21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16 / 15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12 / 11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11 / 11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18 / 16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6 / 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6 / 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 / 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15 / 13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9 / 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6 / 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2 / 1</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8 / 7 / 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3 / 3 / 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2 / 2 / 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1 / 1 / 1</w:t>
            </w:r>
          </w:p>
        </w:tc>
      </w:tr>
    </w:tbl>
    <w:p>
      <w:r>
        <w:rPr>
          <w:b w:val="0"/>
          <w:i w:val="0"/>
          <w:sz w:val="18"/>
        </w:rPr>
      </w:r>
      <w:r>
        <w:rPr>
          <w:b w:val="0"/>
          <w:i/>
          <w:sz w:val="18"/>
        </w:rPr>
        <w:t>Each TXx count is out of 90 country-month observations per period; each SPEI-6 count is out of 30 September observations. Thresholds are early-period percentiles, with strict inequalities and linear interpolation. Source: C3S, Copernicus Interactive Climate Atlas v2.5, ERA5-Land, accessed 29 October 2026; outputs/exceedance.csv.</w:t>
      </w:r>
      <w:r>
        <w:rPr>
          <w:b w:val="0"/>
          <w:i w:val="0"/>
          <w:sz w:val="18"/>
        </w:rPr>
      </w:r>
    </w:p>
    <w:p>
      <w:r>
        <w:rPr>
          <w:b w:val="0"/>
          <w:i w:val="0"/>
        </w:rPr>
        <w:t>Heat exceedances increase at every threshold in every country. At P95, Spain rises from 5 to 43 observations, France from 5 to 27, Germany from 5 to 31 and Sweden from 5 to 9. These recent exceedances come from 23, 19, 20 and 7 distinct summers, respectively. The early P95 rate is 5/90, or 5.6%, rather than exactly 5%. The shift benchmark gives 48, 29, 27 and 9 exceedances. Thus much of the increase can occur without a change in shape. Germany's P99 is the clearest discrepancy: 24 observed against 14 under the benchmark. No confidence interval is estimated for these count gaps, so they are not formal tests of a pure shift.</w:t>
      </w:r>
    </w:p>
    <w:p>
      <w:r>
        <w:rPr>
          <w:b w:val="0"/>
          <w:i w:val="0"/>
        </w:rPr>
        <w:t>Drought results depend more on the threshold. Spain has more dry observations at all four cut-offs. France and Germany have more at P25, P10 and P5, but France's P1 count stays at one. Sweden's counts change little. At the headline P5, recent counts are 12, 6, 6 and 2; the shift benchmark gives 11, 6, 6 and 1. P99 for TXx and P1 for SPEI-6 each have only one early observation beyond the line, making frequency ratios particularly unstable.</w:t>
      </w:r>
    </w:p>
    <w:p>
      <w:pPr>
        <w:pStyle w:val="Heading2"/>
      </w:pPr>
      <w:r>
        <w:t>5.2. Tail intensity relative to the mean</w:t>
      </w:r>
    </w:p>
    <w:p>
      <w:r>
        <w:rPr>
          <w:b w:val="0"/>
          <w:i w:val="0"/>
        </w:rPr>
        <w:t>We measure departure from a shift by</w:t>
      </w:r>
    </w:p>
    <w:p>
      <w:pPr>
        <w:pStyle w:val="FirstParagraph"/>
      </w:pPr>
      <m:oMathPara>
        <m:oMathParaPr>
          <m:jc m:val="center"/>
        </m:oMathParaPr>
        <m:oMath>
          <m:sSub>
            <m:e>
              <m:r>
                <m:t>S</m:t>
              </m:r>
            </m:e>
            <m:sub>
              <m:r>
                <m:t>p</m:t>
              </m:r>
            </m:sub>
          </m:sSub>
          <m:r>
            <m:rPr>
              <m:sty m:val="p"/>
            </m:rPr>
            <m:t>=</m:t>
          </m:r>
          <m:r>
            <m:rPr>
              <m:sty m:val="p"/>
            </m:rPr>
            <m:t>(</m:t>
          </m:r>
          <m:sSub>
            <m:e>
              <m:r>
                <m:t>Q</m:t>
              </m:r>
            </m:e>
            <m:sub>
              <m:r>
                <m:t>R</m:t>
              </m:r>
              <m:r>
                <m:rPr>
                  <m:sty m:val="p"/>
                </m:rPr>
                <m:t>,</m:t>
              </m:r>
              <m:r>
                <m:t>p</m:t>
              </m:r>
            </m:sub>
          </m:sSub>
          <m:r>
            <m:rPr>
              <m:sty m:val="p"/>
            </m:rPr>
            <m:t>−</m:t>
          </m:r>
          <m:sSub>
            <m:e>
              <m:r>
                <m:t>Q</m:t>
              </m:r>
            </m:e>
            <m:sub>
              <m:r>
                <m:t>E</m:t>
              </m:r>
              <m:r>
                <m:rPr>
                  <m:sty m:val="p"/>
                </m:rPr>
                <m:t>,</m:t>
              </m:r>
              <m:r>
                <m:t>p</m:t>
              </m:r>
            </m:sub>
          </m:sSub>
          <m:r>
            <m:rPr>
              <m:sty m:val="p"/>
            </m:rPr>
            <m:t>)</m:t>
          </m:r>
          <m:r>
            <m:rPr>
              <m:sty m:val="p"/>
            </m:rPr>
            <m:t>−</m:t>
          </m:r>
          <m:r>
            <m:rPr>
              <m:sty m:val="p"/>
            </m:rPr>
            <m:t>Δ</m:t>
          </m:r>
          <m:r>
            <m:rPr>
              <m:sty m:val="p"/>
            </m:rPr>
            <m:t>,</m:t>
          </m:r>
        </m:oMath>
      </m:oMathPara>
    </w:p>
    <w:p>
      <w:r>
        <w:rPr>
          <w:b w:val="0"/>
          <w:i w:val="0"/>
        </w:rPr>
        <w:t>where Q is the percentile at p and E and R denote the early and recent periods. A positive S_p means extra movement toward heat for TXx; a negative value means extra movement toward dryness for SPEI-6. For TXx at P95, S_p is 1.18 °C in Spain, 0.75 °C in France, 0.55 °C in Germany and 0.37 °C in Sweden. Their 95% bootstrap intervals are [-0.40, 1.72], [-0.54, 1.70], [-0.31, 1.47] and [-0.84, 1.03] °C. All include zero, as do the corresponding intervals at the other thresholds. This is limited evidence about tail departures, not proof of identical shapes. France and Germany nevertheless show wider pooled distributions: their SD changes are 0.52 °C [0.07, 0.93] and 0.59 °C [0.18, 0.98].</w:t>
      </w:r>
    </w:p>
    <w:p>
      <w:r>
        <w:rPr>
          <w:b w:val="0"/>
          <w:i w:val="0"/>
        </w:rPr>
        <w:t>Intervals use 2,000 bootstrap draws, resampling years independently within each period and keeping a summer's three months together. At each period's own P95, only five TXx values lie above the line; at its own P5, only two SPEI-6 values lie below it. We do not detrend within periods, so changes in pooled spread can include changes in the mean within a period (Rhines and Huybers, 2013). Resampling single years preserves dependence within summers but does not preserve dependence across years; intervals are pointwise and do not adjust for multiple comparisons.</w:t>
      </w:r>
    </w:p>
    <w:p>
      <w:r>
        <w:br w:type="page"/>
      </w:r>
    </w:p>
    <w:p>
      <w:pPr>
        <w:pStyle w:val="Heading2"/>
      </w:pPr>
      <w:r>
        <w:t>5.3. Mean and quantile trends</w:t>
      </w:r>
    </w:p>
    <w:p>
      <w:r>
        <w:rPr>
          <w:b w:val="0"/>
          <w:i w:val="0"/>
        </w:rPr>
        <w:t>For each country and index, OLS estimates</w:t>
      </w:r>
    </w:p>
    <w:p>
      <w:pPr>
        <w:pStyle w:val="FirstParagraph"/>
      </w:pPr>
      <m:oMathPara>
        <m:oMathParaPr>
          <m:jc m:val="center"/>
        </m:oMathParaPr>
        <m:oMath>
          <m:sSub>
            <m:e>
              <m:r>
                <m:t>y</m:t>
              </m:r>
            </m:e>
            <m:sub>
              <m:r>
                <m:t>t</m:t>
              </m:r>
            </m:sub>
          </m:sSub>
          <m:r>
            <m:rPr>
              <m:sty m:val="p"/>
            </m:rPr>
            <m:t>=</m:t>
          </m:r>
          <m:r>
            <m:t>α</m:t>
          </m:r>
          <m:r>
            <m:rPr>
              <m:sty m:val="p"/>
            </m:rPr>
            <m:t>+</m:t>
          </m:r>
          <m:r>
            <m:t>β</m:t>
          </m:r>
          <m:f>
            <m:fPr>
              <m:type m:val="bar"/>
            </m:fPr>
            <m:num>
              <m:r>
                <m:t>t</m:t>
              </m:r>
              <m:r>
                <m:rPr>
                  <m:sty m:val="p"/>
                </m:rPr>
                <m:t>−</m:t>
              </m:r>
              <m:r>
                <m:t>1950</m:t>
              </m:r>
            </m:num>
            <m:den>
              <m:r>
                <m:t>10</m:t>
              </m:r>
            </m:den>
          </m:f>
          <m:r>
            <m:rPr>
              <m:sty m:val="p"/>
            </m:rPr>
            <m:t>+</m:t>
          </m:r>
          <m:sSub>
            <m:e>
              <m:r>
                <m:t>u</m:t>
              </m:r>
            </m:e>
            <m:sub>
              <m:r>
                <m:t>t</m:t>
              </m:r>
            </m:sub>
          </m:sSub>
          <m:r>
            <m:rPr>
              <m:sty m:val="p"/>
            </m:rPr>
            <m:t>.</m:t>
          </m:r>
        </m:oMath>
      </m:oMathPara>
    </w:p>
    <w:p>
      <w:r>
        <w:rPr>
          <w:b w:val="0"/>
          <w:i w:val="0"/>
        </w:rPr>
        <w:t>Here t is the calendar year; y_t is the annual June-August mean TXx anomaly (°C) or September SPEI-6 (dimensionless); alpha is the fitted level in 1950 and u_t the residual. Beta measures change per decade. Newey-West HAC standard errors use three annual lags. Quantile regression estimates</w:t>
      </w:r>
    </w:p>
    <w:p>
      <w:pPr>
        <w:pStyle w:val="FirstParagraph"/>
      </w:pPr>
      <m:oMathPara>
        <m:oMathParaPr>
          <m:jc m:val="center"/>
        </m:oMathParaPr>
        <m:oMath>
          <m:sSub>
            <m:e>
              <m:r>
                <m:t>Q</m:t>
              </m:r>
            </m:e>
            <m:sub>
              <m:r>
                <m:t>τ</m:t>
              </m:r>
            </m:sub>
          </m:sSub>
          <m:r>
            <m:rPr>
              <m:sty m:val="p"/>
            </m:rPr>
            <m:t>(</m:t>
          </m:r>
          <m:r>
            <m:t>y</m:t>
          </m:r>
          <m:r>
            <m:rPr>
              <m:sty m:val="p"/>
            </m:rPr>
            <m:t>∣</m:t>
          </m:r>
          <m:r>
            <m:t>t</m:t>
          </m:r>
          <m:r>
            <m:rPr>
              <m:sty m:val="p"/>
            </m:rPr>
            <m:t>)</m:t>
          </m:r>
          <m:r>
            <m:rPr>
              <m:sty m:val="p"/>
            </m:rPr>
            <m:t>=</m:t>
          </m:r>
          <m:sSub>
            <m:e>
              <m:r>
                <m:t>α</m:t>
              </m:r>
            </m:e>
            <m:sub>
              <m:r>
                <m:t>τ</m:t>
              </m:r>
            </m:sub>
          </m:sSub>
          <m:r>
            <m:rPr>
              <m:sty m:val="p"/>
            </m:rPr>
            <m:t>+</m:t>
          </m:r>
          <m:sSub>
            <m:e>
              <m:r>
                <m:t>β</m:t>
              </m:r>
            </m:e>
            <m:sub>
              <m:r>
                <m:t>τ</m:t>
              </m:r>
            </m:sub>
          </m:sSub>
          <m:f>
            <m:fPr>
              <m:type m:val="bar"/>
            </m:fPr>
            <m:num>
              <m:r>
                <m:t>t</m:t>
              </m:r>
              <m:r>
                <m:rPr>
                  <m:sty m:val="p"/>
                </m:rPr>
                <m:t>−</m:t>
              </m:r>
              <m:r>
                <m:t>1950</m:t>
              </m:r>
            </m:num>
            <m:den>
              <m:r>
                <m:t>10</m:t>
              </m:r>
            </m:den>
          </m:f>
        </m:oMath>
      </m:oMathPara>
    </w:p>
    <w:p>
      <w:r>
        <w:rPr>
          <w:b w:val="0"/>
          <w:i w:val="0"/>
        </w:rPr>
        <w:t>on pooled monthly TXx anomalies or annual SPEI-6. We fit tau = 0.05, 0.10, 0.25, 0.50, 0.75, 0.90 and 0.95; Table 4 reports the median and relevant extreme tail.</w:t>
      </w:r>
    </w:p>
    <w:p>
      <w:r>
        <w:rPr>
          <w:b w:val="0"/>
          <w:i w:val="0"/>
          <w:sz w:val="18"/>
        </w:rPr>
      </w:r>
      <w:r>
        <w:rPr>
          <w:b/>
          <w:i w:val="0"/>
          <w:sz w:val="18"/>
        </w:rPr>
        <w:t>Table 4. Trends per decade; standard errors in parentheses.</w:t>
      </w:r>
      <w:r>
        <w:rPr>
          <w:b w:val="0"/>
          <w:i w:val="0"/>
          <w:sz w:val="18"/>
        </w:rPr>
      </w:r>
    </w:p>
    <w:tbl>
      <w:tblPr>
        <w:tblW w:type="auto" w:w="0"/>
        <w:jc w:val="center"/>
        <w:tblLayout w:type="fixed"/>
        <w:tblLook w:firstColumn="1" w:firstRow="1" w:lastColumn="0" w:lastRow="0" w:noHBand="0" w:noVBand="1" w:val="04A0"/>
      </w:tblPr>
      <w:tblGrid>
        <w:gridCol w:w="1008"/>
        <w:gridCol w:w="1080"/>
        <w:gridCol w:w="1951"/>
        <w:gridCol w:w="1951"/>
        <w:gridCol w:w="1951"/>
        <w:gridCol w:w="1951"/>
      </w:tblGrid>
      <w:tr>
        <w:trPr>
          <w:cantSplit/>
          <w:tblHeader/>
        </w:trPr>
        <w:tc>
          <w:tcPr>
            <w:tcW w:type="dxa" w:w="1008"/>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Index</w:t>
            </w:r>
          </w:p>
        </w:tc>
        <w:tc>
          <w:tcPr>
            <w:tcW w:type="dxa" w:w="1080"/>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Country</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OLS 1950-2025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OLS 1978-2025</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QR median</w:t>
            </w:r>
          </w:p>
        </w:tc>
        <w:tc>
          <w:tcPr>
            <w:tcW w:type="dxa" w:w="1951"/>
            <w:vAlign w:val="center"/>
            <w:tcBorders>
              <w:top w:val="single" w:sz="4" w:color="D9D9D9"/>
              <w:left w:val="single" w:sz="4" w:color="D9D9D9"/>
              <w:bottom w:val="single" w:sz="4" w:color="D9D9D9"/>
              <w:right w:val="single" w:sz="4" w:color="D9D9D9"/>
            </w:tcBorders>
            <w:shd w:fill="EAEAEA"/>
          </w:tcPr>
          <w:p>
            <w:pPr>
              <w:spacing w:after="60" w:before="60" w:line="240" w:lineRule="auto"/>
              <w:jc w:val="center"/>
            </w:pPr>
            <w:r>
              <w:rPr>
                <w:b/>
                <w:sz w:val="17"/>
              </w:rPr>
              <w:t>QR tail</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0.440 (0.081)</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0.722 (0.085)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0.452 (0.073)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0.511 (0.114)</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0.550 (0.096)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0.947 (0.117)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0.562 (0.088)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0.558 (0.173)</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0.459 (0.078)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0.719 (0.103)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0.466 (0.086)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0.428 (0.158)</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TXx</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0.215 (0.068)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0.296 (0.118)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0.245 (0.114)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0.226 (0.073)</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Spain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-0.103 (0.048)</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-0.243 (0.037)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-0.131 (0.052)</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0.017 (0.070)</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France</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-0.067 (0.053)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-0.248 (0.067)</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-0.202 (0.095)</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0.024 (0.036)</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Germany</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-0.079 (0.053)</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-0.223 (0.079)</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-0.069 (0.072)</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-0.126 (0.135)</w:t>
            </w:r>
          </w:p>
        </w:tc>
      </w:tr>
      <w:tr>
        <w:trPr>
          <w:cantSplit/>
        </w:trPr>
        <w:tc>
          <w:tcPr>
            <w:tcW w:type="dxa" w:w="1008"/>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SPEI-6</w:t>
            </w:r>
          </w:p>
        </w:tc>
        <w:tc>
          <w:tcPr>
            <w:tcW w:type="dxa" w:w="1080"/>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Sweden</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0.027 (0.036)</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-0.015 (0.064)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-0.015 (0.034)</w:t>
            </w:r>
          </w:p>
        </w:tc>
        <w:tc>
          <w:tcPr>
            <w:tcW w:type="dxa" w:w="1951"/>
            <w:vAlign w:val="center"/>
            <w:tcBorders>
              <w:top w:val="single" w:sz="4" w:color="D9D9D9"/>
              <w:left w:val="single" w:sz="4" w:color="D9D9D9"/>
              <w:bottom w:val="single" w:sz="4" w:color="D9D9D9"/>
              <w:right w:val="single" w:sz="4" w:color="D9D9D9"/>
            </w:tcBorders>
          </w:tcPr>
          <w:p>
            <w:pPr>
              <w:spacing w:after="60" w:before="60" w:line="240" w:lineRule="auto"/>
              <w:jc w:val="center"/>
            </w:pPr>
            <w:r>
              <w:rPr>
                <w:b w:val="0"/>
                <w:sz w:val="17"/>
              </w:rPr>
              <w:t>0.112 (0.132)</w:t>
            </w:r>
          </w:p>
        </w:tc>
      </w:tr>
    </w:tbl>
    <w:p>
      <w:r>
        <w:rPr>
          <w:b w:val="0"/>
          <w:i w:val="0"/>
          <w:sz w:val="18"/>
        </w:rPr>
      </w:r>
      <w:r>
        <w:rPr>
          <w:b w:val="0"/>
          <w:i/>
          <w:sz w:val="18"/>
        </w:rPr>
        <w:t>OLS: 76 annual values for 1950-2025 and 48 for 1978-2025, with HAC errors. Quantile regression: 1950-2025, 228 TXx observations or 76 SPEI-6 observations; 499 whole-year bootstrap draws for standard errors. Tail means tau = 0.95 for TXx and 0.05 for SPEI-6. Units: °C/decade for TXx, index units/decade for SPEI-6. Source: as Table 3; outputs/ols_trends.csv and outputs/quantile_trends.csv.</w:t>
      </w:r>
      <w:r>
        <w:rPr>
          <w:b w:val="0"/>
          <w:i w:val="0"/>
          <w:sz w:val="18"/>
        </w:rPr>
      </w:r>
    </w:p>
    <w:p>
      <w:r>
        <w:rPr>
          <w:b w:val="0"/>
          <w:i w:val="0"/>
        </w:rPr>
        <w:t>Full-record mean TXx trends are positive in all four countries. France's 0.55 °C per decade means a fitted rise of about half a degree per decade in the average of the three monthly maxima, not in annual mean temperature. Its median and P95 slopes are both about 0.56 °C per decade. In every country, the P95-minus-median slope interval includes zero; all SPEI-6 P5-minus-median intervals also include zero. These direct contrasts provide no clear evidence that the relevant extreme tail trends faster than the centre. They have low precision: only 12 observations lie above each fitted TXx P95 line and five below each SPEI-6 P5 line. Some quantile fits reach the iteration limit; series totals range from 1 to 10 across 3,500 point and bootstrap fits, so affected estimates remain approximate.</w:t>
      </w:r>
    </w:p>
    <w:p>
      <w:r>
        <w:rPr>
          <w:b w:val="0"/>
          <w:i w:val="0"/>
        </w:rPr>
        <w:t>Re-estimating OLS from 1978 keeps positive mean TXx trends in every country and gives negative SPEI-6 trends in Spain, France and Germany whose 95% intervals exclude zero. Sweden's SPEI-6 interval includes zero. This addresses the documented concern about early ERA5-Land forcing only for mean trends: neither quantile regressions nor the early-recent comparison are re-estimated on a wholly post-1978 sample. Different slopes across these nested samples are not a formal test of acceleration. All regressions describe association with time; they do not identify a causal effect.</w:t>
      </w:r>
    </w:p>
    <w:p>
      <w:r>
        <w:br w:type="page"/>
      </w:r>
    </w:p>
    <w:p>
      <w:pPr>
        <w:pStyle w:val="Heading1"/>
      </w:pPr>
      <w:r>
        <w:t>6. What we can and cannot conclude</w:t>
      </w:r>
    </w:p>
    <w:p>
      <w:r>
        <w:rPr>
          <w:b w:val="0"/>
          <w:i w:val="0"/>
        </w:rPr>
        <w:t>The clearest result is a shift toward hotter summer maxima in Spain, France and Germany. Between 1961-1990 and 1996-2025, mean TXx anomalies rise by 2.10 °C, 2.44 °C and 1.85 °C, respectively. Sweden's estimated rise is smaller, 0.63 °C, and its period-difference interval includes zero, although its full-record mean trend is positive with a HAC interval excluding zero. A comparison of two periods and a trend over the full record answer different questions and need not have the same precision.</w:t>
      </w:r>
    </w:p>
    <w:p>
      <w:r>
        <w:rPr>
          <w:b w:val="0"/>
          <w:i w:val="0"/>
        </w:rPr>
        <w:t>Heat observations cross fixed historical thresholds more often in all four countries, whichever of P75, P90, P95 or P99 defines the extreme. A shift of the early distribution by the observed mean change reproduces much of that increase. The upper percentiles also rise, but their extra movement relative to the mean is imprecise. The quantile regressions similarly do not establish a faster P95 trend than the median. The evidence therefore supports a substantial shift, while leaving moderate changes in the upper tail unresolved. France and Germany have wider pooled distributions, so the results do not justify a blanket claim that shape is unchanged.</w:t>
      </w:r>
    </w:p>
    <w:p>
      <w:r>
        <w:rPr>
          <w:b w:val="0"/>
          <w:i w:val="0"/>
        </w:rPr>
        <w:t>For drought, mean September SPEI-6 falls in Spain, France and Germany, indicating a drier April-September climatic water balance. Sweden shows no clear mean drying. Spain's increase in dry-threshold crossings persists across all four cut-offs. The conclusion is less uniform elsewhere: France has more crossings at P25, P10 and P5, but no increase at P1. We find no clear extra deterioration of the P5 relative to the mean. With only 30 observations per comparison period, this is weak evidence about the most severe droughts.</w:t>
      </w:r>
    </w:p>
    <w:p>
      <w:r>
        <w:rPr>
          <w:b w:val="0"/>
          <w:i w:val="0"/>
        </w:rPr>
        <w:t>Our method combines distribution comparisons, fixed-threshold counts, a shift benchmark, OLS trends and quantile regression. The results are descriptive changes and associations with time. A time coefficient absorbs many processes; it cannot isolate greenhouse gas forcing, land-use change or a particular economic mechanism. Causal attribution would require a credible counterfactual, such as climate-model ensembles with and without human forcing, together with evidence on model performance and observational uncertainty. The broader attribution evidence assessed by Seneviratne et al. (2021) does not turn our regressions into an attribution design.</w:t>
      </w:r>
    </w:p>
    <w:p>
      <w:r>
        <w:rPr>
          <w:b w:val="0"/>
          <w:i w:val="0"/>
        </w:rPr>
        <w:t>Three limits are central. National averages smooth local extremes, and these indices do not count heatwave duration or observed crop and income losses. The most extreme percentiles rest on very few observations, while our bootstrap does not preserve dependence across years. Finally, the early baseline overlaps the documented pre-1978 ERA5-Land concern; the post-1978 mean-trend check cannot validate all early-period tail results. The practical implication is still clear: a change in the mean can substantially raise exposure to historically unusual conditions. The data support that conclusion more firmly than a claim that the extreme tails have systematically become heavier.</w:t>
      </w:r>
    </w:p>
    <w:p>
      <w:r>
        <w:br w:type="page"/>
      </w:r>
    </w:p>
    <w:p>
      <w:pPr>
        <w:pStyle w:val="Heading1"/>
      </w:pPr>
      <w:r>
        <w:t>References</w:t>
      </w:r>
    </w:p>
    <w:p>
      <w:r>
        <w:rPr>
          <w:b w:val="0"/>
          <w:i w:val="0"/>
        </w:rPr>
        <w:t xml:space="preserve">Hansen, J., Sato, M., and Ruedy, R. (2012). Perception of climate change. </w:t>
      </w:r>
      <w:r>
        <w:rPr>
          <w:b w:val="0"/>
          <w:i/>
        </w:rPr>
        <w:t>Proceedings of the National Academy of Sciences</w:t>
      </w:r>
      <w:r>
        <w:rPr>
          <w:b w:val="0"/>
          <w:i w:val="0"/>
        </w:rPr>
        <w:t>, 109(37), E2415-E2423. https://doi.org/10.1073/pnas.1205276109</w:t>
      </w:r>
    </w:p>
    <w:p>
      <w:r>
        <w:rPr>
          <w:b w:val="0"/>
          <w:i w:val="0"/>
        </w:rPr>
        <w:t xml:space="preserve">Rhines, A., and Huybers, P. (2013). Frequent summer temperature extremes reflect changes in the mean, not the variance. </w:t>
      </w:r>
      <w:r>
        <w:rPr>
          <w:b w:val="0"/>
          <w:i/>
        </w:rPr>
        <w:t>Proceedings of the National Academy of Sciences</w:t>
      </w:r>
      <w:r>
        <w:rPr>
          <w:b w:val="0"/>
          <w:i w:val="0"/>
        </w:rPr>
        <w:t>, 110(7), E546. https://doi.org/10.1073/pnas.1218748110</w:t>
      </w:r>
    </w:p>
    <w:p>
      <w:r>
        <w:rPr>
          <w:b w:val="0"/>
          <w:i w:val="0"/>
        </w:rPr>
        <w:t xml:space="preserve">Seneviratne, S. I., Zhang, X., Adnan, M., Badi, W., Dereczynski, C., Di Luca, A., Ghosh, S., Iskandar, I., Kossin, J., Lewis, S., Otto, F., Pinto, I., Satoh, M., Vicente-Serrano, S. M., Wehner, M., and Zhou, B. (2021). Weather and climate extreme events in a changing climate. In </w:t>
      </w:r>
      <w:r>
        <w:rPr>
          <w:b w:val="0"/>
          <w:i/>
        </w:rPr>
        <w:t>Climate Change 2021: The Physical Science Basis</w:t>
      </w:r>
      <w:r>
        <w:rPr>
          <w:b w:val="0"/>
          <w:i w:val="0"/>
        </w:rPr>
        <w:t>, Chapter 11, pp. 1513-1766. Cambridge University Press. https://doi.org/10.1017/9781009157896.013</w:t>
      </w:r>
    </w:p>
    <w:p>
      <w:r>
        <w:rPr>
          <w:b w:val="0"/>
          <w:i w:val="0"/>
        </w:rPr>
        <w:t xml:space="preserve">Copernicus Climate Change Service (2026). </w:t>
      </w:r>
      <w:r>
        <w:rPr>
          <w:b w:val="0"/>
          <w:i/>
        </w:rPr>
        <w:t>Copernicus Interactive Climate Atlas</w:t>
      </w:r>
      <w:r>
        <w:rPr>
          <w:b w:val="0"/>
          <w:i w:val="0"/>
        </w:rPr>
        <w:t>, version v2.5, ERA5-Land regional-information exports for Spain, France, Germany and Sweden, 1950-2025 [Data]. Accessed 29 October 2026. https://atlas.climate.copernicus.eu/</w:t>
      </w:r>
    </w:p>
    <w:p>
      <w:r>
        <w:rPr>
          <w:b w:val="0"/>
          <w:i w:val="0"/>
        </w:rPr>
        <w:t xml:space="preserve">Copernicus Climate Change Service (2023). </w:t>
      </w:r>
      <w:r>
        <w:rPr>
          <w:b w:val="0"/>
          <w:i/>
        </w:rPr>
        <w:t>Gridded data underpinning the Copernicus Interactive Climate Atlas: Description of the datasets and variables</w:t>
      </w:r>
      <w:r>
        <w:rPr>
          <w:b w:val="0"/>
          <w:i w:val="0"/>
        </w:rPr>
        <w:t>. Updated 28 May 2026; accessed 29 October 2026. https://confluence.ecmwf.int/x/UZZ-Fw</w:t>
      </w:r>
    </w:p>
    <w:p>
      <w:r>
        <w:rPr>
          <w:b w:val="0"/>
          <w:i w:val="0"/>
        </w:rPr>
        <w:t xml:space="preserve">Copernicus Climate Change Service (2024a). </w:t>
      </w:r>
      <w:r>
        <w:rPr>
          <w:b w:val="0"/>
          <w:i/>
        </w:rPr>
        <w:t>Copernicus Interactive Climate Atlas: User Guide</w:t>
      </w:r>
      <w:r>
        <w:rPr>
          <w:b w:val="0"/>
          <w:i w:val="0"/>
        </w:rPr>
        <w:t>. Updated 29 May 2026; accessed 29 October 2026. https://confluence.ecmwf.int/x/aZZ-Fw</w:t>
      </w:r>
    </w:p>
    <w:p>
      <w:r>
        <w:rPr>
          <w:b w:val="0"/>
          <w:i w:val="0"/>
        </w:rPr>
        <w:t xml:space="preserve">Copernicus Climate Change Service (2024b). </w:t>
      </w:r>
      <w:r>
        <w:rPr>
          <w:b w:val="0"/>
          <w:i/>
        </w:rPr>
        <w:t>Gridded dataset underpinning the Copernicus Interactive Climate Atlas</w:t>
      </w:r>
      <w:r>
        <w:rPr>
          <w:b w:val="0"/>
          <w:i w:val="0"/>
        </w:rPr>
        <w:t xml:space="preserve"> [Data set]. ECMWF. https://doi.org/10.24381/cds.h35hb680</w:t>
      </w:r>
    </w:p>
    <w:p>
      <w:r>
        <w:rPr>
          <w:b w:val="0"/>
          <w:i w:val="0"/>
        </w:rPr>
        <w:t xml:space="preserve">Hargreaves, G. H., and Samani, Z. A. (1985). Reference crop evapotranspiration from temperature. </w:t>
      </w:r>
      <w:r>
        <w:rPr>
          <w:b w:val="0"/>
          <w:i/>
        </w:rPr>
        <w:t>Applied Engineering in Agriculture</w:t>
      </w:r>
      <w:r>
        <w:rPr>
          <w:b w:val="0"/>
          <w:i w:val="0"/>
        </w:rPr>
        <w:t>, 1(2), 96-99. https://doi.org/10.13031/2013.26773</w:t>
      </w:r>
    </w:p>
    <w:p>
      <w:pPr>
        <w:pStyle w:val="Heading1"/>
      </w:pPr>
      <w:r>
        <w:t>Statement on the use of AI</w:t>
      </w:r>
    </w:p>
    <w:p>
      <w:r>
        <w:rPr>
          <w:b w:val="0"/>
          <w:i w:val="0"/>
        </w:rPr>
        <w:t>We used Claude Code and OpenAI Codex for code execution and help with concrete system design. Codex also assisted with literature searches and checks, and editing the wording and consistency of the paper. Numerical statements were checked against the repository's computed outputs. The authors remain responsible for reviewing the submitted text, verifying its references and explaining the methods and results.</w:t>
      </w:r>
    </w:p>
    <w:sectPr w:rsidR="00FC693F" w:rsidRPr="0006063C" w:rsidSect="00034616">
      <w:footerReference w:type="default" r:id="rId9"/>
      <w:pgSz w:w="11909" w:h="16834"/>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cs="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imes New Roman" w:hAnsi="Times New Roman" w:cs="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imes New Roman" w:hAnsi="Times New Roman" w:cs="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Extreme events: a shift or a change in shape?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