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DBF84" w14:textId="77777777" w:rsidR="0059135B" w:rsidRDefault="0059135B" w:rsidP="0059135B">
      <w:r>
        <w:t>Le rapport, de 10 pages au maximum, devra contenir :</w:t>
      </w:r>
    </w:p>
    <w:p w14:paraId="6628F2A8" w14:textId="77777777" w:rsidR="0059135B" w:rsidRDefault="0059135B" w:rsidP="0059135B">
      <w:pPr>
        <w:ind w:left="708"/>
      </w:pPr>
      <w:r>
        <w:t>• Une page de présentation</w:t>
      </w:r>
    </w:p>
    <w:p w14:paraId="4BF210B7" w14:textId="77777777" w:rsidR="0059135B" w:rsidRDefault="0059135B" w:rsidP="0059135B">
      <w:pPr>
        <w:ind w:left="708"/>
      </w:pPr>
      <w:r>
        <w:t>• Une introduction pour expliquer la problématique</w:t>
      </w:r>
    </w:p>
    <w:p w14:paraId="207815B9" w14:textId="77777777" w:rsidR="0059135B" w:rsidRDefault="0059135B" w:rsidP="0059135B">
      <w:pPr>
        <w:ind w:left="708"/>
      </w:pPr>
      <w:r>
        <w:t>• Une description de la tâche à accomplir (traduction)</w:t>
      </w:r>
    </w:p>
    <w:p w14:paraId="39E61A7F" w14:textId="77777777" w:rsidR="0059135B" w:rsidRDefault="0059135B" w:rsidP="0059135B">
      <w:pPr>
        <w:ind w:left="708"/>
      </w:pPr>
      <w:r>
        <w:t>• Une justification de l’architecture choisie</w:t>
      </w:r>
    </w:p>
    <w:p w14:paraId="4B934E22" w14:textId="77777777" w:rsidR="0059135B" w:rsidRDefault="0059135B" w:rsidP="0059135B">
      <w:pPr>
        <w:ind w:left="708"/>
      </w:pPr>
      <w:r>
        <w:t>• Un schéma-bloc des différentes couches du réseau</w:t>
      </w:r>
    </w:p>
    <w:p w14:paraId="6D293994" w14:textId="77777777" w:rsidR="0059135B" w:rsidRDefault="0059135B" w:rsidP="0059135B">
      <w:pPr>
        <w:ind w:left="708"/>
      </w:pPr>
      <w:r>
        <w:t>• Le nombre total de paramètres à entraîner dans le réseau</w:t>
      </w:r>
    </w:p>
    <w:p w14:paraId="5776BFBE" w14:textId="1C118F32" w:rsidR="0059135B" w:rsidRDefault="0059135B" w:rsidP="0059135B">
      <w:pPr>
        <w:ind w:left="708"/>
      </w:pPr>
      <w:r>
        <w:t>• Une description des hyperparamètres utilisés pour l’entraînement : fonction de coût, taux d’apprentissage,</w:t>
      </w:r>
      <w:r>
        <w:t xml:space="preserve"> </w:t>
      </w:r>
      <w:r>
        <w:t>taille des lots, etc.</w:t>
      </w:r>
    </w:p>
    <w:p w14:paraId="737652A3" w14:textId="23036EE8" w:rsidR="0059135B" w:rsidRDefault="0059135B" w:rsidP="0059135B">
      <w:pPr>
        <w:ind w:left="708"/>
      </w:pPr>
      <w:r>
        <w:t>• Un graphique et interprétation de l’erreur en fonction des époques pour les sous-ensembles d’entraînement et</w:t>
      </w:r>
      <w:r>
        <w:t xml:space="preserve"> </w:t>
      </w:r>
      <w:r>
        <w:t>de validation</w:t>
      </w:r>
    </w:p>
    <w:p w14:paraId="32CA69D2" w14:textId="213E2307" w:rsidR="0059135B" w:rsidRDefault="0059135B" w:rsidP="0059135B">
      <w:pPr>
        <w:ind w:left="708"/>
      </w:pPr>
      <w:r>
        <w:t>• Un graphique et interprétation de la distance d’édition moyenne en fonction des époques pour les sous-ensembles</w:t>
      </w:r>
      <w:r>
        <w:t xml:space="preserve"> </w:t>
      </w:r>
      <w:r>
        <w:t>d’entraînement et de validation</w:t>
      </w:r>
    </w:p>
    <w:p w14:paraId="1A4A6F6A" w14:textId="77777777" w:rsidR="0059135B" w:rsidRDefault="0059135B" w:rsidP="0059135B">
      <w:pPr>
        <w:ind w:left="708"/>
      </w:pPr>
      <w:r>
        <w:t>• Une représentation et interprétation de la matrice de confusion des différents symboles</w:t>
      </w:r>
    </w:p>
    <w:p w14:paraId="34A0EBFB" w14:textId="77777777" w:rsidR="0059135B" w:rsidRDefault="0059135B" w:rsidP="0059135B">
      <w:pPr>
        <w:ind w:left="708"/>
      </w:pPr>
      <w:r>
        <w:t>• Une représentation de l’attention sur les coordonnées (facultatif)</w:t>
      </w:r>
    </w:p>
    <w:p w14:paraId="1C89D80C" w14:textId="77777777" w:rsidR="0059135B" w:rsidRDefault="0059135B" w:rsidP="0059135B">
      <w:pPr>
        <w:ind w:left="708"/>
      </w:pPr>
      <w:r>
        <w:t>• Un exemple de traduction avec le sous-ensemble de test</w:t>
      </w:r>
    </w:p>
    <w:p w14:paraId="6B7FC058" w14:textId="6F32125B" w:rsidR="008A5DA7" w:rsidRDefault="0059135B" w:rsidP="0059135B">
      <w:pPr>
        <w:ind w:left="708"/>
      </w:pPr>
      <w:r>
        <w:t>• Une conclusion qui fait un retour sur les performances obtenues avec les architectures proposées</w:t>
      </w:r>
    </w:p>
    <w:p w14:paraId="753BEAAE" w14:textId="77777777" w:rsidR="00AC057E" w:rsidRDefault="00AC057E" w:rsidP="0059135B">
      <w:pPr>
        <w:ind w:left="708"/>
      </w:pPr>
    </w:p>
    <w:p w14:paraId="2141089A" w14:textId="77777777" w:rsidR="00AC057E" w:rsidRDefault="00AC057E" w:rsidP="0059135B">
      <w:pPr>
        <w:ind w:left="708"/>
      </w:pPr>
    </w:p>
    <w:p w14:paraId="5FAB9C3D" w14:textId="77777777" w:rsidR="00AC057E" w:rsidRDefault="00AC057E" w:rsidP="0059135B">
      <w:pPr>
        <w:ind w:left="708"/>
      </w:pPr>
    </w:p>
    <w:p w14:paraId="6B8D5DD0" w14:textId="77777777" w:rsidR="00AC057E" w:rsidRDefault="00AC057E" w:rsidP="0059135B">
      <w:pPr>
        <w:ind w:left="708"/>
      </w:pPr>
    </w:p>
    <w:p w14:paraId="3A4A8005" w14:textId="77777777" w:rsidR="00AC057E" w:rsidRDefault="00AC057E" w:rsidP="0059135B">
      <w:pPr>
        <w:ind w:left="708"/>
      </w:pPr>
    </w:p>
    <w:p w14:paraId="35D155FA" w14:textId="77777777" w:rsidR="00AC057E" w:rsidRDefault="00AC057E" w:rsidP="0059135B">
      <w:pPr>
        <w:ind w:left="708"/>
      </w:pPr>
    </w:p>
    <w:p w14:paraId="2947F626" w14:textId="77777777" w:rsidR="00AC057E" w:rsidRDefault="00AC057E" w:rsidP="0059135B">
      <w:pPr>
        <w:ind w:left="708"/>
      </w:pPr>
    </w:p>
    <w:p w14:paraId="4565D354" w14:textId="77777777" w:rsidR="00AC057E" w:rsidRDefault="00AC057E" w:rsidP="0059135B">
      <w:pPr>
        <w:ind w:left="708"/>
      </w:pPr>
    </w:p>
    <w:p w14:paraId="52191F90" w14:textId="77777777" w:rsidR="00AC057E" w:rsidRDefault="00AC057E" w:rsidP="0059135B">
      <w:pPr>
        <w:ind w:left="708"/>
      </w:pPr>
    </w:p>
    <w:p w14:paraId="5049F512" w14:textId="77777777" w:rsidR="00AC057E" w:rsidRPr="005D7AB3" w:rsidRDefault="00AC057E" w:rsidP="00AC057E">
      <w:pPr>
        <w:spacing w:after="0" w:line="240" w:lineRule="auto"/>
        <w:jc w:val="center"/>
      </w:pPr>
      <w:bookmarkStart w:id="0" w:name="_Hlk139845972"/>
      <w:bookmarkEnd w:id="0"/>
      <w:r w:rsidRPr="005D7AB3">
        <w:lastRenderedPageBreak/>
        <w:t>UNIVERSITÉ DE SHERBROOKE</w:t>
      </w:r>
    </w:p>
    <w:p w14:paraId="404B941F" w14:textId="77777777" w:rsidR="00AC057E" w:rsidRPr="005D7AB3" w:rsidRDefault="00AC057E" w:rsidP="00AC057E">
      <w:pPr>
        <w:spacing w:after="0" w:line="240" w:lineRule="auto"/>
        <w:jc w:val="center"/>
      </w:pPr>
      <w:r w:rsidRPr="005D7AB3">
        <w:t>Faculté de génie</w:t>
      </w:r>
    </w:p>
    <w:p w14:paraId="2E7E4846" w14:textId="77777777" w:rsidR="00AC057E" w:rsidRPr="005D7AB3" w:rsidRDefault="00AC057E" w:rsidP="00AC057E">
      <w:pPr>
        <w:spacing w:after="0" w:line="240" w:lineRule="auto"/>
        <w:jc w:val="center"/>
      </w:pPr>
      <w:r w:rsidRPr="005D7AB3">
        <w:t>Département de génie électrique et génie informatique</w:t>
      </w:r>
    </w:p>
    <w:p w14:paraId="3DA76532" w14:textId="77777777" w:rsidR="00AC057E" w:rsidRPr="005D7AB3" w:rsidRDefault="00AC057E" w:rsidP="00AC057E">
      <w:pPr>
        <w:spacing w:after="0" w:line="240" w:lineRule="auto"/>
        <w:jc w:val="center"/>
      </w:pPr>
    </w:p>
    <w:p w14:paraId="59E1F8BE" w14:textId="77777777" w:rsidR="00AC057E" w:rsidRPr="005D7AB3" w:rsidRDefault="00AC057E" w:rsidP="00AC057E">
      <w:pPr>
        <w:spacing w:after="0" w:line="240" w:lineRule="auto"/>
        <w:jc w:val="center"/>
      </w:pPr>
    </w:p>
    <w:p w14:paraId="4D107919" w14:textId="77777777" w:rsidR="00AC057E" w:rsidRPr="005D7AB3" w:rsidRDefault="00AC057E" w:rsidP="00AC057E">
      <w:pPr>
        <w:spacing w:after="0" w:line="240" w:lineRule="auto"/>
        <w:jc w:val="center"/>
      </w:pPr>
    </w:p>
    <w:p w14:paraId="0C029963" w14:textId="77777777" w:rsidR="00AC057E" w:rsidRDefault="00AC057E" w:rsidP="00AC057E">
      <w:pPr>
        <w:spacing w:after="0" w:line="240" w:lineRule="auto"/>
        <w:jc w:val="center"/>
      </w:pPr>
    </w:p>
    <w:p w14:paraId="5AC3349E" w14:textId="77777777" w:rsidR="00AC057E" w:rsidRDefault="00AC057E" w:rsidP="00AC057E">
      <w:pPr>
        <w:spacing w:after="0" w:line="240" w:lineRule="auto"/>
        <w:jc w:val="center"/>
      </w:pPr>
    </w:p>
    <w:p w14:paraId="0DC68072" w14:textId="77777777" w:rsidR="00AC057E" w:rsidRDefault="00AC057E" w:rsidP="00AC057E">
      <w:pPr>
        <w:spacing w:after="0" w:line="240" w:lineRule="auto"/>
        <w:jc w:val="center"/>
      </w:pPr>
    </w:p>
    <w:p w14:paraId="133A503C" w14:textId="77777777" w:rsidR="00AC057E" w:rsidRDefault="00AC057E" w:rsidP="00AC057E">
      <w:pPr>
        <w:spacing w:after="0" w:line="240" w:lineRule="auto"/>
        <w:jc w:val="center"/>
      </w:pPr>
    </w:p>
    <w:p w14:paraId="3F24D7D4" w14:textId="77777777" w:rsidR="00AC057E" w:rsidRDefault="00AC057E" w:rsidP="00AC057E">
      <w:pPr>
        <w:spacing w:after="0" w:line="240" w:lineRule="auto"/>
        <w:jc w:val="center"/>
      </w:pPr>
    </w:p>
    <w:p w14:paraId="0378A52E" w14:textId="77777777" w:rsidR="00AC057E" w:rsidRDefault="00AC057E" w:rsidP="00AC057E">
      <w:pPr>
        <w:spacing w:after="0" w:line="240" w:lineRule="auto"/>
        <w:jc w:val="center"/>
      </w:pPr>
    </w:p>
    <w:p w14:paraId="46657BED" w14:textId="77777777" w:rsidR="00AC057E" w:rsidRPr="005D7AB3" w:rsidRDefault="00AC057E" w:rsidP="00AC057E">
      <w:pPr>
        <w:spacing w:after="0" w:line="240" w:lineRule="auto"/>
        <w:jc w:val="center"/>
      </w:pPr>
    </w:p>
    <w:p w14:paraId="3E4FFF00" w14:textId="77777777" w:rsidR="00AC057E" w:rsidRPr="005D7AB3" w:rsidRDefault="00AC057E" w:rsidP="00AC057E">
      <w:pPr>
        <w:spacing w:after="0" w:line="240" w:lineRule="auto"/>
        <w:jc w:val="center"/>
      </w:pPr>
    </w:p>
    <w:p w14:paraId="1DF67CEB" w14:textId="38AB55D6" w:rsidR="00AC057E" w:rsidRPr="005D7AB3" w:rsidRDefault="00AC057E" w:rsidP="00AC057E">
      <w:pPr>
        <w:spacing w:after="0" w:line="240" w:lineRule="auto"/>
        <w:jc w:val="center"/>
        <w:rPr>
          <w:rStyle w:val="BookTitle"/>
          <w:sz w:val="40"/>
          <w:szCs w:val="40"/>
        </w:rPr>
      </w:pPr>
      <w:r w:rsidRPr="005D7AB3">
        <w:rPr>
          <w:rStyle w:val="BookTitle"/>
          <w:sz w:val="40"/>
          <w:szCs w:val="40"/>
        </w:rPr>
        <w:t xml:space="preserve">Rapport </w:t>
      </w:r>
      <w:r>
        <w:rPr>
          <w:rStyle w:val="BookTitle"/>
          <w:sz w:val="40"/>
          <w:szCs w:val="40"/>
        </w:rPr>
        <w:t xml:space="preserve">app </w:t>
      </w:r>
      <w:r>
        <w:rPr>
          <w:rStyle w:val="BookTitle"/>
          <w:sz w:val="40"/>
          <w:szCs w:val="40"/>
        </w:rPr>
        <w:t>3</w:t>
      </w:r>
    </w:p>
    <w:p w14:paraId="1422F5A7" w14:textId="77777777" w:rsidR="00AC057E" w:rsidRPr="005D7AB3" w:rsidRDefault="00AC057E" w:rsidP="00AC057E">
      <w:pPr>
        <w:spacing w:after="0" w:line="240" w:lineRule="auto"/>
        <w:jc w:val="center"/>
      </w:pPr>
    </w:p>
    <w:p w14:paraId="1C36B693" w14:textId="77777777" w:rsidR="00AC057E" w:rsidRPr="005D7AB3" w:rsidRDefault="00AC057E" w:rsidP="00AC057E">
      <w:pPr>
        <w:spacing w:after="0" w:line="240" w:lineRule="auto"/>
        <w:jc w:val="center"/>
      </w:pPr>
    </w:p>
    <w:p w14:paraId="7A06F400" w14:textId="77777777" w:rsidR="00AC057E" w:rsidRPr="005D7AB3" w:rsidRDefault="00AC057E" w:rsidP="00AC057E">
      <w:pPr>
        <w:spacing w:after="0" w:line="240" w:lineRule="auto"/>
        <w:jc w:val="center"/>
      </w:pPr>
    </w:p>
    <w:p w14:paraId="77CB9297" w14:textId="77777777" w:rsidR="00AC057E" w:rsidRPr="005D7AB3" w:rsidRDefault="00AC057E" w:rsidP="00AC057E">
      <w:pPr>
        <w:spacing w:after="0" w:line="240" w:lineRule="auto"/>
        <w:jc w:val="center"/>
      </w:pPr>
    </w:p>
    <w:p w14:paraId="57C3AEF4" w14:textId="77777777" w:rsidR="00AC057E" w:rsidRPr="005D7AB3" w:rsidRDefault="00AC057E" w:rsidP="00AC057E">
      <w:pPr>
        <w:spacing w:after="0" w:line="240" w:lineRule="auto"/>
        <w:jc w:val="center"/>
      </w:pPr>
    </w:p>
    <w:p w14:paraId="091BA97A" w14:textId="3C8AACEB" w:rsidR="00AC057E" w:rsidRPr="005D7AB3" w:rsidRDefault="00AC057E" w:rsidP="00AC057E">
      <w:pPr>
        <w:spacing w:after="0" w:line="240" w:lineRule="auto"/>
        <w:jc w:val="center"/>
        <w:rPr>
          <w:rFonts w:ascii="Calibri" w:eastAsia="Calibri" w:hAnsi="Calibri" w:cs="Calibri"/>
          <w:szCs w:val="22"/>
        </w:rPr>
      </w:pPr>
      <w:r w:rsidRPr="007469D5">
        <w:rPr>
          <w:rFonts w:ascii="Calibri" w:eastAsia="Calibri" w:hAnsi="Calibri" w:cs="Calibri"/>
          <w:szCs w:val="22"/>
        </w:rPr>
        <w:t>GRO72</w:t>
      </w:r>
      <w:r>
        <w:rPr>
          <w:rFonts w:ascii="Calibri" w:eastAsia="Calibri" w:hAnsi="Calibri" w:cs="Calibri"/>
          <w:szCs w:val="22"/>
        </w:rPr>
        <w:t>2</w:t>
      </w:r>
    </w:p>
    <w:p w14:paraId="15D12BE4" w14:textId="77777777" w:rsidR="00AC057E" w:rsidRPr="00AC057E" w:rsidRDefault="00AC057E" w:rsidP="00AC057E">
      <w:pPr>
        <w:spacing w:after="0" w:line="240" w:lineRule="auto"/>
        <w:jc w:val="center"/>
        <w:rPr>
          <w:rFonts w:ascii="Calibri" w:eastAsia="Calibri" w:hAnsi="Calibri" w:cs="Calibri"/>
          <w:szCs w:val="22"/>
        </w:rPr>
      </w:pPr>
      <w:r w:rsidRPr="00AC057E">
        <w:rPr>
          <w:rFonts w:ascii="Calibri" w:eastAsia="Calibri" w:hAnsi="Calibri" w:cs="Calibri"/>
          <w:szCs w:val="22"/>
        </w:rPr>
        <w:t>Réseaux de neurones récurrents</w:t>
      </w:r>
    </w:p>
    <w:p w14:paraId="35C6FF54" w14:textId="77777777" w:rsidR="00AC057E" w:rsidRPr="005D7AB3" w:rsidRDefault="00AC057E" w:rsidP="00AC057E">
      <w:pPr>
        <w:spacing w:after="0" w:line="240" w:lineRule="auto"/>
        <w:jc w:val="center"/>
      </w:pPr>
    </w:p>
    <w:p w14:paraId="2E3E0E56" w14:textId="77777777" w:rsidR="00AC057E" w:rsidRPr="005D7AB3" w:rsidRDefault="00AC057E" w:rsidP="00AC057E">
      <w:pPr>
        <w:spacing w:after="0" w:line="240" w:lineRule="auto"/>
        <w:jc w:val="center"/>
      </w:pPr>
    </w:p>
    <w:p w14:paraId="1DB8C466" w14:textId="77777777" w:rsidR="00AC057E" w:rsidRPr="005D7AB3" w:rsidRDefault="00AC057E" w:rsidP="00AC057E">
      <w:pPr>
        <w:spacing w:after="0" w:line="240" w:lineRule="auto"/>
        <w:jc w:val="center"/>
      </w:pPr>
    </w:p>
    <w:p w14:paraId="545337A6" w14:textId="77777777" w:rsidR="00AC057E" w:rsidRPr="005D7AB3" w:rsidRDefault="00AC057E" w:rsidP="00AC057E">
      <w:pPr>
        <w:spacing w:after="0" w:line="240" w:lineRule="auto"/>
        <w:jc w:val="center"/>
      </w:pPr>
    </w:p>
    <w:p w14:paraId="178AB6CC" w14:textId="77777777" w:rsidR="00AC057E" w:rsidRPr="005D7AB3" w:rsidRDefault="00AC057E" w:rsidP="00AC057E">
      <w:pPr>
        <w:spacing w:after="0" w:line="240" w:lineRule="auto"/>
        <w:jc w:val="center"/>
      </w:pPr>
    </w:p>
    <w:p w14:paraId="3F935B45" w14:textId="77777777" w:rsidR="00AC057E" w:rsidRPr="005D7AB3" w:rsidRDefault="00AC057E" w:rsidP="00AC057E">
      <w:pPr>
        <w:spacing w:after="0" w:line="240" w:lineRule="auto"/>
        <w:jc w:val="center"/>
      </w:pPr>
    </w:p>
    <w:p w14:paraId="13213186" w14:textId="77777777" w:rsidR="00AC057E" w:rsidRPr="005D7AB3" w:rsidRDefault="00AC057E" w:rsidP="00AC057E">
      <w:pPr>
        <w:spacing w:after="0" w:line="240" w:lineRule="auto"/>
        <w:jc w:val="center"/>
      </w:pPr>
      <w:r w:rsidRPr="005D7AB3">
        <w:t>Présenté à</w:t>
      </w:r>
    </w:p>
    <w:p w14:paraId="7B7591C8" w14:textId="77777777" w:rsidR="00AC057E" w:rsidRPr="005D7AB3" w:rsidRDefault="00AC057E" w:rsidP="00AC057E">
      <w:pPr>
        <w:spacing w:after="0" w:line="240" w:lineRule="auto"/>
        <w:jc w:val="center"/>
      </w:pPr>
      <w:r w:rsidRPr="005D7AB3">
        <w:t xml:space="preserve">M. </w:t>
      </w:r>
      <w:r>
        <w:t>Sean Wood</w:t>
      </w:r>
    </w:p>
    <w:p w14:paraId="68669705" w14:textId="77777777" w:rsidR="00AC057E" w:rsidRPr="005D7AB3" w:rsidRDefault="00AC057E" w:rsidP="00AC057E">
      <w:pPr>
        <w:spacing w:after="0" w:line="240" w:lineRule="auto"/>
        <w:jc w:val="center"/>
      </w:pPr>
    </w:p>
    <w:p w14:paraId="42BC9446" w14:textId="77777777" w:rsidR="00AC057E" w:rsidRPr="005D7AB3" w:rsidRDefault="00AC057E" w:rsidP="00AC057E">
      <w:pPr>
        <w:spacing w:after="0" w:line="240" w:lineRule="auto"/>
        <w:jc w:val="center"/>
      </w:pPr>
    </w:p>
    <w:p w14:paraId="57912C20" w14:textId="77777777" w:rsidR="00AC057E" w:rsidRPr="005D7AB3" w:rsidRDefault="00AC057E" w:rsidP="00AC057E">
      <w:pPr>
        <w:spacing w:after="0" w:line="240" w:lineRule="auto"/>
        <w:jc w:val="center"/>
      </w:pPr>
    </w:p>
    <w:p w14:paraId="7756BAA3" w14:textId="77777777" w:rsidR="00AC057E" w:rsidRDefault="00AC057E" w:rsidP="00AC057E">
      <w:pPr>
        <w:spacing w:after="0" w:line="240" w:lineRule="auto"/>
        <w:jc w:val="center"/>
      </w:pPr>
    </w:p>
    <w:p w14:paraId="5542F873" w14:textId="77777777" w:rsidR="00AC057E" w:rsidRDefault="00AC057E" w:rsidP="00AC057E">
      <w:pPr>
        <w:spacing w:after="0" w:line="240" w:lineRule="auto"/>
        <w:jc w:val="center"/>
      </w:pPr>
    </w:p>
    <w:p w14:paraId="79D54524" w14:textId="77777777" w:rsidR="00AC057E" w:rsidRDefault="00AC057E" w:rsidP="00AC057E">
      <w:pPr>
        <w:spacing w:after="0" w:line="240" w:lineRule="auto"/>
      </w:pPr>
    </w:p>
    <w:p w14:paraId="05CA5F82" w14:textId="77777777" w:rsidR="00AC057E" w:rsidRPr="005D7AB3" w:rsidRDefault="00AC057E" w:rsidP="00AC057E">
      <w:pPr>
        <w:spacing w:after="0" w:line="240" w:lineRule="auto"/>
        <w:jc w:val="center"/>
      </w:pPr>
    </w:p>
    <w:p w14:paraId="3FBEA138" w14:textId="77777777" w:rsidR="00AC057E" w:rsidRPr="005D7AB3" w:rsidRDefault="00AC057E" w:rsidP="00AC057E">
      <w:pPr>
        <w:spacing w:after="0" w:line="240" w:lineRule="auto"/>
        <w:jc w:val="center"/>
      </w:pPr>
    </w:p>
    <w:p w14:paraId="0F3BB484" w14:textId="77777777" w:rsidR="00AC057E" w:rsidRPr="005D7AB3" w:rsidRDefault="00AC057E" w:rsidP="00AC057E">
      <w:pPr>
        <w:spacing w:after="0" w:line="240" w:lineRule="auto"/>
        <w:jc w:val="center"/>
      </w:pPr>
    </w:p>
    <w:p w14:paraId="0088F743" w14:textId="77777777" w:rsidR="00AC057E" w:rsidRPr="005D7AB3" w:rsidRDefault="00AC057E" w:rsidP="00AC057E">
      <w:pPr>
        <w:spacing w:after="0" w:line="240" w:lineRule="auto"/>
        <w:jc w:val="center"/>
      </w:pPr>
      <w:r w:rsidRPr="005D7AB3">
        <w:t>Présenté par</w:t>
      </w:r>
    </w:p>
    <w:p w14:paraId="21826782" w14:textId="0A589BEE" w:rsidR="00AC057E" w:rsidRPr="005D7AB3" w:rsidRDefault="00AC057E" w:rsidP="00AC057E">
      <w:pPr>
        <w:spacing w:after="0" w:line="240" w:lineRule="auto"/>
        <w:jc w:val="center"/>
      </w:pPr>
      <w:r w:rsidRPr="005D7AB3">
        <w:t xml:space="preserve">Équipe numéro </w:t>
      </w:r>
      <w:r>
        <w:t>1</w:t>
      </w:r>
      <w:r>
        <w:t>4</w:t>
      </w:r>
    </w:p>
    <w:p w14:paraId="22C9B97A" w14:textId="77777777" w:rsidR="00AC057E" w:rsidRPr="005D7AB3" w:rsidRDefault="00AC057E" w:rsidP="00AC057E">
      <w:pPr>
        <w:spacing w:after="0" w:line="240" w:lineRule="auto"/>
        <w:jc w:val="center"/>
      </w:pPr>
      <w:r>
        <w:t>Antoine Costa – cosa5136</w:t>
      </w:r>
    </w:p>
    <w:p w14:paraId="2FDD34BB" w14:textId="77777777" w:rsidR="00AC057E" w:rsidRDefault="00AC057E" w:rsidP="00AC057E">
      <w:pPr>
        <w:spacing w:after="0" w:line="240" w:lineRule="auto"/>
        <w:jc w:val="center"/>
      </w:pPr>
      <w:r>
        <w:t>Gabriel Ducas – ducg0902</w:t>
      </w:r>
    </w:p>
    <w:p w14:paraId="4B9F6F53" w14:textId="77777777" w:rsidR="00AF279A" w:rsidRPr="005D7AB3" w:rsidRDefault="00AF279A" w:rsidP="00AF279A">
      <w:pPr>
        <w:pStyle w:val="Heading1"/>
        <w:numPr>
          <w:ilvl w:val="0"/>
          <w:numId w:val="1"/>
        </w:numPr>
        <w:tabs>
          <w:tab w:val="num" w:pos="360"/>
        </w:tabs>
        <w:ind w:left="0" w:firstLine="0"/>
        <w:rPr>
          <w:color w:val="auto"/>
        </w:rPr>
      </w:pPr>
      <w:r w:rsidRPr="005D7AB3">
        <w:rPr>
          <w:color w:val="auto"/>
        </w:rPr>
        <w:lastRenderedPageBreak/>
        <w:t>Introduction</w:t>
      </w:r>
    </w:p>
    <w:p w14:paraId="38C0D198" w14:textId="4E7F3FC5" w:rsidR="00AC057E" w:rsidRDefault="00AF279A" w:rsidP="00AF279A">
      <w:pPr>
        <w:jc w:val="both"/>
      </w:pPr>
      <w:r>
        <w:t>L</w:t>
      </w:r>
      <w:r w:rsidRPr="00AF279A">
        <w:t>e projet</w:t>
      </w:r>
      <w:r>
        <w:t xml:space="preserve"> présenté dans ce rapport</w:t>
      </w:r>
      <w:r w:rsidRPr="00AF279A">
        <w:t xml:space="preserve"> vise à concevoir un </w:t>
      </w:r>
      <w:r>
        <w:t xml:space="preserve">modèle d’apprentissage </w:t>
      </w:r>
      <w:r w:rsidRPr="00AF279A">
        <w:t>capable de traiter des données séquentielles à l’aide de réseaux de neurones récurrents. À partir de séquences temporelles de coordonnées issues de mouvements de la main, l’objectif est de développer une architecture permettant de convertir ces signaux en suites de symboles représentant des lettres</w:t>
      </w:r>
      <w:r>
        <w:t>, soit une tache de traduction</w:t>
      </w:r>
      <w:r w:rsidRPr="00AF279A">
        <w:t>. Le travail consiste principalement à concevoir, entraîner et évaluer différents modèles récurrents, tout en respectant des contraintes de performance et de complexité du modèle.</w:t>
      </w:r>
    </w:p>
    <w:p w14:paraId="4F95BA9D" w14:textId="77777777" w:rsidR="00AF279A" w:rsidRDefault="00AF279A" w:rsidP="00AF279A">
      <w:pPr>
        <w:jc w:val="both"/>
      </w:pPr>
    </w:p>
    <w:p w14:paraId="672286B7" w14:textId="237902BF" w:rsidR="00AF279A" w:rsidRPr="005D7AB3" w:rsidRDefault="00AF279A" w:rsidP="00AF279A">
      <w:pPr>
        <w:pStyle w:val="Heading1"/>
        <w:numPr>
          <w:ilvl w:val="0"/>
          <w:numId w:val="1"/>
        </w:numPr>
        <w:tabs>
          <w:tab w:val="num" w:pos="360"/>
        </w:tabs>
        <w:ind w:left="0" w:firstLine="0"/>
        <w:rPr>
          <w:color w:val="auto"/>
        </w:rPr>
      </w:pPr>
      <w:r>
        <w:rPr>
          <w:color w:val="auto"/>
        </w:rPr>
        <w:t>Développement</w:t>
      </w:r>
    </w:p>
    <w:p w14:paraId="5F636911" w14:textId="3EFB1649" w:rsidR="00AF279A" w:rsidRDefault="00BA7411" w:rsidP="00BA7411">
      <w:pPr>
        <w:pStyle w:val="Heading2"/>
        <w:rPr>
          <w:color w:val="auto"/>
        </w:rPr>
      </w:pPr>
      <w:r w:rsidRPr="00BA7411">
        <w:rPr>
          <w:color w:val="auto"/>
        </w:rPr>
        <w:t xml:space="preserve">2.1. </w:t>
      </w:r>
      <w:r w:rsidR="00AF279A" w:rsidRPr="00BA7411">
        <w:rPr>
          <w:color w:val="auto"/>
        </w:rPr>
        <w:t>D</w:t>
      </w:r>
      <w:r w:rsidR="00AF279A" w:rsidRPr="00BA7411">
        <w:rPr>
          <w:color w:val="auto"/>
        </w:rPr>
        <w:t>escription de la tâche</w:t>
      </w:r>
    </w:p>
    <w:p w14:paraId="71FCAA59" w14:textId="77777777" w:rsidR="00C500DC" w:rsidRPr="00C500DC" w:rsidRDefault="00C500DC" w:rsidP="00C500DC"/>
    <w:p w14:paraId="5F3356C8" w14:textId="77777777" w:rsidR="000D2CE7" w:rsidRPr="000D2CE7" w:rsidRDefault="000D2CE7" w:rsidP="000D2CE7">
      <w:pPr>
        <w:pStyle w:val="NormalWeb"/>
        <w:jc w:val="both"/>
        <w:rPr>
          <w:rFonts w:ascii="Calibri" w:hAnsi="Calibri" w:cs="Calibri"/>
        </w:rPr>
      </w:pPr>
      <w:r w:rsidRPr="000D2CE7">
        <w:rPr>
          <w:rFonts w:ascii="Calibri" w:hAnsi="Calibri" w:cs="Calibri"/>
        </w:rPr>
        <w:t>Le projet consiste à concevoir un modèle capable d’apprendre à partir de signaux temporels et de les convertir en symboles. Une tâche de traduction de séquences vise à établir une correspondance entre une séquence d’entrée complète et une séquence cible de longueur différente.</w:t>
      </w:r>
    </w:p>
    <w:p w14:paraId="4F950F98" w14:textId="08AB5027" w:rsidR="000D2CE7" w:rsidRPr="000D2CE7" w:rsidRDefault="000D2CE7" w:rsidP="000D2CE7">
      <w:pPr>
        <w:pStyle w:val="NormalWeb"/>
        <w:jc w:val="both"/>
        <w:rPr>
          <w:rFonts w:ascii="Calibri" w:hAnsi="Calibri" w:cs="Calibri"/>
        </w:rPr>
      </w:pPr>
      <w:r>
        <w:rPr>
          <w:rFonts w:ascii="Calibri" w:hAnsi="Calibri" w:cs="Calibri"/>
        </w:rPr>
        <w:t>L</w:t>
      </w:r>
      <w:r w:rsidRPr="000D2CE7">
        <w:rPr>
          <w:rFonts w:ascii="Calibri" w:hAnsi="Calibri" w:cs="Calibri"/>
        </w:rPr>
        <w:t xml:space="preserve">’objectif </w:t>
      </w:r>
      <w:r>
        <w:rPr>
          <w:rFonts w:ascii="Calibri" w:hAnsi="Calibri" w:cs="Calibri"/>
        </w:rPr>
        <w:t xml:space="preserve">cette tâche </w:t>
      </w:r>
      <w:r w:rsidRPr="000D2CE7">
        <w:rPr>
          <w:rFonts w:ascii="Calibri" w:hAnsi="Calibri" w:cs="Calibri"/>
        </w:rPr>
        <w:t>est de transformer une séquence temporelle de coordonnées représentant un tracé manuscrit en une suite de symboles correspondant aux lettres écrites. Le modèle devra également pouvoir être déployé sur un micro-ordinateur aux ressources limitées, ce qui impose une contrainte de taille maximale de 10 000 paramètres.</w:t>
      </w:r>
    </w:p>
    <w:p w14:paraId="22F85EFA" w14:textId="77777777" w:rsidR="00C500DC" w:rsidRDefault="00C500DC" w:rsidP="00C500DC">
      <w:pPr>
        <w:pStyle w:val="NormalWeb"/>
        <w:jc w:val="both"/>
        <w:rPr>
          <w:rFonts w:ascii="Calibri" w:hAnsi="Calibri" w:cs="Calibri"/>
        </w:rPr>
      </w:pPr>
    </w:p>
    <w:p w14:paraId="4ED0B60E" w14:textId="0F1ADF0A" w:rsidR="00C500DC" w:rsidRPr="00C500DC" w:rsidRDefault="00C500DC" w:rsidP="00C500DC">
      <w:pPr>
        <w:pStyle w:val="Heading2"/>
        <w:rPr>
          <w:rFonts w:eastAsia="Times New Roman"/>
          <w:color w:val="auto"/>
        </w:rPr>
      </w:pPr>
      <w:r>
        <w:rPr>
          <w:rFonts w:eastAsia="Times New Roman"/>
          <w:color w:val="auto"/>
        </w:rPr>
        <w:t xml:space="preserve">2.2. </w:t>
      </w:r>
      <w:r w:rsidRPr="00C500DC">
        <w:rPr>
          <w:rFonts w:eastAsia="Times New Roman"/>
          <w:color w:val="auto"/>
        </w:rPr>
        <w:t xml:space="preserve">Justification de l’architecture </w:t>
      </w:r>
    </w:p>
    <w:p w14:paraId="3AEB9CE4" w14:textId="77777777" w:rsidR="000D2CE7" w:rsidRDefault="000D2CE7" w:rsidP="006005B3">
      <w:pPr>
        <w:pStyle w:val="NormalWeb"/>
        <w:jc w:val="both"/>
        <w:rPr>
          <w:rFonts w:ascii="Calibri" w:hAnsi="Calibri" w:cs="Calibri"/>
        </w:rPr>
      </w:pPr>
      <w:r w:rsidRPr="000D2CE7">
        <w:rPr>
          <w:rFonts w:ascii="Calibri" w:hAnsi="Calibri" w:cs="Calibri"/>
        </w:rPr>
        <w:t>L’architecture retenue repose sur un réseau de neurones récurrent de type GRU, choisi pour sa simplicité et le nombre réduit de paramètres par rapport aux LSTM. Une architecture encodeur-décodeur permet de convertir efficacement une séquence d’entrée de longueur variable en une séquence de sortie de taille différente.</w:t>
      </w:r>
    </w:p>
    <w:p w14:paraId="721EF428" w14:textId="378E1EFF" w:rsidR="000D2CE7" w:rsidRDefault="000D2CE7" w:rsidP="006005B3">
      <w:pPr>
        <w:pStyle w:val="NormalWeb"/>
        <w:jc w:val="both"/>
        <w:rPr>
          <w:rFonts w:ascii="Calibri" w:hAnsi="Calibri" w:cs="Calibri"/>
        </w:rPr>
      </w:pPr>
      <w:r w:rsidRPr="000D2CE7">
        <w:rPr>
          <w:rFonts w:ascii="Calibri" w:hAnsi="Calibri" w:cs="Calibri"/>
        </w:rPr>
        <w:t>Le modèle utilise une seule couche récurrente avec une dimension cachée de 2</w:t>
      </w:r>
      <w:r>
        <w:rPr>
          <w:rFonts w:ascii="Calibri" w:hAnsi="Calibri" w:cs="Calibri"/>
        </w:rPr>
        <w:t>5</w:t>
      </w:r>
      <w:r w:rsidRPr="000D2CE7">
        <w:rPr>
          <w:rFonts w:ascii="Calibri" w:hAnsi="Calibri" w:cs="Calibri"/>
        </w:rPr>
        <w:t xml:space="preserve"> neurones et une architecture unidirectionnelle, ce qui limite la complexité tout en conservant une capacité de représentation suffisante. Les tests sur un réseau bidirectionnel n’ont pas montré de gain de performance significatif par rapport à l’architecture unidirectionnelle, tout en doublant le nombre de paramètres et le coût </w:t>
      </w:r>
      <w:r>
        <w:rPr>
          <w:rFonts w:ascii="Calibri" w:hAnsi="Calibri" w:cs="Calibri"/>
        </w:rPr>
        <w:t>en calcul</w:t>
      </w:r>
      <w:r w:rsidRPr="000D2CE7">
        <w:rPr>
          <w:rFonts w:ascii="Calibri" w:hAnsi="Calibri" w:cs="Calibri"/>
        </w:rPr>
        <w:t>.</w:t>
      </w:r>
    </w:p>
    <w:p w14:paraId="08E091AA" w14:textId="187787B9" w:rsidR="007A1292" w:rsidRDefault="007A1292" w:rsidP="006005B3">
      <w:pPr>
        <w:pStyle w:val="NormalWeb"/>
        <w:jc w:val="both"/>
        <w:rPr>
          <w:rFonts w:ascii="Calibri" w:hAnsi="Calibri" w:cs="Calibri"/>
        </w:rPr>
      </w:pPr>
      <w:r w:rsidRPr="007A1292">
        <w:rPr>
          <w:rFonts w:ascii="Calibri" w:hAnsi="Calibri" w:cs="Calibri"/>
        </w:rPr>
        <w:lastRenderedPageBreak/>
        <w:t xml:space="preserve">Un mécanisme d’attention a été intégré afin de permettre au décodeur de se concentrer sur les portions les plus pertinentes du signal d’entrée. Dans le </w:t>
      </w:r>
      <w:r>
        <w:rPr>
          <w:rFonts w:ascii="Calibri" w:hAnsi="Calibri" w:cs="Calibri"/>
        </w:rPr>
        <w:t>contexte</w:t>
      </w:r>
      <w:r w:rsidRPr="007A1292">
        <w:rPr>
          <w:rFonts w:ascii="Calibri" w:hAnsi="Calibri" w:cs="Calibri"/>
        </w:rPr>
        <w:t xml:space="preserve"> de la reconnaissance </w:t>
      </w:r>
      <w:r>
        <w:rPr>
          <w:rFonts w:ascii="Calibri" w:hAnsi="Calibri" w:cs="Calibri"/>
        </w:rPr>
        <w:t>d’écriture à la main</w:t>
      </w:r>
      <w:r w:rsidRPr="007A1292">
        <w:rPr>
          <w:rFonts w:ascii="Calibri" w:hAnsi="Calibri" w:cs="Calibri"/>
        </w:rPr>
        <w:t xml:space="preserve">, certaines parties du tracé sont plus </w:t>
      </w:r>
      <w:r>
        <w:rPr>
          <w:rFonts w:ascii="Calibri" w:hAnsi="Calibri" w:cs="Calibri"/>
        </w:rPr>
        <w:t>importantes</w:t>
      </w:r>
      <w:r w:rsidRPr="007A1292">
        <w:rPr>
          <w:rFonts w:ascii="Calibri" w:hAnsi="Calibri" w:cs="Calibri"/>
        </w:rPr>
        <w:t xml:space="preserve"> que d’autres pour identifier correctement une lettre. L’attention améliore ainsi la précision des prédictions tout en ajoutant une complexité modérée au modèle.</w:t>
      </w:r>
    </w:p>
    <w:p w14:paraId="34A4C289" w14:textId="77777777" w:rsidR="007A1292" w:rsidRPr="007A1292" w:rsidRDefault="007A1292" w:rsidP="007A1292">
      <w:pPr>
        <w:pStyle w:val="NormalWeb"/>
        <w:jc w:val="both"/>
        <w:rPr>
          <w:rFonts w:ascii="Calibri" w:hAnsi="Calibri" w:cs="Calibri"/>
        </w:rPr>
      </w:pPr>
      <w:r w:rsidRPr="007A1292">
        <w:rPr>
          <w:rFonts w:ascii="Calibri" w:hAnsi="Calibri" w:cs="Calibri"/>
        </w:rPr>
        <w:t xml:space="preserve">Pour stabiliser l’apprentissage, un </w:t>
      </w:r>
      <w:proofErr w:type="spellStart"/>
      <w:r w:rsidRPr="007A1292">
        <w:rPr>
          <w:rFonts w:ascii="Calibri" w:hAnsi="Calibri" w:cs="Calibri"/>
          <w:i/>
          <w:iCs/>
        </w:rPr>
        <w:t>teacher</w:t>
      </w:r>
      <w:proofErr w:type="spellEnd"/>
      <w:r w:rsidRPr="007A1292">
        <w:rPr>
          <w:rFonts w:ascii="Calibri" w:hAnsi="Calibri" w:cs="Calibri"/>
          <w:i/>
          <w:iCs/>
        </w:rPr>
        <w:t xml:space="preserve"> forcing</w:t>
      </w:r>
      <w:r w:rsidRPr="007A1292">
        <w:rPr>
          <w:rFonts w:ascii="Calibri" w:hAnsi="Calibri" w:cs="Calibri"/>
        </w:rPr>
        <w:t xml:space="preserve"> variable est utilisé : la proportion d’utilisation des sorties cibles comme entrées du décodeur diminue linéairement au fil des époques, facilitant la transition entre apprentissage guidé et génération autonome. La fonction de coût est l’entropie croisée, adaptée aux problèmes de classification </w:t>
      </w:r>
      <w:proofErr w:type="spellStart"/>
      <w:r w:rsidRPr="007A1292">
        <w:rPr>
          <w:rFonts w:ascii="Calibri" w:hAnsi="Calibri" w:cs="Calibri"/>
        </w:rPr>
        <w:t>multiclasse</w:t>
      </w:r>
      <w:proofErr w:type="spellEnd"/>
      <w:r w:rsidRPr="007A1292">
        <w:rPr>
          <w:rFonts w:ascii="Calibri" w:hAnsi="Calibri" w:cs="Calibri"/>
        </w:rPr>
        <w:t xml:space="preserve">, et l’optimisation est réalisée avec Adam et une régularisation </w:t>
      </w:r>
      <w:proofErr w:type="spellStart"/>
      <w:r w:rsidRPr="007A1292">
        <w:rPr>
          <w:rFonts w:ascii="Calibri" w:hAnsi="Calibri" w:cs="Calibri"/>
          <w:i/>
          <w:iCs/>
        </w:rPr>
        <w:t>weight</w:t>
      </w:r>
      <w:proofErr w:type="spellEnd"/>
      <w:r w:rsidRPr="007A1292">
        <w:rPr>
          <w:rFonts w:ascii="Calibri" w:hAnsi="Calibri" w:cs="Calibri"/>
          <w:i/>
          <w:iCs/>
        </w:rPr>
        <w:t xml:space="preserve"> </w:t>
      </w:r>
      <w:proofErr w:type="spellStart"/>
      <w:r w:rsidRPr="007A1292">
        <w:rPr>
          <w:rFonts w:ascii="Calibri" w:hAnsi="Calibri" w:cs="Calibri"/>
          <w:i/>
          <w:iCs/>
        </w:rPr>
        <w:t>decay</w:t>
      </w:r>
      <w:proofErr w:type="spellEnd"/>
      <w:r w:rsidRPr="007A1292">
        <w:rPr>
          <w:rFonts w:ascii="Calibri" w:hAnsi="Calibri" w:cs="Calibri"/>
        </w:rPr>
        <w:t xml:space="preserve"> de 10⁻⁴.</w:t>
      </w:r>
    </w:p>
    <w:p w14:paraId="761F1214" w14:textId="5726C72F" w:rsidR="007A1292" w:rsidRDefault="007A1292" w:rsidP="00C500DC">
      <w:pPr>
        <w:pStyle w:val="NormalWeb"/>
        <w:jc w:val="both"/>
        <w:rPr>
          <w:rFonts w:ascii="Calibri" w:hAnsi="Calibri" w:cs="Calibri"/>
        </w:rPr>
      </w:pPr>
      <w:r w:rsidRPr="007A1292">
        <w:rPr>
          <w:rFonts w:ascii="Calibri" w:hAnsi="Calibri" w:cs="Calibri"/>
        </w:rPr>
        <w:t>Cette architecture constitue un compromis entre performance, simplicité et respect des contraintes</w:t>
      </w:r>
      <w:r>
        <w:rPr>
          <w:rFonts w:ascii="Calibri" w:hAnsi="Calibri" w:cs="Calibri"/>
        </w:rPr>
        <w:t xml:space="preserve"> de paramètres</w:t>
      </w:r>
      <w:r w:rsidRPr="007A1292">
        <w:rPr>
          <w:rFonts w:ascii="Calibri" w:hAnsi="Calibri" w:cs="Calibri"/>
        </w:rPr>
        <w:t>.</w:t>
      </w:r>
    </w:p>
    <w:p w14:paraId="15DFF40A" w14:textId="77777777" w:rsidR="007A1292" w:rsidRPr="007A1292" w:rsidRDefault="007A1292" w:rsidP="007A1292">
      <w:pPr>
        <w:pStyle w:val="NormalWeb"/>
        <w:jc w:val="both"/>
        <w:rPr>
          <w:rFonts w:ascii="Calibri" w:hAnsi="Calibri" w:cs="Calibri"/>
        </w:rPr>
      </w:pPr>
      <w:r w:rsidRPr="007A1292">
        <w:rPr>
          <w:rFonts w:ascii="Calibri" w:hAnsi="Calibri" w:cs="Calibri"/>
        </w:rPr>
        <w:t>Avant l’entraînement, les coordonnées des trajectoires sont normalisées pour chaque dimension en soustrayant la moyenne et en divisant par l’écart-type. Cette étape permet de standardiser les données et de faciliter l’apprentissage.</w:t>
      </w:r>
    </w:p>
    <w:p w14:paraId="4BA1E8A4" w14:textId="46C4A84B" w:rsidR="007A1292" w:rsidRPr="007A1292" w:rsidRDefault="007A1292" w:rsidP="007A1292">
      <w:pPr>
        <w:pStyle w:val="NormalWeb"/>
        <w:jc w:val="both"/>
        <w:rPr>
          <w:rFonts w:ascii="Calibri" w:hAnsi="Calibri" w:cs="Calibri"/>
        </w:rPr>
      </w:pPr>
      <w:r w:rsidRPr="007A1292">
        <w:rPr>
          <w:rFonts w:ascii="Calibri" w:hAnsi="Calibri" w:cs="Calibri"/>
        </w:rPr>
        <w:t xml:space="preserve">Les séquences d’entrée et de sortie sont ensuite complétées </w:t>
      </w:r>
      <w:r>
        <w:rPr>
          <w:rFonts w:ascii="Calibri" w:hAnsi="Calibri" w:cs="Calibri"/>
        </w:rPr>
        <w:t xml:space="preserve">avec du </w:t>
      </w:r>
      <w:proofErr w:type="spellStart"/>
      <w:r w:rsidRPr="007A1292">
        <w:rPr>
          <w:rFonts w:ascii="Calibri" w:hAnsi="Calibri" w:cs="Calibri"/>
          <w:i/>
          <w:iCs/>
        </w:rPr>
        <w:t>padding</w:t>
      </w:r>
      <w:proofErr w:type="spellEnd"/>
      <w:r w:rsidRPr="007A1292">
        <w:rPr>
          <w:rFonts w:ascii="Calibri" w:hAnsi="Calibri" w:cs="Calibri"/>
        </w:rPr>
        <w:t xml:space="preserve"> pour atteindre une longueur uniforme, ce qui permet de traiter les données en lots. Les symboles spéciaux </w:t>
      </w:r>
      <w:r>
        <w:rPr>
          <w:rFonts w:ascii="Calibri" w:hAnsi="Calibri" w:cs="Calibri"/>
        </w:rPr>
        <w:t>« </w:t>
      </w:r>
      <w:proofErr w:type="spellStart"/>
      <w:r>
        <w:rPr>
          <w:rFonts w:ascii="Calibri" w:hAnsi="Calibri" w:cs="Calibri"/>
        </w:rPr>
        <w:t>sos</w:t>
      </w:r>
      <w:proofErr w:type="spellEnd"/>
      <w:r>
        <w:rPr>
          <w:rFonts w:ascii="Calibri" w:hAnsi="Calibri" w:cs="Calibri"/>
        </w:rPr>
        <w:t> »</w:t>
      </w:r>
      <w:r w:rsidRPr="007A1292">
        <w:rPr>
          <w:rFonts w:ascii="Calibri" w:hAnsi="Calibri" w:cs="Calibri"/>
        </w:rPr>
        <w:t xml:space="preserve">, </w:t>
      </w:r>
      <w:r>
        <w:rPr>
          <w:rFonts w:ascii="Calibri" w:hAnsi="Calibri" w:cs="Calibri"/>
        </w:rPr>
        <w:t>« </w:t>
      </w:r>
      <w:proofErr w:type="spellStart"/>
      <w:r>
        <w:rPr>
          <w:rFonts w:ascii="Calibri" w:hAnsi="Calibri" w:cs="Calibri"/>
        </w:rPr>
        <w:t>eos</w:t>
      </w:r>
      <w:proofErr w:type="spellEnd"/>
      <w:r>
        <w:rPr>
          <w:rFonts w:ascii="Calibri" w:hAnsi="Calibri" w:cs="Calibri"/>
        </w:rPr>
        <w:t> »</w:t>
      </w:r>
      <w:r w:rsidRPr="007A1292">
        <w:rPr>
          <w:rFonts w:ascii="Calibri" w:hAnsi="Calibri" w:cs="Calibri"/>
        </w:rPr>
        <w:t xml:space="preserve"> et </w:t>
      </w:r>
      <w:r>
        <w:rPr>
          <w:rFonts w:ascii="Calibri" w:hAnsi="Calibri" w:cs="Calibri"/>
        </w:rPr>
        <w:t xml:space="preserve">« pad » </w:t>
      </w:r>
      <w:r w:rsidRPr="007A1292">
        <w:rPr>
          <w:rFonts w:ascii="Calibri" w:hAnsi="Calibri" w:cs="Calibri"/>
        </w:rPr>
        <w:t xml:space="preserve">sont ajoutés aux séquences cibles afin de marquer le début, la fin et les positions remplies par le </w:t>
      </w:r>
      <w:proofErr w:type="spellStart"/>
      <w:r w:rsidRPr="007A1292">
        <w:rPr>
          <w:rFonts w:ascii="Calibri" w:hAnsi="Calibri" w:cs="Calibri"/>
          <w:i/>
          <w:iCs/>
        </w:rPr>
        <w:t>padding</w:t>
      </w:r>
      <w:proofErr w:type="spellEnd"/>
      <w:r w:rsidRPr="007A1292">
        <w:rPr>
          <w:rFonts w:ascii="Calibri" w:hAnsi="Calibri" w:cs="Calibri"/>
        </w:rPr>
        <w:t>.</w:t>
      </w:r>
    </w:p>
    <w:p w14:paraId="65F7A29F" w14:textId="77777777" w:rsidR="00C500DC" w:rsidRPr="00C500DC" w:rsidRDefault="00C500DC" w:rsidP="00C500DC">
      <w:pPr>
        <w:pStyle w:val="NormalWeb"/>
        <w:jc w:val="both"/>
        <w:rPr>
          <w:rFonts w:ascii="Calibri" w:hAnsi="Calibri" w:cs="Calibri"/>
        </w:rPr>
      </w:pPr>
    </w:p>
    <w:p w14:paraId="75C79441" w14:textId="1E4864B1" w:rsidR="00AF279A" w:rsidRDefault="00BA7411" w:rsidP="00BA7411">
      <w:pPr>
        <w:pStyle w:val="Heading2"/>
        <w:rPr>
          <w:color w:val="auto"/>
        </w:rPr>
      </w:pPr>
      <w:r w:rsidRPr="00BA7411">
        <w:rPr>
          <w:color w:val="auto"/>
        </w:rPr>
        <w:t>2.</w:t>
      </w:r>
      <w:r w:rsidR="00C500DC">
        <w:rPr>
          <w:color w:val="auto"/>
        </w:rPr>
        <w:t>3</w:t>
      </w:r>
      <w:r w:rsidRPr="00BA7411">
        <w:rPr>
          <w:color w:val="auto"/>
        </w:rPr>
        <w:t xml:space="preserve">. </w:t>
      </w:r>
      <w:r w:rsidR="00AF279A" w:rsidRPr="00BA7411">
        <w:rPr>
          <w:color w:val="auto"/>
        </w:rPr>
        <w:t>Schéma-bloc des différentes couches du réseau</w:t>
      </w:r>
    </w:p>
    <w:p w14:paraId="4AFA1AAD" w14:textId="77777777" w:rsidR="009C03E6" w:rsidRPr="009C03E6" w:rsidRDefault="009C03E6" w:rsidP="009C03E6"/>
    <w:p w14:paraId="0BF0D05C" w14:textId="219045B0" w:rsidR="00AF279A" w:rsidRDefault="00BA7411" w:rsidP="00BA7411">
      <w:pPr>
        <w:pStyle w:val="Heading2"/>
        <w:rPr>
          <w:color w:val="auto"/>
        </w:rPr>
      </w:pPr>
      <w:r w:rsidRPr="00BA7411">
        <w:rPr>
          <w:color w:val="auto"/>
        </w:rPr>
        <w:t>2.</w:t>
      </w:r>
      <w:r w:rsidR="00C500DC">
        <w:rPr>
          <w:color w:val="auto"/>
        </w:rPr>
        <w:t>4</w:t>
      </w:r>
      <w:r w:rsidRPr="00BA7411">
        <w:rPr>
          <w:color w:val="auto"/>
        </w:rPr>
        <w:t xml:space="preserve">. </w:t>
      </w:r>
      <w:r>
        <w:rPr>
          <w:color w:val="auto"/>
        </w:rPr>
        <w:t>Nombre de paramètre et d</w:t>
      </w:r>
      <w:r w:rsidR="00AF279A" w:rsidRPr="00BA7411">
        <w:rPr>
          <w:color w:val="auto"/>
        </w:rPr>
        <w:t>escription des hyperparamètres</w:t>
      </w:r>
    </w:p>
    <w:p w14:paraId="7CF33705" w14:textId="5BBC298C" w:rsidR="007A1292" w:rsidRPr="007A1292" w:rsidRDefault="007A1292" w:rsidP="007A1292">
      <w:r w:rsidRPr="007A1292">
        <w:t xml:space="preserve">Le modèle a été entraîné pendant 100 époques avec un </w:t>
      </w:r>
      <w:r w:rsidRPr="007A1292">
        <w:rPr>
          <w:i/>
          <w:iCs/>
        </w:rPr>
        <w:t>batch size</w:t>
      </w:r>
      <w:r w:rsidRPr="007A1292">
        <w:t xml:space="preserve"> de 64 et un taux d’apprentissage de 0,004.</w:t>
      </w:r>
      <w:r>
        <w:t xml:space="preserve"> En utilisant un bas </w:t>
      </w:r>
      <w:proofErr w:type="spellStart"/>
      <w:r w:rsidRPr="007A1292">
        <w:rPr>
          <w:i/>
          <w:iCs/>
        </w:rPr>
        <w:t>learning_rate</w:t>
      </w:r>
      <w:proofErr w:type="spellEnd"/>
      <w:r>
        <w:t xml:space="preserve">, on stabilise l’apprentissage. C’est à cause de ce </w:t>
      </w:r>
      <w:proofErr w:type="spellStart"/>
      <w:r w:rsidRPr="007A1292">
        <w:rPr>
          <w:i/>
          <w:iCs/>
        </w:rPr>
        <w:t>learning</w:t>
      </w:r>
      <w:r>
        <w:t>_rate</w:t>
      </w:r>
      <w:proofErr w:type="spellEnd"/>
      <w:r>
        <w:t xml:space="preserve"> qu’on fait autant </w:t>
      </w:r>
      <w:r w:rsidRPr="007A1292">
        <w:rPr>
          <w:i/>
          <w:iCs/>
        </w:rPr>
        <w:t>d’</w:t>
      </w:r>
      <w:proofErr w:type="spellStart"/>
      <w:r w:rsidRPr="007A1292">
        <w:rPr>
          <w:i/>
          <w:iCs/>
        </w:rPr>
        <w:t>epoch</w:t>
      </w:r>
      <w:proofErr w:type="spellEnd"/>
      <w:r>
        <w:t>.</w:t>
      </w:r>
      <w:r w:rsidRPr="007A1292">
        <w:t xml:space="preserve"> </w:t>
      </w:r>
      <w:r>
        <w:t>Le modèle utilise aussi du</w:t>
      </w:r>
      <w:r w:rsidRPr="007A1292">
        <w:t xml:space="preserve"> </w:t>
      </w:r>
      <w:proofErr w:type="spellStart"/>
      <w:r w:rsidRPr="007A1292">
        <w:rPr>
          <w:i/>
          <w:iCs/>
        </w:rPr>
        <w:t>teacher</w:t>
      </w:r>
      <w:proofErr w:type="spellEnd"/>
      <w:r w:rsidRPr="007A1292">
        <w:rPr>
          <w:i/>
          <w:iCs/>
        </w:rPr>
        <w:t xml:space="preserve"> forcing</w:t>
      </w:r>
      <w:r w:rsidRPr="007A1292">
        <w:t xml:space="preserve"> </w:t>
      </w:r>
      <w:r>
        <w:t xml:space="preserve">qui </w:t>
      </w:r>
      <w:r w:rsidRPr="007A1292">
        <w:t xml:space="preserve">décroît linéairement de 1 à 0 au fil des époques, </w:t>
      </w:r>
      <w:r>
        <w:t xml:space="preserve">ainsi </w:t>
      </w:r>
      <w:r w:rsidRPr="007A1292">
        <w:t xml:space="preserve">qu’un </w:t>
      </w:r>
      <w:r w:rsidRPr="007A1292">
        <w:rPr>
          <w:i/>
          <w:iCs/>
        </w:rPr>
        <w:t>dropout</w:t>
      </w:r>
      <w:r w:rsidRPr="007A1292">
        <w:t xml:space="preserve"> de 0,3 et une régularisation </w:t>
      </w:r>
      <w:proofErr w:type="spellStart"/>
      <w:r w:rsidRPr="007A1292">
        <w:rPr>
          <w:i/>
          <w:iCs/>
        </w:rPr>
        <w:t>weight</w:t>
      </w:r>
      <w:proofErr w:type="spellEnd"/>
      <w:r w:rsidRPr="007A1292">
        <w:rPr>
          <w:i/>
          <w:iCs/>
        </w:rPr>
        <w:t xml:space="preserve"> </w:t>
      </w:r>
      <w:proofErr w:type="spellStart"/>
      <w:r w:rsidRPr="007A1292">
        <w:rPr>
          <w:i/>
          <w:iCs/>
        </w:rPr>
        <w:t>decay</w:t>
      </w:r>
      <w:proofErr w:type="spellEnd"/>
      <w:r w:rsidRPr="007A1292">
        <w:t xml:space="preserve"> de 10</w:t>
      </w:r>
      <w:r w:rsidRPr="007A1292">
        <w:rPr>
          <w:rFonts w:ascii="Cambria Math" w:hAnsi="Cambria Math" w:cs="Cambria Math"/>
        </w:rPr>
        <w:t>⁻</w:t>
      </w:r>
      <w:r w:rsidRPr="007A1292">
        <w:rPr>
          <w:rFonts w:ascii="Aptos" w:hAnsi="Aptos" w:cs="Aptos"/>
        </w:rPr>
        <w:t>⁴</w:t>
      </w:r>
      <w:r w:rsidRPr="007A1292">
        <w:t>.</w:t>
      </w:r>
      <w:r>
        <w:t xml:space="preserve"> Ces paramètres permettent une meilleure généralisation et réduise les chances de </w:t>
      </w:r>
      <w:proofErr w:type="spellStart"/>
      <w:r>
        <w:t>suraprentissage</w:t>
      </w:r>
      <w:proofErr w:type="spellEnd"/>
      <w:r>
        <w:t>.</w:t>
      </w:r>
    </w:p>
    <w:p w14:paraId="1992B69A" w14:textId="05270B7A" w:rsidR="007A1292" w:rsidRPr="007A1292" w:rsidRDefault="007A1292" w:rsidP="007A1292">
      <w:r w:rsidRPr="007A1292">
        <w:t>Le modèle comporte 9 479 paramètres entraînables, respectant ainsi la limite de 10 000 paramètres pour un déploiement sur un système embarqué. Ces paramètres incluent ceux des couches GRU, de l’</w:t>
      </w:r>
      <w:proofErr w:type="spellStart"/>
      <w:r w:rsidRPr="007A1292">
        <w:t>embedding</w:t>
      </w:r>
      <w:proofErr w:type="spellEnd"/>
      <w:r w:rsidRPr="007A1292">
        <w:t>, de la couche de sortie linéaire et du module d’attention</w:t>
      </w:r>
      <w:r>
        <w:t>.</w:t>
      </w:r>
    </w:p>
    <w:p w14:paraId="7516EA8F" w14:textId="77777777" w:rsidR="006005B3" w:rsidRPr="006005B3" w:rsidRDefault="006005B3" w:rsidP="006005B3"/>
    <w:p w14:paraId="7F9FA761" w14:textId="2117DCFD" w:rsidR="00AF279A" w:rsidRPr="00BA7411" w:rsidRDefault="00BA7411" w:rsidP="00BA7411">
      <w:pPr>
        <w:pStyle w:val="Heading2"/>
        <w:rPr>
          <w:color w:val="auto"/>
        </w:rPr>
      </w:pPr>
      <w:r w:rsidRPr="00BA7411">
        <w:rPr>
          <w:color w:val="auto"/>
        </w:rPr>
        <w:lastRenderedPageBreak/>
        <w:t>2.</w:t>
      </w:r>
      <w:r w:rsidR="00C500DC">
        <w:rPr>
          <w:color w:val="auto"/>
        </w:rPr>
        <w:t>5</w:t>
      </w:r>
      <w:r w:rsidRPr="00BA7411">
        <w:rPr>
          <w:color w:val="auto"/>
        </w:rPr>
        <w:t xml:space="preserve">. </w:t>
      </w:r>
      <w:r w:rsidR="00AF279A" w:rsidRPr="00BA7411">
        <w:rPr>
          <w:color w:val="auto"/>
        </w:rPr>
        <w:t>Validation</w:t>
      </w:r>
    </w:p>
    <w:p w14:paraId="2CE7A5A6" w14:textId="13897C6C" w:rsidR="00AF279A"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 xml:space="preserve">.1. </w:t>
      </w:r>
      <w:r w:rsidR="00AF279A" w:rsidRPr="00BA7411">
        <w:rPr>
          <w:color w:val="auto"/>
          <w:highlight w:val="yellow"/>
        </w:rPr>
        <w:t xml:space="preserve">Erreur en fonction des </w:t>
      </w:r>
      <w:proofErr w:type="spellStart"/>
      <w:r w:rsidR="00AF279A" w:rsidRPr="00BA7411">
        <w:rPr>
          <w:color w:val="auto"/>
          <w:highlight w:val="yellow"/>
        </w:rPr>
        <w:t>epochs</w:t>
      </w:r>
      <w:proofErr w:type="spellEnd"/>
    </w:p>
    <w:p w14:paraId="031911AA" w14:textId="13138D0C" w:rsidR="00AF279A"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w:t>
      </w:r>
      <w:r w:rsidRPr="00BA7411">
        <w:rPr>
          <w:color w:val="auto"/>
          <w:highlight w:val="yellow"/>
        </w:rPr>
        <w:t>2</w:t>
      </w:r>
      <w:r w:rsidRPr="00BA7411">
        <w:rPr>
          <w:color w:val="auto"/>
          <w:highlight w:val="yellow"/>
        </w:rPr>
        <w:t xml:space="preserve">. </w:t>
      </w:r>
      <w:r w:rsidR="00AF279A" w:rsidRPr="00BA7411">
        <w:rPr>
          <w:color w:val="auto"/>
          <w:highlight w:val="yellow"/>
        </w:rPr>
        <w:t xml:space="preserve">Distance d’édition moyenne en fonctions des </w:t>
      </w:r>
      <w:proofErr w:type="spellStart"/>
      <w:r w:rsidR="00AF279A" w:rsidRPr="00BA7411">
        <w:rPr>
          <w:color w:val="auto"/>
          <w:highlight w:val="yellow"/>
        </w:rPr>
        <w:t>epochs</w:t>
      </w:r>
      <w:proofErr w:type="spellEnd"/>
    </w:p>
    <w:p w14:paraId="15DA499B" w14:textId="347E273E" w:rsidR="00AF279A" w:rsidRPr="00BA7411" w:rsidRDefault="00BA7411" w:rsidP="00BA7411">
      <w:pPr>
        <w:pStyle w:val="Heading3"/>
        <w:rPr>
          <w:b/>
          <w:bCs/>
          <w:color w:val="auto"/>
        </w:rPr>
      </w:pPr>
      <w:r w:rsidRPr="00BA7411">
        <w:rPr>
          <w:color w:val="auto"/>
          <w:highlight w:val="yellow"/>
        </w:rPr>
        <w:t>2.</w:t>
      </w:r>
      <w:r w:rsidR="00C500DC">
        <w:rPr>
          <w:color w:val="auto"/>
          <w:highlight w:val="yellow"/>
        </w:rPr>
        <w:t>5</w:t>
      </w:r>
      <w:r w:rsidRPr="00BA7411">
        <w:rPr>
          <w:color w:val="auto"/>
          <w:highlight w:val="yellow"/>
        </w:rPr>
        <w:t>.</w:t>
      </w:r>
      <w:r w:rsidRPr="00BA7411">
        <w:rPr>
          <w:color w:val="auto"/>
          <w:highlight w:val="yellow"/>
        </w:rPr>
        <w:t>3</w:t>
      </w:r>
      <w:r w:rsidRPr="00BA7411">
        <w:rPr>
          <w:color w:val="auto"/>
          <w:highlight w:val="yellow"/>
        </w:rPr>
        <w:t xml:space="preserve">. </w:t>
      </w:r>
      <w:r w:rsidRPr="00BA7411">
        <w:rPr>
          <w:color w:val="auto"/>
          <w:highlight w:val="yellow"/>
        </w:rPr>
        <w:t>Représentation et interprétation de la matrice de confusion</w:t>
      </w:r>
    </w:p>
    <w:p w14:paraId="5283D259" w14:textId="29EEA728" w:rsidR="00BA7411"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w:t>
      </w:r>
      <w:r w:rsidRPr="00BA7411">
        <w:rPr>
          <w:color w:val="auto"/>
          <w:highlight w:val="yellow"/>
        </w:rPr>
        <w:t>4</w:t>
      </w:r>
      <w:r w:rsidRPr="00BA7411">
        <w:rPr>
          <w:color w:val="auto"/>
          <w:highlight w:val="yellow"/>
        </w:rPr>
        <w:t>. Une représentation de l’attention sur les coordonnées (facultatif)</w:t>
      </w:r>
    </w:p>
    <w:p w14:paraId="5E59B009" w14:textId="6E7FA0EE" w:rsidR="00BA7411"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w:t>
      </w:r>
      <w:r w:rsidRPr="00BA7411">
        <w:rPr>
          <w:color w:val="auto"/>
          <w:highlight w:val="yellow"/>
        </w:rPr>
        <w:t>5</w:t>
      </w:r>
      <w:r w:rsidRPr="00BA7411">
        <w:rPr>
          <w:color w:val="auto"/>
          <w:highlight w:val="yellow"/>
        </w:rPr>
        <w:t xml:space="preserve">. </w:t>
      </w:r>
      <w:r w:rsidRPr="00BA7411">
        <w:rPr>
          <w:color w:val="auto"/>
          <w:highlight w:val="yellow"/>
        </w:rPr>
        <w:t>Exemple de traduction avec le sous ensemble de test</w:t>
      </w:r>
    </w:p>
    <w:p w14:paraId="7B1B4ED2" w14:textId="5D4A59D7" w:rsidR="00BA7411" w:rsidRPr="005D7AB3" w:rsidRDefault="00BA7411" w:rsidP="00BA7411">
      <w:pPr>
        <w:pStyle w:val="Heading1"/>
        <w:numPr>
          <w:ilvl w:val="0"/>
          <w:numId w:val="1"/>
        </w:numPr>
        <w:tabs>
          <w:tab w:val="num" w:pos="360"/>
        </w:tabs>
        <w:ind w:left="0" w:firstLine="0"/>
        <w:rPr>
          <w:color w:val="auto"/>
        </w:rPr>
      </w:pPr>
      <w:r>
        <w:rPr>
          <w:color w:val="auto"/>
        </w:rPr>
        <w:t>Conclusion</w:t>
      </w:r>
    </w:p>
    <w:p w14:paraId="218237C9" w14:textId="6B8EEC26" w:rsidR="00BA7411" w:rsidRPr="00BA7411" w:rsidRDefault="00BA7411" w:rsidP="00BA7411">
      <w:r w:rsidRPr="00BA7411">
        <w:t>Retour sur les résultats</w:t>
      </w:r>
    </w:p>
    <w:p w14:paraId="4A1D751C" w14:textId="77777777" w:rsidR="00AF279A" w:rsidRDefault="00AF279A" w:rsidP="00AF279A">
      <w:pPr>
        <w:jc w:val="both"/>
      </w:pPr>
    </w:p>
    <w:sectPr w:rsidR="00AF279A">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6208BF"/>
    <w:multiLevelType w:val="multilevel"/>
    <w:tmpl w:val="934680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270434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35B"/>
    <w:rsid w:val="000D2CE7"/>
    <w:rsid w:val="002001C0"/>
    <w:rsid w:val="003340CF"/>
    <w:rsid w:val="0059135B"/>
    <w:rsid w:val="006005B3"/>
    <w:rsid w:val="007A1292"/>
    <w:rsid w:val="008A5DA7"/>
    <w:rsid w:val="009C03E6"/>
    <w:rsid w:val="00AC057E"/>
    <w:rsid w:val="00AD219F"/>
    <w:rsid w:val="00AF279A"/>
    <w:rsid w:val="00BA7411"/>
    <w:rsid w:val="00C500DC"/>
    <w:rsid w:val="00D6412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10C37"/>
  <w15:chartTrackingRefBased/>
  <w15:docId w15:val="{E3AEB3FE-3870-4C94-80FD-8634F50DB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1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1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1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1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1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1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35B"/>
    <w:rPr>
      <w:rFonts w:eastAsiaTheme="majorEastAsia" w:cstheme="majorBidi"/>
      <w:color w:val="272727" w:themeColor="text1" w:themeTint="D8"/>
    </w:rPr>
  </w:style>
  <w:style w:type="paragraph" w:styleId="Title">
    <w:name w:val="Title"/>
    <w:basedOn w:val="Normal"/>
    <w:next w:val="Normal"/>
    <w:link w:val="TitleChar"/>
    <w:uiPriority w:val="10"/>
    <w:qFormat/>
    <w:rsid w:val="00591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35B"/>
    <w:pPr>
      <w:spacing w:before="160"/>
      <w:jc w:val="center"/>
    </w:pPr>
    <w:rPr>
      <w:i/>
      <w:iCs/>
      <w:color w:val="404040" w:themeColor="text1" w:themeTint="BF"/>
    </w:rPr>
  </w:style>
  <w:style w:type="character" w:customStyle="1" w:styleId="QuoteChar">
    <w:name w:val="Quote Char"/>
    <w:basedOn w:val="DefaultParagraphFont"/>
    <w:link w:val="Quote"/>
    <w:uiPriority w:val="29"/>
    <w:rsid w:val="0059135B"/>
    <w:rPr>
      <w:i/>
      <w:iCs/>
      <w:color w:val="404040" w:themeColor="text1" w:themeTint="BF"/>
    </w:rPr>
  </w:style>
  <w:style w:type="paragraph" w:styleId="ListParagraph">
    <w:name w:val="List Paragraph"/>
    <w:basedOn w:val="Normal"/>
    <w:uiPriority w:val="34"/>
    <w:qFormat/>
    <w:rsid w:val="0059135B"/>
    <w:pPr>
      <w:ind w:left="720"/>
      <w:contextualSpacing/>
    </w:pPr>
  </w:style>
  <w:style w:type="character" w:styleId="IntenseEmphasis">
    <w:name w:val="Intense Emphasis"/>
    <w:basedOn w:val="DefaultParagraphFont"/>
    <w:uiPriority w:val="21"/>
    <w:qFormat/>
    <w:rsid w:val="0059135B"/>
    <w:rPr>
      <w:i/>
      <w:iCs/>
      <w:color w:val="0F4761" w:themeColor="accent1" w:themeShade="BF"/>
    </w:rPr>
  </w:style>
  <w:style w:type="paragraph" w:styleId="IntenseQuote">
    <w:name w:val="Intense Quote"/>
    <w:basedOn w:val="Normal"/>
    <w:next w:val="Normal"/>
    <w:link w:val="IntenseQuoteChar"/>
    <w:uiPriority w:val="30"/>
    <w:qFormat/>
    <w:rsid w:val="00591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35B"/>
    <w:rPr>
      <w:i/>
      <w:iCs/>
      <w:color w:val="0F4761" w:themeColor="accent1" w:themeShade="BF"/>
    </w:rPr>
  </w:style>
  <w:style w:type="character" w:styleId="IntenseReference">
    <w:name w:val="Intense Reference"/>
    <w:basedOn w:val="DefaultParagraphFont"/>
    <w:uiPriority w:val="32"/>
    <w:qFormat/>
    <w:rsid w:val="0059135B"/>
    <w:rPr>
      <w:b/>
      <w:bCs/>
      <w:smallCaps/>
      <w:color w:val="0F4761" w:themeColor="accent1" w:themeShade="BF"/>
      <w:spacing w:val="5"/>
    </w:rPr>
  </w:style>
  <w:style w:type="character" w:styleId="BookTitle">
    <w:name w:val="Book Title"/>
    <w:basedOn w:val="DefaultParagraphFont"/>
    <w:uiPriority w:val="33"/>
    <w:qFormat/>
    <w:rsid w:val="00AC057E"/>
    <w:rPr>
      <w:b/>
      <w:bCs/>
      <w:smallCaps/>
      <w:color w:val="auto"/>
      <w:sz w:val="72"/>
      <w:szCs w:val="72"/>
    </w:rPr>
  </w:style>
  <w:style w:type="paragraph" w:styleId="NormalWeb">
    <w:name w:val="Normal (Web)"/>
    <w:basedOn w:val="Normal"/>
    <w:uiPriority w:val="99"/>
    <w:semiHidden/>
    <w:unhideWhenUsed/>
    <w:rsid w:val="00C500DC"/>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528</TotalTime>
  <Pages>5</Pages>
  <Words>950</Words>
  <Characters>5191</Characters>
  <Application>Microsoft Office Word</Application>
  <DocSecurity>0</DocSecurity>
  <Lines>126</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Ducas</dc:creator>
  <cp:keywords/>
  <dc:description/>
  <cp:lastModifiedBy>Gabriel Ducas</cp:lastModifiedBy>
  <cp:revision>2</cp:revision>
  <dcterms:created xsi:type="dcterms:W3CDTF">2026-03-23T16:13:00Z</dcterms:created>
  <dcterms:modified xsi:type="dcterms:W3CDTF">2026-03-24T01:09:00Z</dcterms:modified>
</cp:coreProperties>
</file>