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jc w:val="center"/>
        <w:rPr/>
      </w:pPr>
      <w:r>
        <w:rPr>
          <w:b/>
          <w:bCs/>
          <w:color w:val="595959"/>
          <w:sz w:val="24"/>
          <w:szCs w:val="24"/>
        </w:rPr>
        <w:t>CG-N7 — Código Gênesis: O Legado de N-7</w:t>
      </w:r>
    </w:p>
    <w:p>
      <w:pPr>
        <w:pStyle w:val="Normal"/>
        <w:spacing w:before="400" w:after="200"/>
        <w:jc w:val="center"/>
        <w:rPr/>
      </w:pPr>
      <w:r>
        <w:rPr>
          <w:b/>
          <w:bCs/>
          <w:color w:val="1F3864"/>
          <w:sz w:val="44"/>
          <w:szCs w:val="44"/>
        </w:rPr>
        <w:t>PLANO DE GERENCIAMENTO DE CONFIGURAÇÃO</w:t>
      </w:r>
    </w:p>
    <w:p>
      <w:pPr>
        <w:pStyle w:val="Normal"/>
        <w:spacing w:before="0" w:after="800"/>
        <w:jc w:val="center"/>
        <w:rPr>
          <w:b/>
          <w:bCs/>
          <w:color w:val="auto"/>
          <w:sz w:val="28"/>
          <w:szCs w:val="28"/>
        </w:rPr>
      </w:pPr>
      <w:r>
        <w:rPr>
          <w:b/>
          <w:bCs/>
          <w:color w:val="auto"/>
          <w:sz w:val="28"/>
          <w:szCs w:val="28"/>
        </w:rPr>
        <w:t>Enfoque DevOps — Integração e Entrega Contínuas (CI/CD)</w:t>
      </w:r>
    </w:p>
    <w:p>
      <w:pPr>
        <w:pStyle w:val="Normal"/>
        <w:spacing w:before="0" w:after="1600"/>
        <w:jc w:val="center"/>
        <w:rPr/>
      </w:pPr>
      <w:r>
        <w:rPr>
          <w:color w:val="595959"/>
          <w:sz w:val="24"/>
          <w:szCs w:val="24"/>
        </w:rPr>
        <w:t>Versão 1.1</w:t>
      </w:r>
    </w:p>
    <w:tbl>
      <w:tblPr>
        <w:tblW w:w="9520" w:type="dxa"/>
        <w:jc w:val="left"/>
        <w:tblInd w:w="0" w:type="dxa"/>
        <w:tblLayout w:type="fixed"/>
        <w:tblCellMar>
          <w:top w:w="80" w:type="dxa"/>
          <w:left w:w="100" w:type="dxa"/>
          <w:bottom w:w="80" w:type="dxa"/>
          <w:right w:w="100" w:type="dxa"/>
        </w:tblCellMar>
      </w:tblPr>
      <w:tblGrid>
        <w:gridCol w:w="3199"/>
        <w:gridCol w:w="6320"/>
      </w:tblGrid>
      <w:tr>
        <w:trPr>
          <w:tblHeader w:val="true"/>
        </w:trPr>
        <w:tc>
          <w:tcPr>
            <w:tcW w:w="31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Campo</w:t>
            </w:r>
          </w:p>
        </w:tc>
        <w:tc>
          <w:tcPr>
            <w:tcW w:w="63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Projeto</w:t>
            </w:r>
          </w:p>
        </w:tc>
        <w:tc>
          <w:tcPr>
            <w:tcW w:w="63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CG-N7 — Código Gênesis: O Legado de N-7</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Gerente de Projeto</w:t>
            </w:r>
          </w:p>
        </w:tc>
        <w:tc>
          <w:tcPr>
            <w:tcW w:w="63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Izadora de Souza</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Gerente/Responsável de GCS-DevOps</w:t>
            </w:r>
          </w:p>
        </w:tc>
        <w:tc>
          <w:tcPr>
            <w:tcW w:w="63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Gabriel Nader Marini</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Fábrica de Software / Squad</w:t>
            </w:r>
          </w:p>
        </w:tc>
        <w:tc>
          <w:tcPr>
            <w:tcW w:w="63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IGJL Desenvolvimento</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Repositório principal</w:t>
            </w:r>
          </w:p>
        </w:tc>
        <w:tc>
          <w:tcPr>
            <w:tcW w:w="63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https://github.com/GabNader/codigo-genesis-n7</w:t>
            </w:r>
          </w:p>
        </w:tc>
      </w:tr>
    </w:tbl>
    <w:p>
      <w:pPr>
        <w:pStyle w:val="Normal"/>
        <w:spacing w:before="0" w:after="400"/>
        <w:rPr/>
      </w:pPr>
      <w:r>
        <w:rPr/>
      </w:r>
    </w:p>
    <w:p>
      <w:pPr>
        <w:pStyle w:val="Normal"/>
        <w:spacing w:before="0" w:after="120"/>
        <w:rPr/>
      </w:pPr>
      <w:r>
        <w:rPr>
          <w:b/>
          <w:bCs/>
          <w:color w:val="1F3864"/>
          <w:sz w:val="24"/>
          <w:szCs w:val="24"/>
        </w:rPr>
        <w:t>Histórico de Revisões</w:t>
      </w:r>
    </w:p>
    <w:tbl>
      <w:tblPr>
        <w:tblW w:w="9520" w:type="dxa"/>
        <w:jc w:val="left"/>
        <w:tblInd w:w="0" w:type="dxa"/>
        <w:tblLayout w:type="fixed"/>
        <w:tblCellMar>
          <w:top w:w="80" w:type="dxa"/>
          <w:left w:w="100" w:type="dxa"/>
          <w:bottom w:w="80" w:type="dxa"/>
          <w:right w:w="100" w:type="dxa"/>
        </w:tblCellMar>
      </w:tblPr>
      <w:tblGrid>
        <w:gridCol w:w="1600"/>
        <w:gridCol w:w="1199"/>
        <w:gridCol w:w="4600"/>
        <w:gridCol w:w="2120"/>
      </w:tblGrid>
      <w:tr>
        <w:trPr>
          <w:tblHeader w:val="true"/>
        </w:trPr>
        <w:tc>
          <w:tcPr>
            <w:tcW w:w="16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Data</w:t>
            </w:r>
          </w:p>
        </w:tc>
        <w:tc>
          <w:tcPr>
            <w:tcW w:w="11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Versão</w:t>
            </w:r>
          </w:p>
        </w:tc>
        <w:tc>
          <w:tcPr>
            <w:tcW w:w="46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c>
          <w:tcPr>
            <w:tcW w:w="21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Autor</w:t>
            </w:r>
          </w:p>
        </w:tc>
      </w:tr>
      <w:tr>
        <w:trPr/>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val="false"/>
                <w:bCs w:val="false"/>
                <w:color w:val="000000"/>
                <w:sz w:val="20"/>
                <w:szCs w:val="20"/>
              </w:rPr>
            </w:pPr>
            <w:r>
              <w:rPr>
                <w:b w:val="false"/>
                <w:bCs w:val="false"/>
                <w:color w:val="000000"/>
                <w:sz w:val="20"/>
                <w:szCs w:val="20"/>
              </w:rPr>
              <w:t>10/08/2026</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1.0</w:t>
            </w:r>
          </w:p>
        </w:tc>
        <w:tc>
          <w:tcPr>
            <w:tcW w:w="4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Elaboração do documento com enfoque em práticas DevOps (CI/CD).</w:t>
            </w:r>
          </w:p>
        </w:tc>
        <w:tc>
          <w:tcPr>
            <w:tcW w:w="2120" w:type="dxa"/>
            <w:tcBorders>
              <w:top w:val="single" w:sz="4" w:space="0" w:color="000000"/>
              <w:left w:val="single" w:sz="4" w:space="0" w:color="000000"/>
              <w:bottom w:val="single" w:sz="4" w:space="0" w:color="000000"/>
              <w:right w:val="single" w:sz="4" w:space="0" w:color="000000"/>
            </w:tcBorders>
            <w:vAlign w:val="center"/>
          </w:tcPr>
          <w:p>
            <w:pPr>
              <w:pStyle w:val="Normal"/>
              <w:suppressLineNumbers w:val="0"/>
              <w:bidi w:val="0"/>
              <w:spacing w:lineRule="auto" w:line="259" w:beforeAutospacing="0" w:before="0" w:afterAutospacing="0" w:after="0"/>
              <w:ind w:left="0" w:right="0"/>
              <w:jc w:val="left"/>
              <w:rPr/>
            </w:pPr>
            <w:r>
              <w:rPr>
                <w:b w:val="false"/>
                <w:bCs w:val="false"/>
                <w:color w:val="000000"/>
                <w:sz w:val="20"/>
                <w:szCs w:val="20"/>
              </w:rPr>
              <w:t>Luiz Camargo</w:t>
            </w:r>
          </w:p>
        </w:tc>
      </w:tr>
      <w:tr>
        <w:trPr>
          <w:trHeight w:val="300" w:hRule="atLeast"/>
        </w:trPr>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val="false"/>
                <w:bCs w:val="false"/>
                <w:color w:val="000000"/>
                <w:sz w:val="20"/>
                <w:szCs w:val="20"/>
              </w:rPr>
            </w:pPr>
            <w:r>
              <w:rPr>
                <w:b w:val="false"/>
                <w:bCs w:val="false"/>
                <w:color w:val="000000"/>
                <w:sz w:val="20"/>
                <w:szCs w:val="20"/>
              </w:rPr>
              <w:t>23/09/2026</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val="false"/>
                <w:bCs w:val="false"/>
                <w:color w:val="000000"/>
                <w:sz w:val="20"/>
                <w:szCs w:val="20"/>
              </w:rPr>
            </w:pPr>
            <w:r>
              <w:rPr>
                <w:b w:val="false"/>
                <w:bCs w:val="false"/>
                <w:color w:val="000000"/>
                <w:sz w:val="20"/>
                <w:szCs w:val="20"/>
              </w:rPr>
              <w:t>1.1</w:t>
            </w:r>
          </w:p>
        </w:tc>
        <w:tc>
          <w:tcPr>
            <w:tcW w:w="4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val="false"/>
                <w:bCs w:val="false"/>
                <w:color w:val="000000"/>
                <w:sz w:val="20"/>
                <w:szCs w:val="20"/>
              </w:rPr>
            </w:pPr>
            <w:r>
              <w:rPr>
                <w:b w:val="false"/>
                <w:bCs w:val="false"/>
                <w:color w:val="000000"/>
                <w:sz w:val="20"/>
                <w:szCs w:val="20"/>
              </w:rPr>
              <w:t>Adaptação do PGC para o projeto Código Gênesis: O Legado de N-7 (PAC Extensionista III).</w:t>
            </w:r>
          </w:p>
        </w:tc>
        <w:tc>
          <w:tcPr>
            <w:tcW w:w="21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9"/>
              <w:jc w:val="left"/>
              <w:rPr>
                <w:b w:val="false"/>
                <w:bCs w:val="false"/>
                <w:color w:val="000000"/>
                <w:sz w:val="20"/>
                <w:szCs w:val="20"/>
              </w:rPr>
            </w:pPr>
            <w:r>
              <w:rPr>
                <w:b w:val="false"/>
                <w:bCs w:val="false"/>
                <w:color w:val="000000"/>
                <w:sz w:val="20"/>
                <w:szCs w:val="20"/>
              </w:rPr>
              <w:t>Gabriel Nader Marini</w:t>
            </w:r>
          </w:p>
        </w:tc>
      </w:tr>
    </w:tbl>
    <w:p>
      <w:pPr>
        <w:pStyle w:val="Normal"/>
        <w:rPr/>
      </w:pPr>
      <w:r>
        <w:rPr/>
      </w:r>
      <w:r>
        <w:br w:type="page"/>
      </w:r>
    </w:p>
    <w:p>
      <w:pPr>
        <w:pStyle w:val="Heading1"/>
        <w:spacing w:before="0" w:after="120"/>
        <w:rPr/>
      </w:pPr>
      <w:r>
        <w:rPr>
          <w:b/>
          <w:bCs/>
          <w:color w:val="1F3864"/>
          <w:sz w:val="30"/>
          <w:szCs w:val="30"/>
        </w:rPr>
        <w:t>Sumário</w:t>
      </w:r>
    </w:p>
    <w:p>
      <w:pPr>
        <w:pStyle w:val="Normal"/>
        <w:spacing w:before="0" w:after="240"/>
        <w:rPr/>
      </w:pPr>
      <w:r>
        <w:rPr>
          <w:i/>
          <w:iCs/>
          <w:color w:val="7F7F7F"/>
          <w:sz w:val="18"/>
          <w:szCs w:val="18"/>
        </w:rPr>
        <w:t>(No Word, clique com o botão direito sobre esta área e escolha "Atualizar campo" — ou pressione Ctrl+A e F9 — para gerar o sumário automaticamente.)</w:t>
      </w:r>
    </w:p>
    <w:sdt>
      <w:sdtPr>
        <w:docPartObj>
          <w:docPartGallery w:val="Table of Contents"/>
          <w:docPartUnique w:val="true"/>
        </w:docPartObj>
      </w:sdtPr>
      <w:sdtContent>
        <w:p>
          <w:pPr>
            <w:pStyle w:val="Normal"/>
            <w:widowControl/>
            <w:bidi w:val="0"/>
            <w:spacing w:before="0" w:after="0"/>
            <w:jc w:val="left"/>
            <w:rPr>
              <w:lang w:val="pt-BR"/>
            </w:rPr>
          </w:pPr>
          <w:r>
            <w:fldChar w:fldCharType="begin"/>
          </w:r>
          <w:r>
            <w:rPr>
              <w:lang w:val="pt-BR"/>
            </w:rPr>
            <w:instrText xml:space="preserve"> TOC \o "1-3" \h</w:instrText>
          </w:r>
          <w:r>
            <w:rPr>
              <w:lang w:val="pt-BR"/>
            </w:rPr>
            <w:fldChar w:fldCharType="separate"/>
          </w:r>
          <w:sdt>
            <w:sdtPr>
              <w:placeholder>
                <w:docPart w:val="DefaultPlaceholder_1081868574"/>
              </w:placeholder>
              <w:alias w:val="Sumário"/>
              <w:id w:val="914738073"/>
              <w:text/>
            </w:sdtPr>
            <w:sdtContent>
              <w:r>
                <w:rPr>
                  <w:lang w:val="pt-BR"/>
                </w:rPr>
              </w:r>
              <w:r>
                <w:rPr>
                  <w:lang w:val="pt-BR"/>
                </w:rPr>
              </w:r>
            </w:sdtContent>
          </w:sdt>
          <w:r>
            <w:rPr>
              <w:lang w:val="pt-BR"/>
            </w:rPr>
            <w:fldChar w:fldCharType="end"/>
          </w:r>
        </w:p>
      </w:sdtContent>
    </w:sdt>
    <w:p>
      <w:pPr>
        <w:pStyle w:val="Normal"/>
        <w:widowControl/>
        <w:bidi w:val="0"/>
        <w:spacing w:before="0" w:after="0"/>
        <w:jc w:val="left"/>
        <w:rPr>
          <w:lang w:val="pt-BR"/>
        </w:rPr>
      </w:pPr>
      <w:r>
        <w:rPr>
          <w:lang w:val="pt-BR"/>
        </w:rPr>
      </w:r>
    </w:p>
    <w:p>
      <w:pPr>
        <w:pStyle w:val="Normal"/>
        <w:rPr/>
      </w:pPr>
      <w:r>
        <w:rPr/>
      </w:r>
      <w:r>
        <w:br w:type="page"/>
      </w:r>
    </w:p>
    <w:p>
      <w:pPr>
        <w:pStyle w:val="Heading1"/>
        <w:pBdr>
          <w:bottom w:val="single" w:sz="6" w:space="4" w:color="2E5395"/>
        </w:pBdr>
        <w:spacing w:before="0" w:after="240"/>
        <w:rPr>
          <w:b/>
          <w:bCs/>
          <w:color w:val="auto"/>
          <w:sz w:val="30"/>
          <w:szCs w:val="30"/>
        </w:rPr>
      </w:pPr>
      <w:r>
        <w:rPr>
          <w:b/>
          <w:bCs/>
          <w:color w:val="auto"/>
          <w:sz w:val="30"/>
          <w:szCs w:val="30"/>
        </w:rPr>
        <w:t>1. Introdução</w:t>
      </w:r>
    </w:p>
    <w:p>
      <w:pPr>
        <w:pStyle w:val="Normal"/>
        <w:spacing w:lineRule="auto" w:line="276" w:before="0" w:after="160"/>
        <w:rPr/>
      </w:pPr>
      <w:r>
        <w:rPr>
          <w:sz w:val="22"/>
          <w:szCs w:val="22"/>
        </w:rPr>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w:pPr>
        <w:pStyle w:val="Heading2"/>
        <w:spacing w:before="320" w:after="160"/>
        <w:rPr>
          <w:b/>
          <w:bCs/>
          <w:color w:val="auto"/>
          <w:sz w:val="25"/>
          <w:szCs w:val="25"/>
        </w:rPr>
      </w:pPr>
      <w:r>
        <w:rPr>
          <w:b/>
          <w:bCs/>
          <w:color w:val="auto"/>
          <w:sz w:val="25"/>
          <w:szCs w:val="25"/>
        </w:rPr>
        <w:t>1.1 Finalidade</w:t>
      </w:r>
    </w:p>
    <w:p>
      <w:pPr>
        <w:pStyle w:val="Normal"/>
        <w:spacing w:lineRule="auto" w:line="276" w:before="0" w:after="160"/>
        <w:rPr/>
      </w:pPr>
      <w:r>
        <w:rPr>
          <w:sz w:val="22"/>
          <w:szCs w:val="22"/>
        </w:rPr>
        <w:t>Estabelecer um padrão a ser seguido pela equipe/individuo, garantindo rastreabilidade, versionamento e controle de mudanças do produto, apoiado por pipelines automatizados de build, teste, integração e implantação.</w:t>
      </w:r>
    </w:p>
    <w:p>
      <w:pPr>
        <w:pStyle w:val="Heading2"/>
        <w:spacing w:before="320" w:after="160"/>
        <w:rPr>
          <w:b/>
          <w:bCs/>
          <w:color w:val="auto"/>
          <w:sz w:val="25"/>
          <w:szCs w:val="25"/>
        </w:rPr>
      </w:pPr>
      <w:r>
        <w:rPr>
          <w:b/>
          <w:bCs/>
          <w:color w:val="auto"/>
          <w:sz w:val="25"/>
          <w:szCs w:val="25"/>
        </w:rPr>
        <w:t>1.2 Escopo</w:t>
      </w:r>
    </w:p>
    <w:p>
      <w:pPr>
        <w:pStyle w:val="Normal"/>
        <w:spacing w:before="0" w:after="200"/>
        <w:rPr/>
      </w:pPr>
      <w:r>
        <w:rPr>
          <w:sz w:val="22"/>
          <w:szCs w:val="22"/>
        </w:rPr>
        <w:t>Este PGC é destinado aos quatro integrantes da equipe do projeto de extensão universitária PAC Extensionista III, responsáveis pelo desenvolvimento do jogo Código Gênesis: O Legado de N-7 — um jogo 2D tático de aprendizagem de matemática construído na Godot Engine (versão 4.6.1). O plano abrange o repositório de código-fonte do jogo (cenas, scripts GDScript e demais assets) e os processos de versionamento, build e distribuição do executável, ainda em fase inicial de estruturação.</w:t>
      </w:r>
    </w:p>
    <w:p>
      <w:pPr>
        <w:pStyle w:val="Heading2"/>
        <w:spacing w:before="320" w:after="160"/>
        <w:rPr>
          <w:b/>
          <w:bCs/>
          <w:color w:val="auto"/>
          <w:sz w:val="25"/>
          <w:szCs w:val="25"/>
        </w:rPr>
      </w:pPr>
      <w:r>
        <w:rPr>
          <w:b/>
          <w:bCs/>
          <w:color w:val="auto"/>
          <w:sz w:val="25"/>
          <w:szCs w:val="25"/>
        </w:rPr>
        <w:t>1.3 Definições, Acrônimos e Abreviações</w:t>
      </w:r>
    </w:p>
    <w:tbl>
      <w:tblPr>
        <w:tblW w:w="9520" w:type="dxa"/>
        <w:jc w:val="left"/>
        <w:tblInd w:w="0" w:type="dxa"/>
        <w:tblLayout w:type="fixed"/>
        <w:tblCellMar>
          <w:top w:w="80" w:type="dxa"/>
          <w:left w:w="100" w:type="dxa"/>
          <w:bottom w:w="80" w:type="dxa"/>
          <w:right w:w="100" w:type="dxa"/>
        </w:tblCellMar>
      </w:tblPr>
      <w:tblGrid>
        <w:gridCol w:w="1800"/>
        <w:gridCol w:w="7719"/>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Termo</w:t>
            </w:r>
          </w:p>
        </w:tc>
        <w:tc>
          <w:tcPr>
            <w:tcW w:w="771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Significado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GCS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Gestão de Configuração de Software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CI</w:t>
            </w:r>
          </w:p>
        </w:tc>
        <w:tc>
          <w:tcPr>
            <w:tcW w:w="77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Integração Contínua (Continuous Integration)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CD</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Entrega/Implantação Contínua (Continuous Delivery / Deployment)</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IaC</w:t>
            </w:r>
          </w:p>
        </w:tc>
        <w:tc>
          <w:tcPr>
            <w:tcW w:w="77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Infraestrutura como Código (Infrastructure as Code)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CCM</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Comitê de Controle de Mudanças</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Baseline</w:t>
            </w:r>
          </w:p>
        </w:tc>
        <w:tc>
          <w:tcPr>
            <w:tcW w:w="77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Conjunto de itens de configuração que atingiram um estado comprovado de estabilidade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Pipeline</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Sequência automatizada de etapas de build, teste, análise e implantação</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Trunk-based Development</w:t>
            </w:r>
          </w:p>
        </w:tc>
        <w:tc>
          <w:tcPr>
            <w:tcW w:w="77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Estratégia de branching em que os desenvolvedores integram na branch principal com alta frequência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SemVer</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lang w:val="en-US"/>
              </w:rPr>
              <w:t>Versionamento Semântico (MAJOR.MINOR.PATCH) - 1.0.0.</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DORA Metrics</w:t>
            </w:r>
          </w:p>
        </w:tc>
        <w:tc>
          <w:tcPr>
            <w:tcW w:w="77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Métricas de desempenho DevOps (Lead Time, Deployment Frequency, MTTR, Change Failure Rate)</w:t>
            </w:r>
          </w:p>
        </w:tc>
      </w:tr>
    </w:tbl>
    <w:p>
      <w:pPr>
        <w:pStyle w:val="Heading2"/>
        <w:spacing w:before="320" w:after="160"/>
        <w:rPr>
          <w:b/>
          <w:bCs/>
          <w:color w:val="auto"/>
          <w:sz w:val="25"/>
          <w:szCs w:val="25"/>
          <w:lang w:val="en-US"/>
        </w:rPr>
      </w:pPr>
      <w:r>
        <w:rPr>
          <w:b/>
          <w:bCs/>
          <w:color w:val="auto"/>
          <w:sz w:val="25"/>
          <w:szCs w:val="25"/>
          <w:lang w:val="en-US"/>
        </w:rPr>
        <w:t>1.4 Referências</w:t>
      </w:r>
    </w:p>
    <w:p>
      <w:pPr>
        <w:pStyle w:val="ListParagraph"/>
        <w:numPr>
          <w:ilvl w:val="0"/>
          <w:numId w:val="4"/>
        </w:numPr>
        <w:spacing w:before="0" w:after="80"/>
        <w:rPr/>
      </w:pPr>
      <w:r>
        <w:rPr>
          <w:sz w:val="22"/>
          <w:szCs w:val="22"/>
        </w:rPr>
        <w:t>Documento base: Processos de Desenvolvimento de Software e a Integração com GCS.</w:t>
      </w:r>
    </w:p>
    <w:p>
      <w:pPr>
        <w:pStyle w:val="ListParagraph"/>
        <w:numPr>
          <w:ilvl w:val="0"/>
          <w:numId w:val="1"/>
        </w:numPr>
        <w:spacing w:before="0" w:after="80"/>
        <w:rPr/>
      </w:pPr>
      <w:r>
        <w:rPr>
          <w:sz w:val="22"/>
          <w:szCs w:val="22"/>
        </w:rPr>
        <w:t>Template do Plano de Gerenciamento de Configuração (RUP 7.0, IBM) — adaptado.</w:t>
      </w:r>
    </w:p>
    <w:p>
      <w:pPr>
        <w:pStyle w:val="Normal"/>
        <w:spacing w:before="0" w:after="200"/>
        <w:rPr/>
      </w:pPr>
      <w:r>
        <w:rPr>
          <w:sz w:val="22"/>
          <w:szCs w:val="22"/>
        </w:rPr>
        <w:t>Plano de Trabalho do PAC Extensionista III; documentação oficial da Godot Engine (docs.godotengine.org); repositório Git do projeto (a ser criado no GitHub).</w:t>
      </w:r>
    </w:p>
    <w:p>
      <w:pPr>
        <w:pStyle w:val="Heading2"/>
        <w:spacing w:before="320" w:after="160"/>
        <w:rPr>
          <w:b/>
          <w:bCs/>
          <w:color w:val="auto"/>
          <w:sz w:val="25"/>
          <w:szCs w:val="25"/>
        </w:rPr>
      </w:pPr>
      <w:r>
        <w:rPr>
          <w:b/>
          <w:bCs/>
          <w:color w:val="auto"/>
          <w:sz w:val="25"/>
          <w:szCs w:val="25"/>
        </w:rPr>
        <w:t>1.5 Visão Geral</w:t>
      </w:r>
    </w:p>
    <w:p>
      <w:pPr>
        <w:pStyle w:val="Normal"/>
        <w:spacing w:lineRule="auto" w:line="276" w:before="0" w:after="160"/>
        <w:rPr/>
      </w:pPr>
      <w:r>
        <w:rPr>
          <w:sz w:val="22"/>
          <w:szCs w:val="22"/>
        </w:rPr>
        <w:t>Diferente de processos tradicionais em que a GCS é predominantemente manual e concentrada em marcos formais, neste plano a GCS é tratada como parte constante do pipeline de entrega: cada commit integrado, testado e implantado automaticamente gera evidências de rastreabilidade (logs de pipeline, tags de versão, artefatos publicados), reduzindo o esforço manual e o tempo entre a mudança e sua entrega em produção.</w:t>
      </w:r>
    </w:p>
    <w:p>
      <w:pPr>
        <w:pStyle w:val="Heading1"/>
        <w:pBdr>
          <w:bottom w:val="single" w:sz="6" w:space="4" w:color="2E5395"/>
        </w:pBdr>
        <w:spacing w:before="480" w:after="240"/>
        <w:rPr>
          <w:b/>
          <w:bCs/>
          <w:color w:val="auto"/>
          <w:sz w:val="30"/>
          <w:szCs w:val="30"/>
        </w:rPr>
      </w:pPr>
      <w:r>
        <w:rPr>
          <w:b/>
          <w:bCs/>
          <w:color w:val="auto"/>
          <w:sz w:val="30"/>
          <w:szCs w:val="30"/>
        </w:rPr>
        <w:t>2. Cultura DevOps e Papéis na Gerência de Configuração</w:t>
      </w:r>
    </w:p>
    <w:p>
      <w:pPr>
        <w:pStyle w:val="Normal"/>
        <w:spacing w:lineRule="auto" w:line="276" w:before="0" w:after="160"/>
        <w:rPr/>
      </w:pPr>
      <w:r>
        <w:rPr>
          <w:sz w:val="22"/>
          <w:szCs w:val="22"/>
        </w:rPr>
        <w:t xml:space="preserve">A GCS em um contexto </w:t>
      </w:r>
      <w:r>
        <w:rPr>
          <w:b/>
          <w:bCs/>
          <w:sz w:val="22"/>
          <w:szCs w:val="22"/>
        </w:rPr>
        <w:t>DevOps é responsabilidade compartilhada entre desenvolvimento e operações ("Você constrói, você executa" — you build it, you run it), apoiada por automação.</w:t>
      </w:r>
      <w:r>
        <w:rPr>
          <w:sz w:val="22"/>
          <w:szCs w:val="22"/>
        </w:rPr>
        <w:t xml:space="preserve"> Os papéis abaixo descrevem responsabilidades típicas, que podem ser exercidas por uma mesma pessoa em squads pequenas.</w:t>
      </w:r>
    </w:p>
    <w:tbl>
      <w:tblPr>
        <w:tblW w:w="9520" w:type="dxa"/>
        <w:jc w:val="left"/>
        <w:tblInd w:w="0" w:type="dxa"/>
        <w:tblLayout w:type="fixed"/>
        <w:tblCellMar>
          <w:top w:w="80" w:type="dxa"/>
          <w:left w:w="100" w:type="dxa"/>
          <w:bottom w:w="80" w:type="dxa"/>
          <w:right w:w="100" w:type="dxa"/>
        </w:tblCellMar>
      </w:tblPr>
      <w:tblGrid>
        <w:gridCol w:w="2399"/>
        <w:gridCol w:w="7120"/>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Papel</w:t>
            </w:r>
          </w:p>
        </w:tc>
        <w:tc>
          <w:tcPr>
            <w:tcW w:w="71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Responsabilidades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Gerente de Projeto / Product Owner</w:t>
            </w:r>
          </w:p>
        </w:tc>
        <w:tc>
          <w:tcPr>
            <w:tcW w:w="7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Prioriza o backlog, autoriza mudanças de maior impacto e acompanha indicadores de entrega (DORA Metrics).</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Engenheiro DevOps / Release Engineer</w:t>
            </w:r>
          </w:p>
        </w:tc>
        <w:tc>
          <w:tcPr>
            <w:tcW w:w="71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 xml:space="preserve">Projeta e mantém os pipelines de CI/CD, define a estratégia de </w:t>
            </w:r>
            <w:r>
              <w:rPr>
                <w:b w:val="false"/>
                <w:bCs w:val="false"/>
                <w:i/>
                <w:iCs/>
                <w:color w:val="000000"/>
                <w:sz w:val="20"/>
                <w:szCs w:val="20"/>
              </w:rPr>
              <w:t xml:space="preserve">branching </w:t>
            </w:r>
            <w:r>
              <w:rPr>
                <w:b w:val="false"/>
                <w:bCs w:val="false"/>
                <w:color w:val="000000"/>
                <w:sz w:val="20"/>
                <w:szCs w:val="20"/>
              </w:rPr>
              <w:t>e versionamento, administra o registro de artefatos/imagens e a IaC.</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Desenvolvedor(a)</w:t>
            </w:r>
          </w:p>
        </w:tc>
        <w:tc>
          <w:tcPr>
            <w:tcW w:w="7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Integra código com frequência na branch principal, escreve testes automatizados, revisa Pull Requests e é corresponsável pela qualidade do que é implantado.</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SRE / Operações</w:t>
            </w:r>
          </w:p>
          <w:p>
            <w:pPr>
              <w:pStyle w:val="Normal"/>
              <w:jc w:val="left"/>
              <w:rPr>
                <w:b w:val="false"/>
                <w:bCs w:val="false"/>
                <w:i/>
                <w:i/>
                <w:iCs/>
                <w:color w:val="000000"/>
                <w:sz w:val="18"/>
                <w:szCs w:val="18"/>
              </w:rPr>
            </w:pPr>
            <w:r>
              <w:rPr>
                <w:b w:val="false"/>
                <w:bCs w:val="false"/>
                <w:i/>
                <w:iCs/>
                <w:color w:val="000000"/>
                <w:sz w:val="18"/>
                <w:szCs w:val="18"/>
              </w:rPr>
              <w:t xml:space="preserve"> </w:t>
            </w:r>
            <w:r>
              <w:rPr>
                <w:b w:val="false"/>
                <w:bCs w:val="false"/>
                <w:i/>
                <w:iCs/>
                <w:color w:val="000000"/>
                <w:sz w:val="18"/>
                <w:szCs w:val="18"/>
              </w:rPr>
              <w:t>Site Reliability Engineering</w:t>
            </w:r>
          </w:p>
        </w:tc>
        <w:tc>
          <w:tcPr>
            <w:tcW w:w="71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 xml:space="preserve">Monitora ambientes de produção, define SLIs/SLOs, participa de postmortems e realiza rollback quando necessário. - </w:t>
            </w:r>
            <w:r>
              <w:rPr>
                <w:b w:val="false"/>
                <w:bCs w:val="false"/>
                <w:i/>
                <w:iCs/>
                <w:color w:val="000000"/>
                <w:sz w:val="16"/>
                <w:szCs w:val="16"/>
              </w:rPr>
              <w:t>Service Level Indicators (SLIs) and Service Level</w:t>
            </w:r>
            <w:r>
              <w:rPr>
                <w:b w:val="false"/>
                <w:bCs w:val="false"/>
                <w:i/>
                <w:iCs/>
                <w:color w:val="000000"/>
                <w:sz w:val="20"/>
                <w:szCs w:val="20"/>
              </w:rPr>
              <w:t xml:space="preserve"> </w:t>
            </w:r>
            <w:r>
              <w:rPr>
                <w:b w:val="false"/>
                <w:bCs w:val="false"/>
                <w:i/>
                <w:iCs/>
                <w:color w:val="000000"/>
                <w:sz w:val="16"/>
                <w:szCs w:val="16"/>
              </w:rPr>
              <w:t>Objectives (SLOs).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QA / Automação de Testes</w:t>
            </w:r>
          </w:p>
        </w:tc>
        <w:tc>
          <w:tcPr>
            <w:tcW w:w="7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Mantém a suíte de testes automatizados (unitários, integração, aceitação) executada nos pipelines de CI e CD.</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Segurança (DevSecOps)</w:t>
            </w:r>
          </w:p>
        </w:tc>
        <w:tc>
          <w:tcPr>
            <w:tcW w:w="71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Define políticas de análise estática (SAST), análise de dependências (SCA) e gestão de segredos integradas ao pipeline.</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Comitê de Controle de Mudanças (CCM)</w:t>
            </w:r>
          </w:p>
        </w:tc>
        <w:tc>
          <w:tcPr>
            <w:tcW w:w="7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Atua apenas em mudanças de alto risco/impacto (ex.: mudanças em produção fora do fluxo padrão); mudanças de rotina seguem o fluxo automatizado de PR + pipeline.</w:t>
            </w:r>
          </w:p>
        </w:tc>
      </w:tr>
    </w:tbl>
    <w:p>
      <w:pPr>
        <w:pStyle w:val="Heading1"/>
        <w:pBdr>
          <w:bottom w:val="single" w:sz="6" w:space="4" w:color="2E5395"/>
        </w:pBdr>
        <w:spacing w:before="480" w:after="240"/>
        <w:rPr>
          <w:b/>
          <w:bCs/>
          <w:color w:val="auto"/>
          <w:sz w:val="30"/>
          <w:szCs w:val="30"/>
        </w:rPr>
      </w:pPr>
      <w:r>
        <w:rPr>
          <w:b/>
          <w:bCs/>
          <w:color w:val="auto"/>
          <w:sz w:val="30"/>
          <w:szCs w:val="30"/>
        </w:rPr>
        <w:t>3. Ferramentas, Ambientes e Infraestrutura</w:t>
      </w:r>
    </w:p>
    <w:p>
      <w:pPr>
        <w:pStyle w:val="Heading2"/>
        <w:spacing w:before="320" w:after="160"/>
        <w:rPr>
          <w:b/>
          <w:bCs/>
          <w:color w:val="auto"/>
          <w:sz w:val="25"/>
          <w:szCs w:val="25"/>
        </w:rPr>
      </w:pPr>
      <w:r>
        <w:rPr>
          <w:b/>
          <w:bCs/>
          <w:color w:val="auto"/>
          <w:sz w:val="25"/>
          <w:szCs w:val="25"/>
        </w:rPr>
        <w:t>3.1 Ferramentas do Pipeline</w:t>
      </w:r>
    </w:p>
    <w:p>
      <w:pPr>
        <w:pStyle w:val="Normal"/>
        <w:spacing w:lineRule="auto" w:line="276" w:before="0" w:after="160"/>
        <w:rPr/>
      </w:pPr>
      <w:r>
        <w:rPr>
          <w:sz w:val="22"/>
          <w:szCs w:val="22"/>
        </w:rPr>
        <w:t>Ferramentas efetivamente adotadas (ou planejadas) pelo projeto — a tabela foi ajustada em relação ao template, removendo categorias não aplicáveis a um jogo distribuído localmente (containers, IaC, monitoramento de ambientes em nuvem etc.):</w:t>
      </w:r>
    </w:p>
    <w:tbl>
      <w:tblPr>
        <w:tblW w:w="9520" w:type="dxa"/>
        <w:jc w:val="left"/>
        <w:tblInd w:w="0" w:type="dxa"/>
        <w:tblLayout w:type="fixed"/>
        <w:tblCellMar>
          <w:top w:w="80" w:type="dxa"/>
          <w:left w:w="100" w:type="dxa"/>
          <w:bottom w:w="80" w:type="dxa"/>
          <w:right w:w="100" w:type="dxa"/>
        </w:tblCellMar>
      </w:tblPr>
      <w:tblGrid>
        <w:gridCol w:w="2399"/>
        <w:gridCol w:w="2400"/>
        <w:gridCol w:w="4721"/>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Categoria</w:t>
            </w:r>
          </w:p>
        </w:tc>
        <w:tc>
          <w:tcPr>
            <w:tcW w:w="24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Ferramenta(s) sugerida(s)</w:t>
            </w:r>
          </w:p>
        </w:tc>
        <w:tc>
          <w:tcPr>
            <w:tcW w:w="4721"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Finalidade</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Controle de versão</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Git + GitHub</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Versionamento do código-fonte (scripts GDScript) e dos assets do jogo (cenas, arte, áudio). Em uso.</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Orquestração de CI/CD</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GitHub Actions</w:t>
            </w:r>
          </w:p>
        </w:tc>
        <w:tc>
          <w:tcPr>
            <w:tcW w:w="47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Automação do build/export do projeto Godot a cada Pull Request. Planejado — ainda não implementado.</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Empacotamento</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Godot Engine (export templates)</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Geração do build/executável versionado do jogo para a plataforma alvo (ex.: Windows). Em uso manual pela equipe; automação via CI/CD é planejada.</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Rastreamento de tarefas</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GitHub Issues / Projects</w:t>
            </w:r>
          </w:p>
        </w:tc>
        <w:tc>
          <w:tcPr>
            <w:tcW w:w="47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Vinculação de commits/PRs a itens de trabalho. Planejado.</w:t>
            </w:r>
          </w:p>
        </w:tc>
      </w:tr>
    </w:tbl>
    <w:p>
      <w:pPr>
        <w:pStyle w:val="Heading2"/>
        <w:spacing w:before="320" w:after="160"/>
        <w:rPr>
          <w:b/>
          <w:bCs/>
          <w:color w:val="auto"/>
          <w:sz w:val="25"/>
          <w:szCs w:val="25"/>
        </w:rPr>
      </w:pPr>
      <w:r>
        <w:rPr>
          <w:b/>
          <w:bCs/>
          <w:color w:val="auto"/>
          <w:sz w:val="25"/>
          <w:szCs w:val="25"/>
        </w:rPr>
        <w:t>3.2 Ambientes e Infraestrutura</w:t>
      </w:r>
    </w:p>
    <w:p>
      <w:pPr>
        <w:pStyle w:val="Normal"/>
        <w:spacing w:lineRule="auto" w:line="276" w:before="0" w:after="160"/>
        <w:rPr/>
      </w:pPr>
      <w:r>
        <w:rPr>
          <w:sz w:val="22"/>
          <w:szCs w:val="22"/>
        </w:rPr>
        <w:t>Como o projeto não envolve infraestrutura em nuvem (ver observação abaixo), os "ambientes" listados a seguir representam estágios do fluxo de trabalho da equipe, não servidores provisionados.</w:t>
      </w:r>
    </w:p>
    <w:tbl>
      <w:tblPr>
        <w:tblW w:w="9520" w:type="dxa"/>
        <w:jc w:val="left"/>
        <w:tblInd w:w="0" w:type="dxa"/>
        <w:tblLayout w:type="fixed"/>
        <w:tblCellMar>
          <w:top w:w="80" w:type="dxa"/>
          <w:left w:w="100" w:type="dxa"/>
          <w:bottom w:w="80" w:type="dxa"/>
          <w:right w:w="100" w:type="dxa"/>
        </w:tblCellMar>
      </w:tblPr>
      <w:tblGrid>
        <w:gridCol w:w="2200"/>
        <w:gridCol w:w="4200"/>
        <w:gridCol w:w="312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Ambiente</w:t>
            </w:r>
          </w:p>
        </w:tc>
        <w:tc>
          <w:tcPr>
            <w:tcW w:w="4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Finalidade</w:t>
            </w:r>
          </w:p>
        </w:tc>
        <w:tc>
          <w:tcPr>
            <w:tcW w:w="31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Gatilho de promoção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Desenvolvimento</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Ambiente local de cada integrante da equipe (editor da Godot Engine), onde o código e os assets são criados e testados antes do commit.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Commit/push na branch de feature</w:t>
            </w:r>
          </w:p>
        </w:tc>
      </w:tr>
      <w:tr>
        <w:trPr/>
        <w:tc>
          <w:tcPr>
            <w:tcW w:w="2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Build de Teste (equipe)</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Build executável exportado pela Godot e compartilhado entre a equipe, para testar a jogabilidade e validar as mecânicas antes da entrega/apresentação.</w:t>
            </w:r>
          </w:p>
        </w:tc>
        <w:tc>
          <w:tcPr>
            <w:tcW w:w="31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Merge na branch principal</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Entrega/Apresentação</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Build final exportado, utilizado para a apresentação e verificação do PGC/repositório em laboratório, e disponibilizado para download pelos avaliadores.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Validação do build de teste pela equipe e aprovação da Gerente de Projeto</w:t>
            </w:r>
          </w:p>
        </w:tc>
      </w:tr>
    </w:tbl>
    <w:p>
      <w:pPr>
        <w:pStyle w:val="Normal"/>
        <w:spacing w:before="0" w:after="200"/>
        <w:rPr/>
      </w:pPr>
      <w:r>
        <w:rPr>
          <w:sz w:val="22"/>
          <w:szCs w:val="22"/>
        </w:rPr>
        <w:t>Não há, no momento, ambientes hospedados em nuvem: o jogo é executado localmente, a partir de um build exportado pelo próprio editor da Godot Engine, sem servidores, DNS ou banco de dados dedicados. Credenciais (ex.: token de acesso do GitHub) devem ser mantidas apenas localmente por cada integrante, nunca versionadas no repositório.</w:t>
      </w:r>
    </w:p>
    <w:p>
      <w:pPr>
        <w:pStyle w:val="Heading2"/>
        <w:spacing w:before="320" w:after="160"/>
        <w:rPr>
          <w:b/>
          <w:bCs/>
          <w:color w:val="auto"/>
          <w:sz w:val="25"/>
          <w:szCs w:val="25"/>
        </w:rPr>
      </w:pPr>
      <w:r>
        <w:rPr>
          <w:b/>
          <w:bCs/>
          <w:color w:val="auto"/>
          <w:sz w:val="25"/>
          <w:szCs w:val="25"/>
        </w:rPr>
        <w:t>3.3 Estratégia de Branching e Versionamento</w:t>
      </w:r>
    </w:p>
    <w:p>
      <w:pPr>
        <w:pStyle w:val="Normal"/>
        <w:spacing w:lineRule="auto" w:line="276" w:before="0" w:after="160"/>
        <w:rPr/>
      </w:pPr>
      <w:r>
        <w:rPr>
          <w:sz w:val="22"/>
          <w:szCs w:val="22"/>
        </w:rPr>
        <w:t>A equipe ainda não formalizou uma estratégia de branching. Propõe-se a adoção de uma estratégia simplificada de Trunk-Based Development (ou GitHub Flow), com branches de vida curta, para viabilizar integração contínua real assim que o repositório for criado:</w:t>
      </w:r>
    </w:p>
    <w:p>
      <w:pPr>
        <w:pStyle w:val="ListParagraph"/>
        <w:numPr>
          <w:ilvl w:val="0"/>
          <w:numId w:val="1"/>
        </w:numPr>
        <w:spacing w:before="0" w:after="80"/>
        <w:rPr/>
      </w:pPr>
      <w:r>
        <w:rPr>
          <w:sz w:val="22"/>
          <w:szCs w:val="22"/>
        </w:rPr>
        <w:t>main/trunk — sempre implantável (deployable); protegida por regras de PR obrigatório e pipeline verde.</w:t>
      </w:r>
    </w:p>
    <w:p>
      <w:pPr>
        <w:pStyle w:val="ListParagraph"/>
        <w:numPr>
          <w:ilvl w:val="0"/>
          <w:numId w:val="1"/>
        </w:numPr>
        <w:spacing w:before="0" w:after="80"/>
        <w:rPr/>
      </w:pPr>
      <w:r>
        <w:rPr>
          <w:sz w:val="22"/>
          <w:szCs w:val="22"/>
        </w:rPr>
        <w:t>feature/&lt;descrição-curta&gt; — branches de curta duração (idealmente &lt; 1-2 dias) para cada mudança.</w:t>
      </w:r>
    </w:p>
    <w:p>
      <w:pPr>
        <w:pStyle w:val="ListParagraph"/>
        <w:numPr>
          <w:ilvl w:val="0"/>
          <w:numId w:val="1"/>
        </w:numPr>
        <w:spacing w:before="0" w:after="80"/>
        <w:rPr/>
      </w:pPr>
      <w:r>
        <w:rPr>
          <w:sz w:val="22"/>
          <w:szCs w:val="22"/>
        </w:rPr>
        <w:t>release/x.y (opcional) — utilizada apenas se houver necessidade de estabilizar uma versão antes do deploy.</w:t>
      </w:r>
    </w:p>
    <w:p>
      <w:pPr>
        <w:pStyle w:val="ListParagraph"/>
        <w:numPr>
          <w:ilvl w:val="0"/>
          <w:numId w:val="1"/>
        </w:numPr>
        <w:spacing w:before="0" w:after="80"/>
        <w:rPr/>
      </w:pPr>
      <w:r>
        <w:rPr>
          <w:sz w:val="22"/>
          <w:szCs w:val="22"/>
        </w:rPr>
        <w:t>hotfix/&lt;descrição&gt; — correções emergenciais aplicadas diretamente sobre produção e retro-integradas ao trunk.</w:t>
      </w:r>
    </w:p>
    <w:p>
      <w:pPr>
        <w:pStyle w:val="Normal"/>
        <w:spacing w:lineRule="auto" w:line="276" w:before="0" w:after="160"/>
        <w:rPr/>
      </w:pPr>
      <w:r>
        <w:rPr>
          <w:sz w:val="22"/>
          <w:szCs w:val="22"/>
        </w:rPr>
        <w:t>Versionamento: adoção de Versionamento Semântico (MAJOR.MINOR.PATCH) e Conventional Commits (feat, fix, chore, docs, refactor…), permitindo geração automática de changelog e da próxima versão pelo pipeline.</w:t>
      </w:r>
    </w:p>
    <w:p>
      <w:pPr>
        <w:pStyle w:val="Heading1"/>
        <w:pBdr>
          <w:bottom w:val="single" w:sz="6" w:space="4" w:color="2E5395"/>
        </w:pBdr>
        <w:spacing w:before="480" w:after="240"/>
        <w:rPr>
          <w:b/>
          <w:bCs/>
          <w:color w:val="auto"/>
          <w:sz w:val="30"/>
          <w:szCs w:val="30"/>
        </w:rPr>
      </w:pPr>
      <w:r>
        <w:rPr>
          <w:b/>
          <w:bCs/>
          <w:color w:val="auto"/>
          <w:sz w:val="30"/>
          <w:szCs w:val="30"/>
        </w:rPr>
        <w:t>4. Identificação da Configuração</w:t>
      </w:r>
    </w:p>
    <w:p>
      <w:pPr>
        <w:pStyle w:val="Heading2"/>
        <w:spacing w:before="320" w:after="160"/>
        <w:rPr>
          <w:b/>
          <w:bCs/>
          <w:color w:val="auto"/>
          <w:sz w:val="25"/>
          <w:szCs w:val="25"/>
        </w:rPr>
      </w:pPr>
      <w:r>
        <w:rPr>
          <w:b/>
          <w:bCs/>
          <w:color w:val="auto"/>
          <w:sz w:val="25"/>
          <w:szCs w:val="25"/>
        </w:rPr>
        <w:t>4.1 Itens de Configuração</w:t>
      </w:r>
    </w:p>
    <w:p>
      <w:pPr>
        <w:pStyle w:val="Normal"/>
        <w:spacing w:lineRule="auto" w:line="276" w:before="0" w:after="160"/>
        <w:rPr/>
      </w:pPr>
      <w:r>
        <w:rPr>
          <w:sz w:val="22"/>
          <w:szCs w:val="22"/>
        </w:rPr>
        <w:t>Além do código-fonte, em um contexto DevOps os seguintes artefatos também são itens de configuração formais, versionados no mesmo repositório (ou repositórios compartilhados):</w:t>
      </w:r>
    </w:p>
    <w:p>
      <w:pPr>
        <w:pStyle w:val="ListParagraph"/>
        <w:numPr>
          <w:ilvl w:val="0"/>
          <w:numId w:val="1"/>
        </w:numPr>
        <w:spacing w:before="0" w:after="80"/>
        <w:rPr/>
      </w:pPr>
      <w:r>
        <w:rPr>
          <w:sz w:val="22"/>
          <w:szCs w:val="22"/>
        </w:rPr>
        <w:t>Código-fonte da aplicação e dos testes automatizados</w:t>
      </w:r>
    </w:p>
    <w:p>
      <w:pPr>
        <w:pStyle w:val="ListParagraph"/>
        <w:numPr>
          <w:ilvl w:val="0"/>
          <w:numId w:val="1"/>
        </w:numPr>
        <w:spacing w:before="0" w:after="80"/>
        <w:rPr/>
      </w:pPr>
      <w:r>
        <w:rPr>
          <w:sz w:val="22"/>
          <w:szCs w:val="22"/>
        </w:rPr>
        <w:t>Definições de pipeline como código (ex.: .github/workflows, Jenkinsfile, .gitlab-ci.yml)</w:t>
      </w:r>
    </w:p>
    <w:p>
      <w:pPr>
        <w:pStyle w:val="ListParagraph"/>
        <w:numPr>
          <w:ilvl w:val="0"/>
          <w:numId w:val="1"/>
        </w:numPr>
        <w:spacing w:before="0" w:after="80"/>
        <w:rPr/>
      </w:pPr>
      <w:r>
        <w:rPr>
          <w:sz w:val="22"/>
          <w:szCs w:val="22"/>
        </w:rPr>
        <w:t>Dockerfiles e manifests de containers (não aplicável a este projeto)</w:t>
      </w:r>
    </w:p>
    <w:p>
      <w:pPr>
        <w:pStyle w:val="ListParagraph"/>
        <w:numPr>
          <w:ilvl w:val="0"/>
          <w:numId w:val="1"/>
        </w:numPr>
        <w:spacing w:before="0" w:after="80"/>
        <w:rPr/>
      </w:pPr>
      <w:r>
        <w:rPr>
          <w:sz w:val="22"/>
          <w:szCs w:val="22"/>
        </w:rPr>
        <w:t>Scripts de Infraestrutura como Código (Terraform, Ansible, Helm charts, manifests Kubernetes) — não aplicável a este projeto</w:t>
      </w:r>
    </w:p>
    <w:p>
      <w:pPr>
        <w:pStyle w:val="ListParagraph"/>
        <w:numPr>
          <w:ilvl w:val="0"/>
          <w:numId w:val="1"/>
        </w:numPr>
        <w:spacing w:before="0" w:after="80"/>
        <w:rPr/>
      </w:pPr>
      <w:r>
        <w:rPr>
          <w:sz w:val="22"/>
          <w:szCs w:val="22"/>
          <w:lang w:val="pt-BR"/>
        </w:rPr>
        <w:t>Arquivos de configuração por ambiente (variáveis, feature flags) — exceto chaves secretas, que devem ficar ambientes seguros.</w:t>
      </w:r>
    </w:p>
    <w:p>
      <w:pPr>
        <w:pStyle w:val="ListParagraph"/>
        <w:numPr>
          <w:ilvl w:val="0"/>
          <w:numId w:val="1"/>
        </w:numPr>
        <w:spacing w:before="0" w:after="80"/>
        <w:rPr/>
      </w:pPr>
      <w:r>
        <w:rPr>
          <w:sz w:val="22"/>
          <w:szCs w:val="22"/>
          <w:lang w:val="en-US"/>
        </w:rPr>
        <w:t>Scripts de migração de banco de dados (N/A)</w:t>
      </w:r>
    </w:p>
    <w:p>
      <w:pPr>
        <w:pStyle w:val="ListParagraph"/>
        <w:numPr>
          <w:ilvl w:val="0"/>
          <w:numId w:val="1"/>
        </w:numPr>
        <w:spacing w:before="0" w:after="80"/>
        <w:rPr/>
      </w:pPr>
      <w:r>
        <w:rPr>
          <w:sz w:val="22"/>
          <w:szCs w:val="22"/>
        </w:rPr>
        <w:t>Documentação técnica (README, ADRs — Architecture Decision Records)</w:t>
      </w:r>
    </w:p>
    <w:p>
      <w:pPr>
        <w:pStyle w:val="ListParagraph"/>
        <w:numPr>
          <w:ilvl w:val="0"/>
          <w:numId w:val="1"/>
        </w:numPr>
        <w:spacing w:before="0" w:after="80"/>
        <w:rPr/>
      </w:pPr>
      <w:r>
        <w:rPr>
          <w:sz w:val="22"/>
          <w:szCs w:val="22"/>
        </w:rPr>
        <w:t>Assets do jogo — cenas (.tscn), arte, áudio e fontes — versionados junto ao código-fonte no mesmo repositório</w:t>
      </w:r>
    </w:p>
    <w:p>
      <w:pPr>
        <w:pStyle w:val="Heading2"/>
        <w:spacing w:before="320" w:after="160"/>
        <w:rPr>
          <w:b/>
          <w:bCs/>
          <w:color w:val="auto"/>
          <w:sz w:val="25"/>
          <w:szCs w:val="25"/>
        </w:rPr>
      </w:pPr>
      <w:r>
        <w:rPr>
          <w:b/>
          <w:bCs/>
          <w:color w:val="auto"/>
          <w:sz w:val="25"/>
          <w:szCs w:val="25"/>
        </w:rPr>
        <w:t>4.2 Convenção de Nomenclatura</w:t>
      </w:r>
    </w:p>
    <w:tbl>
      <w:tblPr>
        <w:tblW w:w="9520" w:type="dxa"/>
        <w:jc w:val="left"/>
        <w:tblInd w:w="0" w:type="dxa"/>
        <w:tblLayout w:type="fixed"/>
        <w:tblCellMar>
          <w:top w:w="80" w:type="dxa"/>
          <w:left w:w="100" w:type="dxa"/>
          <w:bottom w:w="80" w:type="dxa"/>
          <w:right w:w="100" w:type="dxa"/>
        </w:tblCellMar>
      </w:tblPr>
      <w:tblGrid>
        <w:gridCol w:w="2200"/>
        <w:gridCol w:w="3199"/>
        <w:gridCol w:w="4121"/>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left"/>
              <w:rPr/>
            </w:pPr>
            <w:r>
              <w:rPr>
                <w:b/>
                <w:bCs/>
                <w:color w:val="FFFFFF"/>
                <w:sz w:val="20"/>
                <w:szCs w:val="20"/>
              </w:rPr>
              <w:t>Item</w:t>
            </w:r>
          </w:p>
        </w:tc>
        <w:tc>
          <w:tcPr>
            <w:tcW w:w="3199"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left"/>
              <w:rPr/>
            </w:pPr>
            <w:r>
              <w:rPr>
                <w:b/>
                <w:bCs/>
                <w:color w:val="FFFFFF"/>
                <w:sz w:val="20"/>
                <w:szCs w:val="20"/>
              </w:rPr>
              <w:t>Convenção</w:t>
            </w:r>
          </w:p>
        </w:tc>
        <w:tc>
          <w:tcPr>
            <w:tcW w:w="4121"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left"/>
              <w:rPr/>
            </w:pPr>
            <w:r>
              <w:rPr>
                <w:b/>
                <w:bCs/>
                <w:color w:val="FFFFFF"/>
                <w:sz w:val="20"/>
                <w:szCs w:val="20"/>
              </w:rPr>
              <w:t>Exemplo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Branch de feature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feature/&lt;ticket&gt;-&lt;descrição-curta&gt;</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feature/SIQQ-123-login-oauth</w:t>
            </w:r>
          </w:p>
        </w:tc>
      </w:tr>
      <w:tr>
        <w:trPr/>
        <w:tc>
          <w:tcPr>
            <w:tcW w:w="2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Commit</w:t>
            </w:r>
          </w:p>
        </w:tc>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Conventional Commits: &lt;tipo&gt;(&lt;escopo&gt;): &lt;descrição&gt;</w:t>
            </w:r>
          </w:p>
        </w:tc>
        <w:tc>
          <w:tcPr>
            <w:tcW w:w="41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feat(auth): adiciona login via OAuth2</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Tag de release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Versionamento Semântico vX.Y.Z</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v2.3.0</w:t>
            </w:r>
          </w:p>
        </w:tc>
      </w:tr>
      <w:tr>
        <w:trPr/>
        <w:tc>
          <w:tcPr>
            <w:tcW w:w="2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Build do jogo (executável)</w:t>
            </w:r>
          </w:p>
        </w:tc>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CodigoGenesis-N7_&lt;plataforma&gt;_v&lt;versão&gt;</w:t>
            </w:r>
          </w:p>
        </w:tc>
        <w:tc>
          <w:tcPr>
            <w:tcW w:w="41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CodigoGenesis-N7_Windows_v0.3.0</w:t>
            </w:r>
          </w:p>
        </w:tc>
      </w:tr>
      <w:tr>
        <w:trPr>
          <w:trHeight w:val="300" w:hRule="atLeast"/>
        </w:trPr>
        <w:tc>
          <w:tcPr>
            <w:tcW w:w="2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w:t>
            </w:r>
          </w:p>
        </w:tc>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w:t>
            </w:r>
          </w:p>
        </w:tc>
        <w:tc>
          <w:tcPr>
            <w:tcW w:w="41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w:t>
            </w:r>
          </w:p>
        </w:tc>
      </w:tr>
    </w:tbl>
    <w:p>
      <w:pPr>
        <w:pStyle w:val="Heading2"/>
        <w:spacing w:before="320" w:after="160"/>
        <w:rPr>
          <w:b/>
          <w:bCs/>
          <w:color w:val="auto"/>
          <w:sz w:val="25"/>
          <w:szCs w:val="25"/>
        </w:rPr>
      </w:pPr>
      <w:r>
        <w:rPr>
          <w:b/>
          <w:bCs/>
          <w:color w:val="auto"/>
          <w:sz w:val="25"/>
          <w:szCs w:val="25"/>
        </w:rPr>
        <w:t>4.3 Estrutura do Repositório</w:t>
      </w:r>
    </w:p>
    <w:p>
      <w:pPr>
        <w:pStyle w:val="Normal"/>
        <w:spacing w:before="0" w:after="200"/>
        <w:rPr/>
      </w:pPr>
      <w:r>
        <w:rPr>
          <w:sz w:val="22"/>
          <w:szCs w:val="22"/>
        </w:rPr>
        <w:t>Estrutura planejada para o repositório: /scenes (cenas .tscn do jogo), /scripts (código GDScript), /assets (arte, áudio e fontes), /addons (plugins da Godot Asset Library, se houver), project.godot e export_presets.cfg na raiz, /docs (documentação do projeto) e, quando criado, /.github/workflows (definições de pipeline de CI).</w:t>
      </w:r>
    </w:p>
    <w:p>
      <w:pPr>
        <w:pStyle w:val="Heading1"/>
        <w:pBdr>
          <w:bottom w:val="single" w:sz="6" w:space="4" w:color="2E5395"/>
        </w:pBdr>
        <w:spacing w:before="480" w:after="240"/>
        <w:rPr>
          <w:b/>
          <w:bCs/>
          <w:color w:val="auto"/>
          <w:sz w:val="30"/>
          <w:szCs w:val="30"/>
        </w:rPr>
      </w:pPr>
      <w:r>
        <w:rPr>
          <w:b/>
          <w:bCs/>
          <w:color w:val="auto"/>
          <w:sz w:val="30"/>
          <w:szCs w:val="30"/>
        </w:rPr>
        <w:t>5. Integração Contínua (CI)</w:t>
      </w:r>
    </w:p>
    <w:p>
      <w:pPr>
        <w:pStyle w:val="Normal"/>
        <w:spacing w:lineRule="auto" w:line="276" w:before="0" w:after="160"/>
        <w:rPr/>
      </w:pPr>
      <w:r>
        <w:rPr>
          <w:sz w:val="22"/>
          <w:szCs w:val="22"/>
        </w:rPr>
        <w:t>Todo Pull Request para a branch principal deve disparar automaticamente um pipeline de CI. Nenhuma mudança é integrada sem que o pipeline seja concluído com sucesso.</w:t>
      </w:r>
    </w:p>
    <w:p>
      <w:pPr>
        <w:pStyle w:val="Heading2"/>
        <w:spacing w:before="320" w:after="160"/>
        <w:rPr>
          <w:b/>
          <w:bCs/>
          <w:color w:val="auto"/>
          <w:sz w:val="25"/>
          <w:szCs w:val="25"/>
        </w:rPr>
      </w:pPr>
      <w:r>
        <w:rPr>
          <w:b/>
          <w:bCs/>
          <w:color w:val="auto"/>
          <w:sz w:val="25"/>
          <w:szCs w:val="25"/>
        </w:rPr>
        <w:t>5.1 Etapas do Pipeline de CI</w:t>
      </w:r>
    </w:p>
    <w:p>
      <w:pPr>
        <w:pStyle w:val="ListParagraph"/>
        <w:numPr>
          <w:ilvl w:val="0"/>
          <w:numId w:val="5"/>
        </w:numPr>
        <w:spacing w:before="0" w:after="80"/>
        <w:rPr/>
      </w:pPr>
      <w:r>
        <w:rPr>
          <w:sz w:val="22"/>
          <w:szCs w:val="22"/>
        </w:rPr>
        <w:t>Checkout do código e restauração de dependências (com cache).</w:t>
      </w:r>
    </w:p>
    <w:p>
      <w:pPr>
        <w:pStyle w:val="ListParagraph"/>
        <w:numPr>
          <w:ilvl w:val="0"/>
          <w:numId w:val="2"/>
        </w:numPr>
        <w:spacing w:before="0" w:after="80"/>
        <w:rPr/>
      </w:pPr>
      <w:r>
        <w:rPr>
          <w:sz w:val="22"/>
          <w:szCs w:val="22"/>
        </w:rPr>
        <w:t>Build da aplicação.</w:t>
      </w:r>
    </w:p>
    <w:p>
      <w:pPr>
        <w:pStyle w:val="ListParagraph"/>
        <w:numPr>
          <w:ilvl w:val="0"/>
          <w:numId w:val="2"/>
        </w:numPr>
        <w:spacing w:before="0" w:after="80"/>
        <w:rPr/>
      </w:pPr>
      <w:r>
        <w:rPr>
          <w:sz w:val="22"/>
          <w:szCs w:val="22"/>
        </w:rPr>
        <w:t>Análise estática de código (lint) e verificação de padrões de codificação.</w:t>
      </w:r>
    </w:p>
    <w:p>
      <w:pPr>
        <w:pStyle w:val="ListParagraph"/>
        <w:numPr>
          <w:ilvl w:val="0"/>
          <w:numId w:val="2"/>
        </w:numPr>
        <w:spacing w:before="0" w:after="80"/>
        <w:rPr/>
      </w:pPr>
      <w:r>
        <w:rPr>
          <w:sz w:val="22"/>
          <w:szCs w:val="22"/>
        </w:rPr>
        <w:t>Testes unitários, com medição de cobertura mínima.</w:t>
      </w:r>
    </w:p>
    <w:p>
      <w:pPr>
        <w:pStyle w:val="ListParagraph"/>
        <w:numPr>
          <w:ilvl w:val="0"/>
          <w:numId w:val="2"/>
        </w:numPr>
        <w:spacing w:before="0" w:after="80"/>
        <w:rPr/>
      </w:pPr>
      <w:r>
        <w:rPr>
          <w:sz w:val="22"/>
          <w:szCs w:val="22"/>
        </w:rPr>
        <w:t>Testes de integração.</w:t>
      </w:r>
    </w:p>
    <w:p>
      <w:pPr>
        <w:pStyle w:val="ListParagraph"/>
        <w:numPr>
          <w:ilvl w:val="0"/>
          <w:numId w:val="2"/>
        </w:numPr>
        <w:spacing w:before="0" w:after="80"/>
        <w:rPr/>
      </w:pPr>
      <w:r>
        <w:rPr>
          <w:sz w:val="22"/>
          <w:szCs w:val="22"/>
        </w:rPr>
        <w:t>Análise de segurança do código (SAST) e de dependências (SCA).</w:t>
      </w:r>
    </w:p>
    <w:p>
      <w:pPr>
        <w:pStyle w:val="ListParagraph"/>
        <w:numPr>
          <w:ilvl w:val="0"/>
          <w:numId w:val="2"/>
        </w:numPr>
        <w:spacing w:before="0" w:after="80"/>
        <w:rPr/>
      </w:pPr>
      <w:r>
        <w:rPr>
          <w:sz w:val="22"/>
          <w:szCs w:val="22"/>
        </w:rPr>
        <w:t>Empacotamento e publicação do artefato/imagem versionado no registro.</w:t>
      </w:r>
    </w:p>
    <w:p>
      <w:pPr>
        <w:pStyle w:val="Heading2"/>
        <w:spacing w:before="320" w:after="160"/>
        <w:rPr>
          <w:b/>
          <w:bCs/>
          <w:color w:val="auto"/>
          <w:sz w:val="25"/>
          <w:szCs w:val="25"/>
        </w:rPr>
      </w:pPr>
      <w:r>
        <w:rPr>
          <w:b/>
          <w:bCs/>
          <w:color w:val="auto"/>
          <w:sz w:val="25"/>
          <w:szCs w:val="25"/>
        </w:rPr>
        <w:t>5.2 Política de Pull Request e Revisão de Código</w:t>
      </w:r>
    </w:p>
    <w:p>
      <w:pPr>
        <w:pStyle w:val="ListParagraph"/>
        <w:numPr>
          <w:ilvl w:val="0"/>
          <w:numId w:val="1"/>
        </w:numPr>
        <w:spacing w:before="0" w:after="80"/>
        <w:rPr/>
      </w:pPr>
      <w:r>
        <w:rPr>
          <w:sz w:val="22"/>
          <w:szCs w:val="22"/>
        </w:rPr>
        <w:t>Todo PR exige, no mínimo, 1 aprovação de outro desenvolvedor/colega antes do merge ("quatro olhos").</w:t>
      </w:r>
    </w:p>
    <w:p>
      <w:pPr>
        <w:pStyle w:val="ListParagraph"/>
        <w:numPr>
          <w:ilvl w:val="0"/>
          <w:numId w:val="1"/>
        </w:numPr>
        <w:spacing w:before="0" w:after="80"/>
        <w:rPr/>
      </w:pPr>
      <w:r>
        <w:rPr>
          <w:sz w:val="22"/>
          <w:szCs w:val="22"/>
        </w:rPr>
        <w:t>PRs devem ser pequenos e de vida curta, para reduzir conflitos e facilitar revisão.</w:t>
      </w:r>
    </w:p>
    <w:p>
      <w:pPr>
        <w:pStyle w:val="ListParagraph"/>
        <w:numPr>
          <w:ilvl w:val="0"/>
          <w:numId w:val="1"/>
        </w:numPr>
        <w:spacing w:before="0" w:after="80"/>
        <w:rPr/>
      </w:pPr>
      <w:r>
        <w:rPr>
          <w:sz w:val="22"/>
          <w:szCs w:val="22"/>
        </w:rPr>
        <w:t>Merge somente permitido com pipeline de CI verde (quality gate).</w:t>
      </w:r>
    </w:p>
    <w:p>
      <w:pPr>
        <w:pStyle w:val="Heading2"/>
        <w:spacing w:before="320" w:after="160"/>
        <w:rPr>
          <w:b/>
          <w:bCs/>
          <w:color w:val="auto"/>
          <w:sz w:val="25"/>
          <w:szCs w:val="25"/>
          <w:lang w:val="en-US"/>
        </w:rPr>
      </w:pPr>
      <w:r>
        <w:rPr>
          <w:b/>
          <w:bCs/>
          <w:color w:val="auto"/>
          <w:sz w:val="25"/>
          <w:szCs w:val="25"/>
          <w:lang w:val="en-US"/>
        </w:rPr>
        <w:t>5.3 Critérios de Qualidade (Quality Gate)</w:t>
      </w:r>
    </w:p>
    <w:p>
      <w:pPr>
        <w:pStyle w:val="Normal"/>
        <w:spacing w:before="0" w:after="200"/>
        <w:rPr/>
      </w:pPr>
      <w:r>
        <w:rPr>
          <w:sz w:val="22"/>
          <w:szCs w:val="22"/>
        </w:rPr>
        <w:t>Critérios adotados: o projeto abre sem erros nem warnings críticos no editor da Godot; o build de exportação é gerado com sucesso para a plataforma alvo; e o Pull Request recebe a aprovação de ao menos 1 outro integrante da equipe antes do merge. Testes automatizados ainda não fazem parte do fluxo, dado o estágio atual do projeto.</w:t>
      </w:r>
    </w:p>
    <w:p>
      <w:pPr>
        <w:pStyle w:val="Heading1"/>
        <w:pBdr>
          <w:bottom w:val="single" w:sz="6" w:space="4" w:color="2E5395"/>
        </w:pBdr>
        <w:spacing w:before="480" w:after="240"/>
        <w:rPr>
          <w:b/>
          <w:bCs/>
          <w:color w:val="auto"/>
          <w:sz w:val="30"/>
          <w:szCs w:val="30"/>
        </w:rPr>
      </w:pPr>
      <w:r>
        <w:rPr>
          <w:b/>
          <w:bCs/>
          <w:color w:val="auto"/>
          <w:sz w:val="30"/>
          <w:szCs w:val="30"/>
        </w:rPr>
        <w:t>6. Entrega e Implantação Contínua (CD)</w:t>
      </w:r>
    </w:p>
    <w:p>
      <w:pPr>
        <w:pStyle w:val="Normal"/>
        <w:spacing w:lineRule="auto" w:line="276" w:before="0" w:after="160"/>
        <w:rPr/>
      </w:pPr>
      <w:r>
        <w:rPr>
          <w:sz w:val="22"/>
          <w:szCs w:val="22"/>
        </w:rPr>
        <w:t>Após a publicação do artefato pelo pipeline de CI, o pipeline de CD é responsável por promover essa mesma versão, sem recompilação, através dos ambientes até a produção. Como o Código Gênesis não é implantado em servidor (é distribuído como executável local), os conceitos abaixo são adaptados: "ambientes" correspondem aos estágios definidos na seção 3.2 (Desenvolvimento → Build de Teste → Entrega/Apresentação) e "produção" corresponde ao build final entregue para avaliação.</w:t>
      </w:r>
    </w:p>
    <w:p>
      <w:pPr>
        <w:pStyle w:val="Heading2"/>
        <w:spacing w:before="320" w:after="160"/>
        <w:rPr>
          <w:b/>
          <w:bCs/>
          <w:color w:val="auto"/>
          <w:sz w:val="25"/>
          <w:szCs w:val="25"/>
        </w:rPr>
      </w:pPr>
      <w:r>
        <w:rPr>
          <w:b/>
          <w:bCs/>
          <w:color w:val="auto"/>
          <w:sz w:val="25"/>
          <w:szCs w:val="25"/>
        </w:rPr>
        <w:t>6.1 Etapas do Pipeline de CD</w:t>
      </w:r>
    </w:p>
    <w:p>
      <w:pPr>
        <w:pStyle w:val="ListParagraph"/>
        <w:numPr>
          <w:ilvl w:val="0"/>
          <w:numId w:val="2"/>
        </w:numPr>
        <w:spacing w:before="0" w:after="80"/>
        <w:rPr/>
      </w:pPr>
      <w:r>
        <w:rPr>
          <w:sz w:val="22"/>
          <w:szCs w:val="22"/>
        </w:rPr>
        <w:t>Deploy automático em ambiente de Homologação/Staging.</w:t>
      </w:r>
    </w:p>
    <w:p>
      <w:pPr>
        <w:pStyle w:val="ListParagraph"/>
        <w:numPr>
          <w:ilvl w:val="0"/>
          <w:numId w:val="2"/>
        </w:numPr>
        <w:spacing w:before="0" w:after="80"/>
        <w:rPr/>
      </w:pPr>
      <w:r>
        <w:rPr>
          <w:sz w:val="22"/>
          <w:szCs w:val="22"/>
          <w:lang w:val="en-US"/>
        </w:rPr>
        <w:t>Execução de testes automatizados de aceitação/E2E em staging.</w:t>
      </w:r>
    </w:p>
    <w:p>
      <w:pPr>
        <w:pStyle w:val="ListParagraph"/>
        <w:numPr>
          <w:ilvl w:val="0"/>
          <w:numId w:val="2"/>
        </w:numPr>
        <w:spacing w:before="0" w:after="80"/>
        <w:rPr/>
      </w:pPr>
      <w:r>
        <w:rPr>
          <w:sz w:val="22"/>
          <w:szCs w:val="22"/>
        </w:rPr>
        <w:t>Gate de aprovação para produção (automático ou aprovação manual, conforme criticidade).</w:t>
      </w:r>
    </w:p>
    <w:p>
      <w:pPr>
        <w:pStyle w:val="ListParagraph"/>
        <w:numPr>
          <w:ilvl w:val="0"/>
          <w:numId w:val="2"/>
        </w:numPr>
        <w:spacing w:before="0" w:after="80"/>
        <w:rPr/>
      </w:pPr>
      <w:r>
        <w:rPr>
          <w:sz w:val="22"/>
          <w:szCs w:val="22"/>
        </w:rPr>
        <w:t>Deploy em produção com estratégia definida (ver 6.2).</w:t>
      </w:r>
    </w:p>
    <w:p>
      <w:pPr>
        <w:pStyle w:val="ListParagraph"/>
        <w:numPr>
          <w:ilvl w:val="0"/>
          <w:numId w:val="2"/>
        </w:numPr>
        <w:spacing w:before="0" w:after="80"/>
        <w:rPr/>
      </w:pPr>
      <w:r>
        <w:rPr>
          <w:sz w:val="22"/>
          <w:szCs w:val="22"/>
        </w:rPr>
        <w:t>Testes de fumaça (smoke tests) pós-deploy e verificação de saúde (health checks).</w:t>
      </w:r>
    </w:p>
    <w:p>
      <w:pPr>
        <w:pStyle w:val="ListParagraph"/>
        <w:numPr>
          <w:ilvl w:val="0"/>
          <w:numId w:val="2"/>
        </w:numPr>
        <w:spacing w:before="0" w:after="80"/>
        <w:rPr/>
      </w:pPr>
      <w:r>
        <w:rPr>
          <w:sz w:val="22"/>
          <w:szCs w:val="22"/>
        </w:rPr>
        <w:t>Geração automática de baseline/tag de release e notas de versão (changelog).</w:t>
      </w:r>
    </w:p>
    <w:p>
      <w:pPr>
        <w:pStyle w:val="Heading2"/>
        <w:spacing w:before="320" w:after="160"/>
        <w:rPr>
          <w:b/>
          <w:bCs/>
          <w:color w:val="auto"/>
          <w:sz w:val="25"/>
          <w:szCs w:val="25"/>
        </w:rPr>
      </w:pPr>
      <w:r>
        <w:rPr>
          <w:b/>
          <w:bCs/>
          <w:color w:val="auto"/>
          <w:sz w:val="25"/>
          <w:szCs w:val="25"/>
        </w:rPr>
        <w:t>6.2 Estratégias de Implantação</w:t>
      </w:r>
    </w:p>
    <w:tbl>
      <w:tblPr>
        <w:tblW w:w="9520" w:type="dxa"/>
        <w:jc w:val="left"/>
        <w:tblInd w:w="0" w:type="dxa"/>
        <w:tblLayout w:type="fixed"/>
        <w:tblCellMar>
          <w:top w:w="80" w:type="dxa"/>
          <w:left w:w="100" w:type="dxa"/>
          <w:bottom w:w="80" w:type="dxa"/>
          <w:right w:w="100" w:type="dxa"/>
        </w:tblCellMar>
      </w:tblPr>
      <w:tblGrid>
        <w:gridCol w:w="2200"/>
        <w:gridCol w:w="731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Estratégia</w:t>
            </w:r>
          </w:p>
        </w:tc>
        <w:tc>
          <w:tcPr>
            <w:tcW w:w="731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Rolling update</w:t>
            </w:r>
          </w:p>
        </w:tc>
        <w:tc>
          <w:tcPr>
            <w:tcW w:w="73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Substituição gradual das instâncias antigas pelas novas, minimizando indisponibilidade.</w:t>
            </w:r>
          </w:p>
        </w:tc>
      </w:tr>
      <w:tr>
        <w:trPr/>
        <w:tc>
          <w:tcPr>
            <w:tcW w:w="2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Blue-Green</w:t>
            </w:r>
          </w:p>
        </w:tc>
        <w:tc>
          <w:tcPr>
            <w:tcW w:w="73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Duas versões (ambientes) coexistem; o tráfego é comutado de uma vez para a nova versão, permitindo rollback imediato.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Canary Release</w:t>
            </w:r>
          </w:p>
        </w:tc>
        <w:tc>
          <w:tcPr>
            <w:tcW w:w="73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A nova versão recebe uma pequena fração do tráfego real, sendo ampliada gradualmente conforme a confiança.</w:t>
            </w:r>
          </w:p>
        </w:tc>
      </w:tr>
      <w:tr>
        <w:trPr/>
        <w:tc>
          <w:tcPr>
            <w:tcW w:w="2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Feature Flags</w:t>
            </w:r>
          </w:p>
        </w:tc>
        <w:tc>
          <w:tcPr>
            <w:tcW w:w="73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Funcionalidades são implantadas desligadas e ativadas em produção de forma independente do deploy, reduzindo o risco de releases.</w:t>
            </w:r>
          </w:p>
        </w:tc>
      </w:tr>
    </w:tbl>
    <w:p>
      <w:pPr>
        <w:pStyle w:val="Heading2"/>
        <w:spacing w:before="320" w:after="160"/>
        <w:rPr>
          <w:b/>
          <w:bCs/>
          <w:color w:val="auto"/>
          <w:sz w:val="25"/>
          <w:szCs w:val="25"/>
        </w:rPr>
      </w:pPr>
      <w:r>
        <w:rPr>
          <w:b/>
          <w:bCs/>
          <w:color w:val="auto"/>
          <w:sz w:val="25"/>
          <w:szCs w:val="25"/>
        </w:rPr>
        <w:t>6.3 Rollback e Recuperação</w:t>
      </w:r>
    </w:p>
    <w:p>
      <w:pPr>
        <w:pStyle w:val="Normal"/>
        <w:spacing w:lineRule="auto" w:line="276" w:before="0" w:after="160"/>
        <w:rPr/>
      </w:pPr>
      <w:r>
        <w:rPr>
          <w:sz w:val="22"/>
          <w:szCs w:val="22"/>
        </w:rPr>
        <w:t>Toda implantação deve ser reversível. O pipeline de CD deve manter a versão anterior disponível (imagem no registro, IaC versionada) para permitir rollback automatizado em caso de falha nos testes de fumaça ou nos indicadores de saúde pós-deploy.</w:t>
      </w:r>
    </w:p>
    <w:p>
      <w:pPr>
        <w:pStyle w:val="Heading1"/>
        <w:pBdr>
          <w:bottom w:val="single" w:sz="6" w:space="4" w:color="2E5395"/>
        </w:pBdr>
        <w:spacing w:before="480" w:after="240"/>
        <w:rPr>
          <w:b/>
          <w:bCs/>
          <w:color w:val="auto"/>
          <w:sz w:val="30"/>
          <w:szCs w:val="30"/>
        </w:rPr>
      </w:pPr>
      <w:r>
        <w:rPr>
          <w:b/>
          <w:bCs/>
          <w:color w:val="auto"/>
          <w:sz w:val="30"/>
          <w:szCs w:val="30"/>
        </w:rPr>
        <w:t>7. Infraestrutura como Código (IaC)</w:t>
      </w:r>
    </w:p>
    <w:p>
      <w:pPr>
        <w:pStyle w:val="Normal"/>
        <w:spacing w:lineRule="auto" w:line="276" w:before="0" w:after="160"/>
        <w:rPr/>
      </w:pPr>
      <w:r>
        <w:rPr>
          <w:sz w:val="22"/>
          <w:szCs w:val="22"/>
        </w:rPr>
        <w:t>Este item não é aplicável ao Código Gênesis: o projeto não provisiona servidores, containers ou serviços de nuvem — o jogo roda localmente a partir de um executável exportado pela Godot Engine. Não há, portanto, infraestrutura a ser descrita como código. A seção é mantida no plano apenas por completude em relação ao template.</w:t>
      </w:r>
    </w:p>
    <w:p>
      <w:pPr>
        <w:pStyle w:val="Heading2"/>
        <w:spacing w:before="320" w:after="160"/>
        <w:rPr>
          <w:b/>
          <w:bCs/>
          <w:color w:val="auto"/>
          <w:sz w:val="25"/>
          <w:szCs w:val="25"/>
        </w:rPr>
      </w:pPr>
      <w:r>
        <w:rPr>
          <w:b/>
          <w:bCs/>
          <w:color w:val="auto"/>
          <w:sz w:val="25"/>
          <w:szCs w:val="25"/>
        </w:rPr>
        <w:t>7.1 Versionamento de Infraestrutura</w:t>
      </w:r>
    </w:p>
    <w:p>
      <w:pPr>
        <w:pStyle w:val="ListParagraph"/>
        <w:numPr>
          <w:ilvl w:val="0"/>
          <w:numId w:val="1"/>
        </w:numPr>
        <w:spacing w:before="0" w:after="80"/>
        <w:rPr/>
      </w:pPr>
      <w:r>
        <w:rPr>
          <w:sz w:val="22"/>
          <w:szCs w:val="22"/>
        </w:rPr>
        <w:t>Alterações de infraestrutura seguem o mesmo processo de PR + revisão + pipeline ("plan" automático em PR, "apply" após aprovação).</w:t>
      </w:r>
    </w:p>
    <w:p>
      <w:pPr>
        <w:pStyle w:val="ListParagraph"/>
        <w:numPr>
          <w:ilvl w:val="0"/>
          <w:numId w:val="1"/>
        </w:numPr>
        <w:spacing w:before="0" w:after="80"/>
        <w:rPr/>
      </w:pPr>
      <w:r>
        <w:rPr>
          <w:sz w:val="22"/>
          <w:szCs w:val="22"/>
        </w:rPr>
        <w:t>O estado da infraestrutura (state file) é armazenado de forma centralizada e versionada, nunca em máquinas locais.</w:t>
      </w:r>
    </w:p>
    <w:p>
      <w:pPr>
        <w:pStyle w:val="Heading2"/>
        <w:spacing w:before="320" w:after="160"/>
        <w:rPr>
          <w:b/>
          <w:bCs/>
          <w:color w:val="auto"/>
          <w:sz w:val="25"/>
          <w:szCs w:val="25"/>
        </w:rPr>
      </w:pPr>
      <w:r>
        <w:rPr>
          <w:b/>
          <w:bCs/>
          <w:color w:val="auto"/>
          <w:sz w:val="25"/>
          <w:szCs w:val="25"/>
        </w:rPr>
        <w:t>7.2 Ambientes Efêmeros</w:t>
      </w:r>
    </w:p>
    <w:p>
      <w:pPr>
        <w:pStyle w:val="Normal"/>
        <w:spacing w:lineRule="auto" w:line="276" w:before="0" w:after="160"/>
        <w:rPr/>
      </w:pPr>
      <w:r>
        <w:rPr>
          <w:sz w:val="22"/>
          <w:szCs w:val="22"/>
        </w:rPr>
        <w:t>Sempre que viável, ambientes de revisão (review apps) devem ser provisionados automaticamente por Pull Request, para validação isolada, e destruídos automaticamente após o merge ou fechamento do PR.</w:t>
      </w:r>
    </w:p>
    <w:p>
      <w:pPr>
        <w:pStyle w:val="Heading1"/>
        <w:pBdr>
          <w:bottom w:val="single" w:sz="6" w:space="4" w:color="2E5395"/>
        </w:pBdr>
        <w:spacing w:before="480" w:after="240"/>
        <w:rPr>
          <w:b/>
          <w:bCs/>
          <w:color w:val="auto"/>
          <w:sz w:val="30"/>
          <w:szCs w:val="30"/>
        </w:rPr>
      </w:pPr>
      <w:r>
        <w:rPr>
          <w:b/>
          <w:bCs/>
          <w:color w:val="auto"/>
          <w:sz w:val="30"/>
          <w:szCs w:val="30"/>
        </w:rPr>
        <w:t>8. Controle de Configuração e Mudança</w:t>
      </w:r>
    </w:p>
    <w:p>
      <w:pPr>
        <w:pStyle w:val="Heading2"/>
        <w:spacing w:before="320" w:after="160"/>
        <w:rPr>
          <w:b/>
          <w:bCs/>
          <w:color w:val="auto"/>
          <w:sz w:val="25"/>
          <w:szCs w:val="25"/>
        </w:rPr>
      </w:pPr>
      <w:r>
        <w:rPr>
          <w:b/>
          <w:bCs/>
          <w:color w:val="auto"/>
          <w:sz w:val="25"/>
          <w:szCs w:val="25"/>
        </w:rPr>
        <w:t>8.1 Processo de Solicitação de Mudança</w:t>
      </w:r>
    </w:p>
    <w:p>
      <w:pPr>
        <w:pStyle w:val="Normal"/>
        <w:spacing w:lineRule="auto" w:line="276" w:before="0" w:after="160"/>
        <w:rPr/>
      </w:pPr>
      <w:r>
        <w:rPr>
          <w:sz w:val="22"/>
          <w:szCs w:val="22"/>
        </w:rPr>
        <w:t>Mudanças de rotina (funcionalidades, correções) seguem o fluxo padrão: abertura de item de trabalho → branch de feature → Pull Request → revisão → pipeline de CI → merge → pipeline de CD. Esse fluxo, por si, já constitui o registro formal e rastreável da mudança.</w:t>
      </w:r>
    </w:p>
    <w:p>
      <w:pPr>
        <w:pStyle w:val="Heading2"/>
        <w:spacing w:before="320" w:after="160"/>
        <w:rPr>
          <w:b/>
          <w:bCs/>
          <w:color w:val="auto"/>
          <w:sz w:val="25"/>
          <w:szCs w:val="25"/>
        </w:rPr>
      </w:pPr>
      <w:r>
        <w:rPr>
          <w:b/>
          <w:bCs/>
          <w:color w:val="auto"/>
          <w:sz w:val="25"/>
          <w:szCs w:val="25"/>
        </w:rPr>
        <w:t>8.2 Comitê de Controle de Mudança (CCM)</w:t>
      </w:r>
    </w:p>
    <w:p>
      <w:pPr>
        <w:pStyle w:val="Normal"/>
        <w:spacing w:lineRule="auto" w:line="276" w:before="0" w:after="160"/>
        <w:rPr/>
      </w:pPr>
      <w:r>
        <w:rPr>
          <w:sz w:val="22"/>
          <w:szCs w:val="22"/>
        </w:rPr>
        <w:t>O CCM é acionado apenas em mudanças de alto impacto ou risco elevado, como alterações estruturais de infraestrutura, mudanças de esquema de banco de dados em produção, ou exceções ao fluxo padrão (ex.: hotfix emergencial). Em situações rotineiras, a aprovação por pares (revisão de PR) substitui o comitê formal.</w:t>
      </w:r>
    </w:p>
    <w:p>
      <w:pPr>
        <w:pStyle w:val="Normal"/>
        <w:spacing w:before="0" w:after="200"/>
        <w:rPr/>
      </w:pPr>
      <w:r>
        <w:rPr>
          <w:sz w:val="22"/>
          <w:szCs w:val="22"/>
        </w:rPr>
        <w:t>O CCM deste projeto é composto pela Gerente de Projeto (Izadora de Souza) e pelo Responsável de GCS-DevOps (Gabriel Nader Marini). É acionado apenas em mudanças que alterem o escopo pedagógico combinado com o orientador do PAC ou a arquitetura central do projeto (ex.: reestruturação de cenas, troca de mecânica principal do jogo). Mudanças de rotina seguem apenas o fluxo de Pull Request.</w:t>
      </w:r>
    </w:p>
    <w:p>
      <w:pPr>
        <w:pStyle w:val="Heading1"/>
        <w:pBdr>
          <w:bottom w:val="single" w:sz="6" w:space="4" w:color="2E5395"/>
        </w:pBdr>
        <w:spacing w:before="480" w:after="240"/>
        <w:rPr>
          <w:b/>
          <w:bCs/>
          <w:color w:val="auto"/>
          <w:sz w:val="30"/>
          <w:szCs w:val="30"/>
        </w:rPr>
      </w:pPr>
      <w:r>
        <w:rPr>
          <w:b/>
          <w:bCs/>
          <w:color w:val="auto"/>
          <w:sz w:val="30"/>
          <w:szCs w:val="30"/>
        </w:rPr>
        <w:t>9. Baselines e Releases</w:t>
      </w:r>
    </w:p>
    <w:p>
      <w:pPr>
        <w:pStyle w:val="Heading2"/>
        <w:spacing w:before="320" w:after="160"/>
        <w:rPr>
          <w:b/>
          <w:bCs/>
          <w:color w:val="auto"/>
          <w:sz w:val="25"/>
          <w:szCs w:val="25"/>
        </w:rPr>
      </w:pPr>
      <w:r>
        <w:rPr>
          <w:b/>
          <w:bCs/>
          <w:color w:val="auto"/>
          <w:sz w:val="25"/>
          <w:szCs w:val="25"/>
        </w:rPr>
        <w:t>9.1 Geração Automática de Baseline</w:t>
      </w:r>
    </w:p>
    <w:p>
      <w:pPr>
        <w:pStyle w:val="Normal"/>
        <w:spacing w:lineRule="auto" w:line="276" w:before="0" w:after="160"/>
        <w:rPr/>
      </w:pPr>
      <w:r>
        <w:rPr>
          <w:sz w:val="22"/>
          <w:szCs w:val="22"/>
        </w:rPr>
        <w:t>Diferente de modelos tradicionais, em que a baseline é criada manualmente em marcos do projeto, neste plano cada implantação bem-sucedida em produção gera automaticamente uma baseline: uma tag de versão (SemVer) associada ao commit, à imagem publicada no registro e ao estado da infraestrutura correspondente.</w:t>
      </w:r>
    </w:p>
    <w:p>
      <w:pPr>
        <w:pStyle w:val="Heading2"/>
        <w:spacing w:before="320" w:after="160"/>
        <w:rPr>
          <w:b/>
          <w:bCs/>
          <w:color w:val="auto"/>
          <w:sz w:val="25"/>
          <w:szCs w:val="25"/>
        </w:rPr>
      </w:pPr>
      <w:r>
        <w:rPr>
          <w:b/>
          <w:bCs/>
          <w:color w:val="auto"/>
          <w:sz w:val="25"/>
          <w:szCs w:val="25"/>
        </w:rPr>
        <w:t>9.2 Notas de Versão (Release Notes)</w:t>
      </w:r>
    </w:p>
    <w:p>
      <w:pPr>
        <w:pStyle w:val="Normal"/>
        <w:spacing w:lineRule="auto" w:line="276" w:before="0" w:after="160"/>
        <w:rPr/>
      </w:pPr>
      <w:r>
        <w:rPr>
          <w:sz w:val="22"/>
          <w:szCs w:val="22"/>
        </w:rPr>
        <w:t>As notas de release são geradas automaticamente pelo pipeline a partir dos Conventional Commits desde a última tag, publicadas junto à release no repositório.</w:t>
      </w:r>
    </w:p>
    <w:p>
      <w:pPr>
        <w:pStyle w:val="Heading1"/>
        <w:pBdr>
          <w:bottom w:val="single" w:sz="6" w:space="4" w:color="2E5395"/>
        </w:pBdr>
        <w:spacing w:before="480" w:after="240"/>
        <w:rPr>
          <w:b/>
          <w:bCs/>
          <w:color w:val="auto"/>
          <w:sz w:val="30"/>
          <w:szCs w:val="30"/>
        </w:rPr>
      </w:pPr>
      <w:r>
        <w:rPr>
          <w:b/>
          <w:bCs/>
          <w:color w:val="auto"/>
          <w:sz w:val="30"/>
          <w:szCs w:val="30"/>
        </w:rPr>
        <w:t>10. Estimativa do Status de Configuração</w:t>
      </w:r>
    </w:p>
    <w:p>
      <w:pPr>
        <w:pStyle w:val="Heading2"/>
        <w:spacing w:before="320" w:after="160"/>
        <w:rPr>
          <w:b/>
          <w:bCs/>
          <w:color w:val="auto"/>
          <w:sz w:val="25"/>
          <w:szCs w:val="25"/>
        </w:rPr>
      </w:pPr>
      <w:r>
        <w:rPr>
          <w:b/>
          <w:bCs/>
          <w:color w:val="auto"/>
          <w:sz w:val="25"/>
          <w:szCs w:val="25"/>
        </w:rPr>
        <w:t>10.1 Monitoramento e Observabilidade</w:t>
      </w:r>
    </w:p>
    <w:p>
      <w:pPr>
        <w:pStyle w:val="Normal"/>
        <w:spacing w:lineRule="auto" w:line="276" w:before="0" w:after="160"/>
        <w:rPr/>
      </w:pPr>
      <w:r>
        <w:rPr>
          <w:sz w:val="22"/>
          <w:szCs w:val="22"/>
        </w:rPr>
        <w:t>Os ambientes de Homologação e Produção devem ser monitorados continuamente (métricas, logs e alertas), permitindo identificar rapidamente falhas decorrentes de uma implantação.</w:t>
      </w:r>
    </w:p>
    <w:p>
      <w:pPr>
        <w:pStyle w:val="Heading2"/>
        <w:spacing w:before="320" w:after="160"/>
        <w:rPr>
          <w:b/>
          <w:bCs/>
          <w:color w:val="auto"/>
          <w:sz w:val="25"/>
          <w:szCs w:val="25"/>
        </w:rPr>
      </w:pPr>
      <w:r>
        <w:rPr>
          <w:b/>
          <w:bCs/>
          <w:color w:val="auto"/>
          <w:sz w:val="25"/>
          <w:szCs w:val="25"/>
        </w:rPr>
        <w:t>10.2 Métricas DORA</w:t>
      </w:r>
    </w:p>
    <w:tbl>
      <w:tblPr>
        <w:tblW w:w="9520" w:type="dxa"/>
        <w:jc w:val="left"/>
        <w:tblInd w:w="0" w:type="dxa"/>
        <w:tblLayout w:type="fixed"/>
        <w:tblCellMar>
          <w:top w:w="80" w:type="dxa"/>
          <w:left w:w="100" w:type="dxa"/>
          <w:bottom w:w="80" w:type="dxa"/>
          <w:right w:w="100" w:type="dxa"/>
        </w:tblCellMar>
      </w:tblPr>
      <w:tblGrid>
        <w:gridCol w:w="2599"/>
        <w:gridCol w:w="6920"/>
      </w:tblGrid>
      <w:tr>
        <w:trPr>
          <w:tblHeader w:val="true"/>
        </w:trPr>
        <w:tc>
          <w:tcPr>
            <w:tcW w:w="25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Métrica</w:t>
            </w:r>
          </w:p>
        </w:tc>
        <w:tc>
          <w:tcPr>
            <w:tcW w:w="69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Deployment Frequency</w:t>
            </w:r>
          </w:p>
        </w:tc>
        <w:tc>
          <w:tcPr>
            <w:tcW w:w="6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Frequência com que o código é implantado em produção.</w:t>
            </w:r>
          </w:p>
        </w:tc>
      </w:tr>
      <w:tr>
        <w:trPr/>
        <w:tc>
          <w:tcPr>
            <w:tcW w:w="2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Lead Time for Changes</w:t>
            </w:r>
          </w:p>
        </w:tc>
        <w:tc>
          <w:tcPr>
            <w:tcW w:w="69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Tempo entre o commit e a implantação em produção.</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Change Failure Rate</w:t>
            </w:r>
          </w:p>
        </w:tc>
        <w:tc>
          <w:tcPr>
            <w:tcW w:w="6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Percentual de implantações que resultam em falha em produção.</w:t>
            </w:r>
          </w:p>
        </w:tc>
      </w:tr>
      <w:tr>
        <w:trPr/>
        <w:tc>
          <w:tcPr>
            <w:tcW w:w="2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Mean Time to Restore (MTTR)</w:t>
            </w:r>
          </w:p>
        </w:tc>
        <w:tc>
          <w:tcPr>
            <w:tcW w:w="69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Tempo médio para restaurar o serviço após uma falha.</w:t>
            </w:r>
          </w:p>
        </w:tc>
      </w:tr>
    </w:tbl>
    <w:p>
      <w:pPr>
        <w:pStyle w:val="Heading2"/>
        <w:spacing w:before="320" w:after="160"/>
        <w:rPr>
          <w:b/>
          <w:bCs/>
          <w:color w:val="auto"/>
          <w:sz w:val="25"/>
          <w:szCs w:val="25"/>
        </w:rPr>
      </w:pPr>
      <w:r>
        <w:rPr>
          <w:b/>
          <w:bCs/>
          <w:color w:val="auto"/>
          <w:sz w:val="25"/>
          <w:szCs w:val="25"/>
        </w:rPr>
        <w:t>10.3 Relatórios e Auditorias</w:t>
      </w:r>
    </w:p>
    <w:p>
      <w:pPr>
        <w:pStyle w:val="Normal"/>
        <w:spacing w:lineRule="auto" w:line="276" w:before="0" w:after="160"/>
        <w:rPr/>
      </w:pPr>
      <w:r>
        <w:rPr>
          <w:sz w:val="22"/>
          <w:szCs w:val="22"/>
        </w:rPr>
        <w:t>O histórico de pipelines (builds, testes, deploys) e os logs do sistema de versionamento constituem, por si, o principal insumo de auditoria de GCS, dispensando relatórios manuais na maior parte dos casos.</w:t>
      </w:r>
    </w:p>
    <w:p>
      <w:pPr>
        <w:pStyle w:val="Heading1"/>
        <w:pBdr>
          <w:bottom w:val="single" w:sz="6" w:space="4" w:color="2E5395"/>
        </w:pBdr>
        <w:spacing w:before="480" w:after="240"/>
        <w:rPr>
          <w:b/>
          <w:bCs/>
          <w:color w:val="auto"/>
          <w:sz w:val="30"/>
          <w:szCs w:val="30"/>
        </w:rPr>
      </w:pPr>
      <w:r>
        <w:rPr>
          <w:b/>
          <w:bCs/>
          <w:color w:val="auto"/>
          <w:sz w:val="30"/>
          <w:szCs w:val="30"/>
        </w:rPr>
        <w:t>11. Marcos</w:t>
      </w:r>
    </w:p>
    <w:p>
      <w:pPr>
        <w:pStyle w:val="Normal"/>
        <w:spacing w:before="0" w:after="200"/>
        <w:rPr/>
      </w:pPr>
      <w:r>
        <w:rPr>
          <w:sz w:val="22"/>
          <w:szCs w:val="22"/>
        </w:rPr>
        <w:t>Marcos previstos para a evolução da GCS/DevOps do projeto: (1) criação e publicação do repositório Git no GitHub; (2) definição e adoção da estratégia de branching (main + feature branches); (3) implantação de um pipeline de CI via GitHub Actions para validar o build do projeto a cada Pull Request; (4) primeira geração automatizada de build/release versionado (tag SemVer); (5) apresentação/entrega final do PAC Extensionista III com o build de referência do jogo.</w:t>
      </w:r>
    </w:p>
    <w:p>
      <w:pPr>
        <w:pStyle w:val="Heading1"/>
        <w:pBdr>
          <w:bottom w:val="single" w:sz="6" w:space="4" w:color="2E5395"/>
        </w:pBdr>
        <w:spacing w:before="480" w:after="240"/>
        <w:rPr>
          <w:b/>
          <w:bCs/>
          <w:color w:val="auto"/>
          <w:sz w:val="30"/>
          <w:szCs w:val="30"/>
        </w:rPr>
      </w:pPr>
      <w:r>
        <w:rPr>
          <w:b/>
          <w:bCs/>
          <w:color w:val="auto"/>
          <w:sz w:val="30"/>
          <w:szCs w:val="30"/>
        </w:rPr>
        <w:t>12. Treinamento e Recursos</w:t>
      </w:r>
    </w:p>
    <w:p>
      <w:pPr>
        <w:pStyle w:val="Normal"/>
        <w:spacing w:before="0" w:after="200"/>
        <w:rPr/>
      </w:pPr>
      <w:r>
        <w:rPr>
          <w:sz w:val="22"/>
          <w:szCs w:val="22"/>
        </w:rPr>
        <w:t>Além da Godot Engine (já em uso pela equipe), a adoção deste plano exige que os quatro integrantes se familiarizem com o Git (comandos básicos de branch, commit e Pull Request) e, futuramente, com a sintaxe de workflows do GitHub Actions. Como recursos, serão usados a documentação oficial do GitHub Actions, a documentação da Godot Engine sobre exportação de builds, e a orientação do professor responsável pelo PAC Extensionista III.</w:t>
      </w:r>
    </w:p>
    <w:p>
      <w:pPr>
        <w:pStyle w:val="Heading1"/>
        <w:pBdr>
          <w:bottom w:val="single" w:sz="6" w:space="4" w:color="2E5395"/>
        </w:pBdr>
        <w:spacing w:before="480" w:after="240"/>
        <w:rPr>
          <w:b/>
          <w:bCs/>
          <w:color w:val="auto"/>
          <w:sz w:val="30"/>
          <w:szCs w:val="30"/>
        </w:rPr>
      </w:pPr>
      <w:r>
        <w:rPr>
          <w:b/>
          <w:bCs/>
          <w:color w:val="auto"/>
          <w:sz w:val="30"/>
          <w:szCs w:val="30"/>
        </w:rPr>
        <w:t>13. Controle de Software de Subcontratados, Fornecedores e Dependências de Terceiros</w:t>
      </w:r>
    </w:p>
    <w:p>
      <w:pPr>
        <w:pStyle w:val="Normal"/>
        <w:spacing w:lineRule="auto" w:line="276" w:before="0" w:after="160"/>
        <w:rPr/>
      </w:pPr>
      <w:r>
        <w:rPr>
          <w:sz w:val="22"/>
          <w:szCs w:val="22"/>
        </w:rPr>
        <w:t>Bibliotecas e serviços de terceiros integrados ao produto também são itens de configuração e devem ser versionados explicitamente (arquivo de dependências travado — lockfile).</w:t>
      </w:r>
    </w:p>
    <w:p>
      <w:pPr>
        <w:pStyle w:val="ListParagraph"/>
        <w:numPr>
          <w:ilvl w:val="0"/>
          <w:numId w:val="1"/>
        </w:numPr>
        <w:spacing w:before="0" w:after="80"/>
        <w:rPr/>
      </w:pPr>
      <w:r>
        <w:rPr>
          <w:sz w:val="22"/>
          <w:szCs w:val="22"/>
        </w:rPr>
        <w:t>Análise automática de vulnerabilidades em dependências (SCA) integrada ao pipeline de CI.</w:t>
      </w:r>
    </w:p>
    <w:p>
      <w:pPr>
        <w:pStyle w:val="ListParagraph"/>
        <w:numPr>
          <w:ilvl w:val="0"/>
          <w:numId w:val="1"/>
        </w:numPr>
        <w:spacing w:before="0" w:after="80"/>
        <w:rPr/>
      </w:pPr>
      <w:r>
        <w:rPr>
          <w:sz w:val="22"/>
          <w:szCs w:val="22"/>
        </w:rPr>
        <w:t>Atualizações de dependências propostas automaticamente (ex.: Dependabot/Renovate) e submetidas ao mesmo fluxo de PR.</w:t>
      </w:r>
    </w:p>
    <w:p>
      <w:pPr>
        <w:pStyle w:val="Normal"/>
        <w:spacing w:before="0" w:after="200"/>
        <w:rPr/>
      </w:pPr>
      <w:r>
        <w:rPr>
          <w:sz w:val="22"/>
          <w:szCs w:val="22"/>
        </w:rPr>
        <w:t>Este item se aplica apenas a eventuais assets de terceiros obtidos na Godot Asset Library ou em bancos de arte/áudio livres, que devem ser versionados junto ao repositório com o devido registro de licença de uso. O projeto não possui subcontratados ou fornecedores externos de software.</w:t>
      </w:r>
    </w:p>
    <w:p>
      <w:pPr>
        <w:pStyle w:val="Heading1"/>
        <w:pBdr>
          <w:bottom w:val="single" w:sz="6" w:space="4" w:color="2E5395"/>
        </w:pBdr>
        <w:spacing w:before="480" w:after="240"/>
        <w:rPr>
          <w:b/>
          <w:bCs/>
          <w:color w:val="auto"/>
          <w:sz w:val="30"/>
          <w:szCs w:val="30"/>
        </w:rPr>
      </w:pPr>
      <w:r>
        <w:rPr>
          <w:b/>
          <w:bCs/>
          <w:color w:val="auto"/>
          <w:sz w:val="30"/>
          <w:szCs w:val="30"/>
        </w:rPr>
        <w:t>14. Quadro-Resumo do Pipeline CI/CD</w:t>
      </w:r>
    </w:p>
    <w:p>
      <w:pPr>
        <w:pStyle w:val="Normal"/>
        <w:spacing w:lineRule="auto" w:line="276" w:before="0" w:after="160"/>
        <w:rPr/>
      </w:pPr>
      <w:r>
        <w:rPr>
          <w:sz w:val="22"/>
          <w:szCs w:val="22"/>
        </w:rPr>
        <w:t>Resumo do fluxo padrão, do commit à produção:</w:t>
      </w:r>
    </w:p>
    <w:tbl>
      <w:tblPr>
        <w:tblW w:w="9640" w:type="dxa"/>
        <w:jc w:val="left"/>
        <w:tblInd w:w="0" w:type="dxa"/>
        <w:tblLayout w:type="fixed"/>
        <w:tblCellMar>
          <w:top w:w="80" w:type="dxa"/>
          <w:left w:w="100" w:type="dxa"/>
          <w:bottom w:w="80" w:type="dxa"/>
          <w:right w:w="100" w:type="dxa"/>
        </w:tblCellMar>
      </w:tblPr>
      <w:tblGrid>
        <w:gridCol w:w="1799"/>
        <w:gridCol w:w="5920"/>
        <w:gridCol w:w="1921"/>
      </w:tblGrid>
      <w:tr>
        <w:trPr>
          <w:tblHeader w:val="true"/>
        </w:trPr>
        <w:tc>
          <w:tcPr>
            <w:tcW w:w="17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Etapa</w:t>
            </w:r>
          </w:p>
        </w:tc>
        <w:tc>
          <w:tcPr>
            <w:tcW w:w="59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c>
          <w:tcPr>
            <w:tcW w:w="1921"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Gatilho</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CI</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Build, lint, testes unitários/integração, análise de segurança, publicação do artefato/imagem.</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Abertura/atualização de Pull Request</w:t>
            </w:r>
          </w:p>
        </w:tc>
      </w:tr>
      <w:tr>
        <w:trPr/>
        <w:tc>
          <w:tcPr>
            <w:tcW w:w="17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Merge</w:t>
            </w:r>
          </w:p>
        </w:tc>
        <w:tc>
          <w:tcPr>
            <w:tcW w:w="59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Integração da mudança na branch principal.</w:t>
            </w:r>
          </w:p>
        </w:tc>
        <w:tc>
          <w:tcPr>
            <w:tcW w:w="19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Aprovação de PR + CI verde</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CD — Staging</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Deploy automático em homologação + testes de aceitação.</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Merge na branch principal</w:t>
            </w:r>
          </w:p>
        </w:tc>
      </w:tr>
      <w:tr>
        <w:trPr/>
        <w:tc>
          <w:tcPr>
            <w:tcW w:w="17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Gate de Release</w:t>
            </w:r>
          </w:p>
        </w:tc>
        <w:tc>
          <w:tcPr>
            <w:tcW w:w="59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Aprovação para produção (automática ou manual, conforme criticidade).</w:t>
            </w:r>
          </w:p>
        </w:tc>
        <w:tc>
          <w:tcPr>
            <w:tcW w:w="19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Sucesso dos testes em staging</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CD — Produção</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Deploy (rolling/blue-green/canary), smoke tests, geração de baseline/tag.</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Aprovação do gate de release</w:t>
            </w:r>
          </w:p>
        </w:tc>
      </w:tr>
    </w:tbl>
    <w:p>
      <w:pPr>
        <w:pStyle w:val="Normal"/>
        <w:spacing w:before="400" w:after="0"/>
        <w:rPr/>
      </w:pPr>
      <w:r>
        <w:rPr>
          <w:b/>
          <w:bCs/>
          <w:i/>
          <w:iCs/>
          <w:color w:val="595959"/>
          <w:sz w:val="20"/>
          <w:szCs w:val="20"/>
        </w:rPr>
        <w:t xml:space="preserve">Nota: </w:t>
      </w:r>
      <w:r>
        <w:rPr>
          <w:i/>
          <w:iCs/>
          <w:color w:val="595959"/>
          <w:sz w:val="20"/>
          <w:szCs w:val="20"/>
        </w:rPr>
        <w:t>este template deve ser adaptado ao contexto real do projeto (ferramentas, criticidade do sistema e maturidade da equipe em DevOps), mantendo os quatro pilares da GCS — identificação, controle de versão, controle de mudanças e auditoria/status — agora suportados por automação.</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Página </w:t>
    </w:r>
    <w:r>
      <w:rPr>
        <w:color w:val="7F7F7F"/>
        <w:sz w:val="16"/>
        <w:szCs w:val="16"/>
      </w:rPr>
      <w:fldChar w:fldCharType="begin"/>
    </w:r>
    <w:r>
      <w:rPr>
        <w:sz w:val="16"/>
        <w:szCs w:val="16"/>
        <w:color w:val="7F7F7F"/>
      </w:rPr>
      <w:instrText xml:space="preserve"> PAGE </w:instrText>
    </w:r>
    <w:r>
      <w:rPr>
        <w:sz w:val="16"/>
        <w:szCs w:val="16"/>
        <w:color w:val="7F7F7F"/>
      </w:rPr>
      <w:fldChar w:fldCharType="separate"/>
    </w:r>
    <w:r>
      <w:rPr>
        <w:sz w:val="16"/>
        <w:szCs w:val="16"/>
        <w:color w:val="7F7F7F"/>
      </w:rPr>
      <w:t>10</w:t>
    </w:r>
    <w:r>
      <w:rPr>
        <w:sz w:val="16"/>
        <w:szCs w:val="16"/>
        <w:color w:val="7F7F7F"/>
      </w:rPr>
      <w:fldChar w:fldCharType="end"/>
    </w:r>
    <w:r>
      <w:rPr>
        <w:color w:val="7F7F7F"/>
        <w:sz w:val="16"/>
        <w:szCs w:val="16"/>
      </w:rPr>
      <w:t xml:space="preserve"> de </w:t>
    </w:r>
    <w:r>
      <w:rPr>
        <w:color w:val="7F7F7F"/>
        <w:sz w:val="16"/>
        <w:szCs w:val="16"/>
      </w:rPr>
      <w:fldChar w:fldCharType="begin"/>
    </w:r>
    <w:r>
      <w:rPr>
        <w:sz w:val="16"/>
        <w:szCs w:val="16"/>
        <w:color w:val="7F7F7F"/>
      </w:rPr>
      <w:instrText xml:space="preserve"> NUMPAGES </w:instrText>
    </w:r>
    <w:r>
      <w:rPr>
        <w:sz w:val="16"/>
        <w:szCs w:val="16"/>
        <w:color w:val="7F7F7F"/>
      </w:rPr>
      <w:fldChar w:fldCharType="separate"/>
    </w:r>
    <w:r>
      <w:rPr>
        <w:sz w:val="16"/>
        <w:szCs w:val="16"/>
        <w:color w:val="7F7F7F"/>
      </w:rPr>
      <w:t>10</w:t>
    </w:r>
    <w:r>
      <w:rPr>
        <w:sz w:val="16"/>
        <w:szCs w:val="16"/>
        <w:color w:val="7F7F7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Página </w:t>
    </w:r>
    <w:r>
      <w:rPr>
        <w:color w:val="7F7F7F"/>
        <w:sz w:val="16"/>
        <w:szCs w:val="16"/>
      </w:rPr>
      <w:fldChar w:fldCharType="begin"/>
    </w:r>
    <w:r>
      <w:rPr>
        <w:sz w:val="16"/>
        <w:szCs w:val="16"/>
        <w:color w:val="7F7F7F"/>
      </w:rPr>
      <w:instrText xml:space="preserve"> PAGE </w:instrText>
    </w:r>
    <w:r>
      <w:rPr>
        <w:sz w:val="16"/>
        <w:szCs w:val="16"/>
        <w:color w:val="7F7F7F"/>
      </w:rPr>
      <w:fldChar w:fldCharType="separate"/>
    </w:r>
    <w:r>
      <w:rPr>
        <w:sz w:val="16"/>
        <w:szCs w:val="16"/>
        <w:color w:val="7F7F7F"/>
      </w:rPr>
      <w:t>10</w:t>
    </w:r>
    <w:r>
      <w:rPr>
        <w:sz w:val="16"/>
        <w:szCs w:val="16"/>
        <w:color w:val="7F7F7F"/>
      </w:rPr>
      <w:fldChar w:fldCharType="end"/>
    </w:r>
    <w:r>
      <w:rPr>
        <w:color w:val="7F7F7F"/>
        <w:sz w:val="16"/>
        <w:szCs w:val="16"/>
      </w:rPr>
      <w:t xml:space="preserve"> de </w:t>
    </w:r>
    <w:r>
      <w:rPr>
        <w:color w:val="7F7F7F"/>
        <w:sz w:val="16"/>
        <w:szCs w:val="16"/>
      </w:rPr>
      <w:fldChar w:fldCharType="begin"/>
    </w:r>
    <w:r>
      <w:rPr>
        <w:sz w:val="16"/>
        <w:szCs w:val="16"/>
        <w:color w:val="7F7F7F"/>
      </w:rPr>
      <w:instrText xml:space="preserve"> NUMPAGES </w:instrText>
    </w:r>
    <w:r>
      <w:rPr>
        <w:sz w:val="16"/>
        <w:szCs w:val="16"/>
        <w:color w:val="7F7F7F"/>
      </w:rPr>
      <w:fldChar w:fldCharType="separate"/>
    </w:r>
    <w:r>
      <w:rPr>
        <w:sz w:val="16"/>
        <w:szCs w:val="16"/>
        <w:color w:val="7F7F7F"/>
      </w:rPr>
      <w:t>10</w:t>
    </w:r>
    <w:r>
      <w:rPr>
        <w:sz w:val="16"/>
        <w:szCs w:val="16"/>
        <w:color w:val="7F7F7F"/>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7F7F7F"/>
        <w:sz w:val="16"/>
        <w:szCs w:val="16"/>
      </w:rPr>
      <w:t>Plano de Gerenciamento de Configuração — Enfoque DevOps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7F7F7F"/>
        <w:sz w:val="16"/>
        <w:szCs w:val="16"/>
      </w:rPr>
      <w:t>Plano de Gerenciamento de Configuração — Enfoque DevOps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suppressAutoHyphens w:val="true"/>
      </w:pPr>
    </w:pPrDefault>
  </w:docDefaults>
  <w:style w:type="paragraph" w:styleId="Normal" w:default="1">
    <w:name w:val="Normal"/>
    <w:uiPriority w:val="0"/>
    <w:qFormat/>
    <w:rsid w:val="6c43e1ac"/>
    <w:pPr>
      <w:widowControl/>
      <w:bidi w:val="0"/>
      <w:spacing w:before="0" w:after="0"/>
      <w:jc w:val="left"/>
    </w:pPr>
    <w:rPr>
      <w:rFonts w:ascii="Calibri" w:hAnsi="Calibri" w:eastAsia="Calibri" w:cs="Calibri"/>
      <w:color w:val="auto"/>
      <w:kern w:val="0"/>
      <w:sz w:val="22"/>
      <w:szCs w:val="22"/>
      <w:lang w:val="pt-BR"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CCD0EAA1588A4C9A6F807BFA93926E" ma:contentTypeVersion="0" ma:contentTypeDescription="Create a new document." ma:contentTypeScope="" ma:versionID="5dc6a100a468988c29af353451fb7b2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C2696E-1D8D-4493-8580-0E3ABEB8890C}"/>
</file>

<file path=customXml/itemProps2.xml><?xml version="1.0" encoding="utf-8"?>
<ds:datastoreItem xmlns:ds="http://schemas.openxmlformats.org/officeDocument/2006/customXml" ds:itemID="{3CA69668-0929-4346-AFE0-9198EE96BBC7}"/>
</file>

<file path=customXml/itemProps3.xml><?xml version="1.0" encoding="utf-8"?>
<ds:datastoreItem xmlns:ds="http://schemas.openxmlformats.org/officeDocument/2006/customXml" ds:itemID="{B93323A2-993E-4406-96C4-FFB382271FD8}"/>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10</Pages>
  <Words>2766</Words>
  <Characters>16361</Characters>
  <CharactersWithSpaces>18861</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2026-08-10T17:38:53Z</dcterms:created>
  <dc:creator>Un-named</dc:creator>
  <dc:description/>
  <dc:language>pt-BR</dc:language>
  <cp:lastModifiedBy/>
  <dcterms:modified xsi:type="dcterms:W3CDTF">2026-09-23T18:50:42Z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