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ind w:left="720" w:firstLine="720"/>
        <w:contextualSpacing w:val="0"/>
        <w:jc w:val="left"/>
        <w:rPr>
          <w:rFonts w:ascii="Droid Sans" w:cs="Droid Sans" w:eastAsia="Droid Sans" w:hAnsi="Droid Sans"/>
          <w:b w:val="1"/>
          <w:color w:val="741b47"/>
          <w:sz w:val="48"/>
          <w:szCs w:val="48"/>
        </w:rPr>
      </w:pPr>
      <w:r w:rsidDel="00000000" w:rsidR="00000000" w:rsidRPr="00000000">
        <w:rPr>
          <w:rFonts w:ascii="Droid Sans" w:cs="Droid Sans" w:eastAsia="Droid Sans" w:hAnsi="Droid Sans"/>
          <w:b w:val="1"/>
          <w:color w:val="741b47"/>
          <w:sz w:val="48"/>
          <w:szCs w:val="48"/>
          <w:rtl w:val="0"/>
        </w:rPr>
        <w:t xml:space="preserve">INSTITUTO POLITÉCNICO NACIONAL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5676900</wp:posOffset>
            </wp:positionH>
            <wp:positionV relativeFrom="paragraph">
              <wp:posOffset>28575</wp:posOffset>
            </wp:positionV>
            <wp:extent cx="844912" cy="1446685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912" cy="1446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66675</wp:posOffset>
            </wp:positionH>
            <wp:positionV relativeFrom="paragraph">
              <wp:posOffset>28575</wp:posOffset>
            </wp:positionV>
            <wp:extent cx="844912" cy="1446685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912" cy="1446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rFonts w:ascii="Droid Sans" w:cs="Droid Sans" w:eastAsia="Droid Sans" w:hAnsi="Droid Sans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Droid Sans" w:cs="Droid Sans" w:eastAsia="Droid Sans" w:hAnsi="Droid Sans"/>
          <w:b w:val="1"/>
          <w:color w:val="0000ff"/>
          <w:sz w:val="48"/>
          <w:szCs w:val="48"/>
        </w:rPr>
      </w:pPr>
      <w:r w:rsidDel="00000000" w:rsidR="00000000" w:rsidRPr="00000000">
        <w:rPr>
          <w:rFonts w:ascii="Droid Sans" w:cs="Droid Sans" w:eastAsia="Droid Sans" w:hAnsi="Droid Sans"/>
          <w:b w:val="1"/>
          <w:color w:val="0000ff"/>
          <w:sz w:val="48"/>
          <w:szCs w:val="48"/>
          <w:rtl w:val="0"/>
        </w:rPr>
        <w:t xml:space="preserve">ESCOM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Droid Sans" w:cs="Droid Sans" w:eastAsia="Droid Sans" w:hAnsi="Droid Sans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rFonts w:ascii="Droid Sans" w:cs="Droid Sans" w:eastAsia="Droid Sans" w:hAnsi="Droid Sans"/>
          <w:color w:val="434343"/>
          <w:sz w:val="40"/>
          <w:szCs w:val="40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sz w:val="40"/>
          <w:szCs w:val="40"/>
          <w:rtl w:val="0"/>
        </w:rPr>
        <w:t xml:space="preserve">IT GOVERNANCE</w:t>
      </w:r>
    </w:p>
    <w:p w:rsidR="00000000" w:rsidDel="00000000" w:rsidP="00000000" w:rsidRDefault="00000000" w:rsidRPr="00000000" w14:paraId="00000005">
      <w:pPr>
        <w:ind w:left="4320" w:firstLine="720"/>
        <w:contextualSpacing w:val="0"/>
        <w:rPr>
          <w:rFonts w:ascii="Droid Sans" w:cs="Droid Sans" w:eastAsia="Droid Sans" w:hAnsi="Droid Sans"/>
          <w:color w:val="434343"/>
          <w:sz w:val="36"/>
          <w:szCs w:val="36"/>
          <w:highlight w:val="white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sz w:val="36"/>
          <w:szCs w:val="36"/>
          <w:highlight w:val="white"/>
          <w:rtl w:val="0"/>
        </w:rPr>
        <w:t xml:space="preserve">3CM10</w:t>
      </w:r>
    </w:p>
    <w:p w:rsidR="00000000" w:rsidDel="00000000" w:rsidP="00000000" w:rsidRDefault="00000000" w:rsidRPr="00000000" w14:paraId="00000006">
      <w:pPr>
        <w:ind w:left="2880" w:firstLine="0"/>
        <w:contextualSpacing w:val="0"/>
        <w:rPr>
          <w:rFonts w:ascii="Droid Sans" w:cs="Droid Sans" w:eastAsia="Droid Sans" w:hAnsi="Droid Sans"/>
          <w:color w:val="333333"/>
          <w:sz w:val="36"/>
          <w:szCs w:val="36"/>
          <w:highlight w:val="white"/>
        </w:rPr>
      </w:pPr>
      <w:r w:rsidDel="00000000" w:rsidR="00000000" w:rsidRPr="00000000">
        <w:rPr>
          <w:rFonts w:ascii="Droid Sans" w:cs="Droid Sans" w:eastAsia="Droid Sans" w:hAnsi="Droid Sans"/>
          <w:color w:val="333333"/>
          <w:sz w:val="36"/>
          <w:szCs w:val="36"/>
          <w:highlight w:val="white"/>
          <w:rtl w:val="0"/>
        </w:rPr>
        <w:t xml:space="preserve">GUZMAN FLORES JESSIE PAULINA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rFonts w:ascii="Droid Sans" w:cs="Droid Sans" w:eastAsia="Droid Sans" w:hAnsi="Droid Sans"/>
          <w:color w:val="333333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rFonts w:ascii="Droid Sans" w:cs="Droid Sans" w:eastAsia="Droid Sans" w:hAnsi="Droid Sans"/>
          <w:color w:val="333333"/>
          <w:sz w:val="56"/>
          <w:szCs w:val="56"/>
          <w:highlight w:val="white"/>
          <w:u w:val="single"/>
        </w:rPr>
      </w:pPr>
      <w:r w:rsidDel="00000000" w:rsidR="00000000" w:rsidRPr="00000000">
        <w:rPr>
          <w:rFonts w:ascii="Droid Sans" w:cs="Droid Sans" w:eastAsia="Droid Sans" w:hAnsi="Droid Sans"/>
          <w:color w:val="333333"/>
          <w:sz w:val="56"/>
          <w:szCs w:val="56"/>
          <w:highlight w:val="white"/>
          <w:u w:val="single"/>
          <w:rtl w:val="0"/>
        </w:rPr>
        <w:t xml:space="preserve">“CASO DE ESTUDIO MAQUIMETALICA”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rFonts w:ascii="Droid Sans" w:cs="Droid Sans" w:eastAsia="Droid Sans" w:hAnsi="Droid Sans"/>
          <w:color w:val="333333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Droid Sans" w:cs="Droid Sans" w:eastAsia="Droid Sans" w:hAnsi="Droid Sans"/>
          <w:color w:val="333333"/>
          <w:sz w:val="36"/>
          <w:szCs w:val="36"/>
          <w:highlight w:val="white"/>
        </w:rPr>
      </w:pPr>
      <w:r w:rsidDel="00000000" w:rsidR="00000000" w:rsidRPr="00000000">
        <w:rPr>
          <w:rFonts w:ascii="Droid Sans" w:cs="Droid Sans" w:eastAsia="Droid Sans" w:hAnsi="Droid Sans"/>
          <w:color w:val="333333"/>
          <w:sz w:val="36"/>
          <w:szCs w:val="36"/>
          <w:highlight w:val="white"/>
          <w:rtl w:val="0"/>
        </w:rPr>
        <w:t xml:space="preserve">EQUIPO: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Droid Sans" w:cs="Droid Sans" w:eastAsia="Droid Sans" w:hAnsi="Droid Sans"/>
          <w:color w:val="434343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sz w:val="28"/>
          <w:szCs w:val="28"/>
          <w:rtl w:val="0"/>
        </w:rPr>
        <w:t xml:space="preserve">Barrios Alvarado Daniel Alejandro</w:t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Droid Sans" w:cs="Droid Sans" w:eastAsia="Droid Sans" w:hAnsi="Droid Sans"/>
          <w:color w:val="434343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sz w:val="28"/>
          <w:szCs w:val="28"/>
          <w:rtl w:val="0"/>
        </w:rPr>
        <w:t xml:space="preserve">Montaño Europa Sergio</w:t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Droid Sans" w:cs="Droid Sans" w:eastAsia="Droid Sans" w:hAnsi="Droid Sans"/>
          <w:color w:val="434343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sz w:val="28"/>
          <w:szCs w:val="28"/>
          <w:rtl w:val="0"/>
        </w:rPr>
        <w:t xml:space="preserve">Saldaña Aguilar Gabriela</w:t>
      </w:r>
    </w:p>
    <w:p w:rsidR="00000000" w:rsidDel="00000000" w:rsidP="00000000" w:rsidRDefault="00000000" w:rsidRPr="00000000" w14:paraId="0000000E">
      <w:pPr>
        <w:ind w:left="4320" w:firstLine="0"/>
        <w:contextualSpacing w:val="0"/>
        <w:rPr>
          <w:rFonts w:ascii="Droid Sans" w:cs="Droid Sans" w:eastAsia="Droid Sans" w:hAnsi="Droid Sans"/>
          <w:color w:val="434343"/>
          <w:sz w:val="28"/>
          <w:szCs w:val="28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sz w:val="36"/>
          <w:szCs w:val="36"/>
          <w:highlight w:val="white"/>
          <w:rtl w:val="0"/>
        </w:rPr>
        <w:t xml:space="preserve">      </w:t>
      </w:r>
      <w:r w:rsidDel="00000000" w:rsidR="00000000" w:rsidRPr="00000000">
        <w:rPr>
          <w:rFonts w:ascii="Droid Sans" w:cs="Droid Sans" w:eastAsia="Droid Sans" w:hAnsi="Droid Sans"/>
          <w:color w:val="434343"/>
          <w:sz w:val="28"/>
          <w:szCs w:val="28"/>
          <w:highlight w:val="white"/>
          <w:rtl w:val="0"/>
        </w:rPr>
        <w:t xml:space="preserve">12/06/17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571500</wp:posOffset>
            </wp:positionH>
            <wp:positionV relativeFrom="paragraph">
              <wp:posOffset>314325</wp:posOffset>
            </wp:positionV>
            <wp:extent cx="5794013" cy="2574220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4013" cy="2574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b w:val="1"/>
          <w:highlight w:val="cyan"/>
        </w:rPr>
      </w:pPr>
      <w:r w:rsidDel="00000000" w:rsidR="00000000" w:rsidRPr="00000000">
        <w:rPr>
          <w:b w:val="1"/>
          <w:highlight w:val="cyan"/>
          <w:rtl w:val="0"/>
        </w:rPr>
        <w:t xml:space="preserve">1 INTRODUCCIÓN</w:t>
      </w:r>
    </w:p>
    <w:p w:rsidR="00000000" w:rsidDel="00000000" w:rsidP="00000000" w:rsidRDefault="00000000" w:rsidRPr="00000000" w14:paraId="00000014">
      <w:pPr>
        <w:ind w:firstLine="72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1.1 Misión -Ejemplo valIT pg 8</w:t>
      </w:r>
    </w:p>
    <w:p w:rsidR="00000000" w:rsidDel="00000000" w:rsidP="00000000" w:rsidRDefault="00000000" w:rsidRPr="00000000" w14:paraId="00000015">
      <w:pPr>
        <w:ind w:firstLine="72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1.2 Visión -Ejemplo valIT pg 8</w:t>
      </w:r>
    </w:p>
    <w:p w:rsidR="00000000" w:rsidDel="00000000" w:rsidP="00000000" w:rsidRDefault="00000000" w:rsidRPr="00000000" w14:paraId="00000016">
      <w:pPr>
        <w:ind w:firstLine="72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1.3 Objetivo general -Ejemplo valIT pg 9</w:t>
      </w:r>
    </w:p>
    <w:p w:rsidR="00000000" w:rsidDel="00000000" w:rsidP="00000000" w:rsidRDefault="00000000" w:rsidRPr="00000000" w14:paraId="00000017">
      <w:pPr>
        <w:ind w:firstLine="72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1.4 Objetivos específicos -Ejemplo valIT pg 9</w:t>
      </w:r>
    </w:p>
    <w:p w:rsidR="00000000" w:rsidDel="00000000" w:rsidP="00000000" w:rsidRDefault="00000000" w:rsidRPr="00000000" w14:paraId="00000018">
      <w:pPr>
        <w:ind w:firstLine="720"/>
        <w:contextualSpacing w:val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1.5 Presentación del caso de estudio</w:t>
      </w:r>
    </w:p>
    <w:p w:rsidR="00000000" w:rsidDel="00000000" w:rsidP="00000000" w:rsidRDefault="00000000" w:rsidRPr="00000000" w14:paraId="00000019">
      <w:pPr>
        <w:ind w:firstLine="720"/>
        <w:contextualSpacing w:val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1.6 Metodología para analizar la adquisición de IT</w:t>
      </w:r>
    </w:p>
    <w:p w:rsidR="00000000" w:rsidDel="00000000" w:rsidP="00000000" w:rsidRDefault="00000000" w:rsidRPr="00000000" w14:paraId="0000001A">
      <w:pPr>
        <w:contextualSpacing w:val="0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2 ANÁLISIS Y MODELADO DE PROCESOS -</w:t>
      </w:r>
      <w:r w:rsidDel="00000000" w:rsidR="00000000" w:rsidRPr="00000000">
        <w:rPr>
          <w:highlight w:val="green"/>
          <w:rtl w:val="0"/>
        </w:rPr>
        <w:t xml:space="preserve">pdf 7.Identificacion y cuantificacion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contextualSpacing w:val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2.1 Descripción y diagramación de los procesos actuales y de los procesos  mejorados</w:t>
      </w:r>
    </w:p>
    <w:p w:rsidR="00000000" w:rsidDel="00000000" w:rsidP="00000000" w:rsidRDefault="00000000" w:rsidRPr="00000000" w14:paraId="0000001C">
      <w:pPr>
        <w:ind w:firstLine="720"/>
        <w:contextualSpacing w:val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2.2 Flujos de dinero, materiales e información en la cadena de suministros</w:t>
      </w:r>
    </w:p>
    <w:p w:rsidR="00000000" w:rsidDel="00000000" w:rsidP="00000000" w:rsidRDefault="00000000" w:rsidRPr="00000000" w14:paraId="0000001D">
      <w:pPr>
        <w:ind w:firstLine="720"/>
        <w:contextualSpacing w:val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2.3 Costo de implementación del ERP</w:t>
      </w:r>
    </w:p>
    <w:p w:rsidR="00000000" w:rsidDel="00000000" w:rsidP="00000000" w:rsidRDefault="00000000" w:rsidRPr="00000000" w14:paraId="0000001E">
      <w:pPr>
        <w:ind w:firstLine="720"/>
        <w:contextualSpacing w:val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2.4 Métricas para controlar el desempeño por àrea</w:t>
      </w:r>
    </w:p>
    <w:p w:rsidR="00000000" w:rsidDel="00000000" w:rsidP="00000000" w:rsidRDefault="00000000" w:rsidRPr="00000000" w14:paraId="0000001F">
      <w:pPr>
        <w:contextualSpacing w:val="0"/>
        <w:rPr>
          <w:b w:val="1"/>
          <w:highlight w:val="cyan"/>
        </w:rPr>
      </w:pPr>
      <w:r w:rsidDel="00000000" w:rsidR="00000000" w:rsidRPr="00000000">
        <w:rPr>
          <w:b w:val="1"/>
          <w:highlight w:val="cyan"/>
          <w:rtl w:val="0"/>
        </w:rPr>
        <w:t xml:space="preserve">3 ANÁLISIS DE LA ADQUISICIÓN DE IT</w:t>
      </w:r>
    </w:p>
    <w:p w:rsidR="00000000" w:rsidDel="00000000" w:rsidP="00000000" w:rsidRDefault="00000000" w:rsidRPr="00000000" w14:paraId="00000020">
      <w:pPr>
        <w:ind w:firstLine="72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3.1 Necesidades de los Stakeholders y de la empresa-COBIT Appendix D</w:t>
      </w:r>
    </w:p>
    <w:p w:rsidR="00000000" w:rsidDel="00000000" w:rsidP="00000000" w:rsidRDefault="00000000" w:rsidRPr="00000000" w14:paraId="00000021">
      <w:pPr>
        <w:ind w:firstLine="72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3.2 Mapa de goles de IT vs goles de procesamiento —IT-related Processes, COBIT Appendix C</w:t>
      </w:r>
    </w:p>
    <w:p w:rsidR="00000000" w:rsidDel="00000000" w:rsidP="00000000" w:rsidRDefault="00000000" w:rsidRPr="00000000" w14:paraId="00000022">
      <w:pPr>
        <w:contextualSpacing w:val="0"/>
        <w:rPr>
          <w:b w:val="1"/>
          <w:highlight w:val="cyan"/>
        </w:rPr>
      </w:pPr>
      <w:r w:rsidDel="00000000" w:rsidR="00000000" w:rsidRPr="00000000">
        <w:rPr>
          <w:b w:val="1"/>
          <w:highlight w:val="cyan"/>
          <w:rtl w:val="0"/>
        </w:rPr>
        <w:t xml:space="preserve">4 ALINEACIÓN ESTRATÉGICA DE IT</w:t>
      </w:r>
    </w:p>
    <w:p w:rsidR="00000000" w:rsidDel="00000000" w:rsidP="00000000" w:rsidRDefault="00000000" w:rsidRPr="00000000" w14:paraId="00000023">
      <w:pPr>
        <w:ind w:left="720" w:firstLine="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4.1 Beneficiarios -Ejemplo valIT pg 12</w:t>
      </w:r>
    </w:p>
    <w:p w:rsidR="00000000" w:rsidDel="00000000" w:rsidP="00000000" w:rsidRDefault="00000000" w:rsidRPr="00000000" w14:paraId="00000024">
      <w:pPr>
        <w:ind w:left="720" w:firstLine="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4.2 Presupuestos</w:t>
      </w:r>
    </w:p>
    <w:p w:rsidR="00000000" w:rsidDel="00000000" w:rsidP="00000000" w:rsidRDefault="00000000" w:rsidRPr="00000000" w14:paraId="00000025">
      <w:pPr>
        <w:ind w:left="720" w:firstLine="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4.3 Organigrama con el proyecto de implementación -Ejemplo valIT pg 12</w:t>
      </w:r>
    </w:p>
    <w:p w:rsidR="00000000" w:rsidDel="00000000" w:rsidP="00000000" w:rsidRDefault="00000000" w:rsidRPr="00000000" w14:paraId="00000026">
      <w:pPr>
        <w:ind w:left="720" w:firstLine="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4.4 Arquitectura del sistema</w:t>
      </w:r>
    </w:p>
    <w:p w:rsidR="00000000" w:rsidDel="00000000" w:rsidP="00000000" w:rsidRDefault="00000000" w:rsidRPr="00000000" w14:paraId="00000027">
      <w:pPr>
        <w:ind w:left="720" w:firstLine="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ab/>
        <w:t xml:space="preserve">4.4.1 Descripción del Hardware</w:t>
      </w:r>
    </w:p>
    <w:p w:rsidR="00000000" w:rsidDel="00000000" w:rsidP="00000000" w:rsidRDefault="00000000" w:rsidRPr="00000000" w14:paraId="00000028">
      <w:pPr>
        <w:ind w:left="720" w:firstLine="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ab/>
        <w:t xml:space="preserve">4.4.2 Descripción del Software</w:t>
      </w:r>
    </w:p>
    <w:p w:rsidR="00000000" w:rsidDel="00000000" w:rsidP="00000000" w:rsidRDefault="00000000" w:rsidRPr="00000000" w14:paraId="00000029">
      <w:pPr>
        <w:ind w:left="720" w:firstLine="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ab/>
        <w:t xml:space="preserve">4.4.3 Descripción del Humanware</w:t>
      </w:r>
    </w:p>
    <w:p w:rsidR="00000000" w:rsidDel="00000000" w:rsidP="00000000" w:rsidRDefault="00000000" w:rsidRPr="00000000" w14:paraId="0000002A">
      <w:pPr>
        <w:ind w:left="720" w:firstLine="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ab/>
        <w:t xml:space="preserve">4.4.4 Descripción del Netware</w:t>
      </w:r>
    </w:p>
    <w:p w:rsidR="00000000" w:rsidDel="00000000" w:rsidP="00000000" w:rsidRDefault="00000000" w:rsidRPr="00000000" w14:paraId="0000002B">
      <w:pPr>
        <w:ind w:left="720" w:firstLine="0"/>
        <w:contextualSpacing w:val="0"/>
        <w:rPr>
          <w:highlight w:val="cyan"/>
        </w:rPr>
      </w:pPr>
      <w:r w:rsidDel="00000000" w:rsidR="00000000" w:rsidRPr="00000000">
        <w:rPr>
          <w:highlight w:val="cyan"/>
          <w:rtl w:val="0"/>
        </w:rPr>
        <w:tab/>
        <w:t xml:space="preserve">4.4.5 Descripción del Supportare</w:t>
      </w:r>
    </w:p>
    <w:p w:rsidR="00000000" w:rsidDel="00000000" w:rsidP="00000000" w:rsidRDefault="00000000" w:rsidRPr="00000000" w14:paraId="0000002C">
      <w:pPr>
        <w:ind w:left="720" w:firstLine="0"/>
        <w:contextualSpacing w:val="0"/>
        <w:rPr>
          <w:b w:val="1"/>
          <w:color w:val="ffffff"/>
          <w:highlight w:val="magenta"/>
        </w:rPr>
      </w:pPr>
      <w:r w:rsidDel="00000000" w:rsidR="00000000" w:rsidRPr="00000000">
        <w:rPr>
          <w:b w:val="1"/>
          <w:color w:val="ffffff"/>
          <w:highlight w:val="magenta"/>
          <w:rtl w:val="0"/>
        </w:rPr>
        <w:t xml:space="preserve">4.5 DETERMINACIÓN DE COSTOS , BENEFICIOS Y RIESGOS</w:t>
      </w:r>
    </w:p>
    <w:p w:rsidR="00000000" w:rsidDel="00000000" w:rsidP="00000000" w:rsidRDefault="00000000" w:rsidRPr="00000000" w14:paraId="0000002D">
      <w:pPr>
        <w:ind w:left="720" w:firstLine="720"/>
        <w:contextualSpacing w:val="0"/>
        <w:rPr>
          <w:color w:val="ffffff"/>
          <w:highlight w:val="magenta"/>
        </w:rPr>
      </w:pPr>
      <w:r w:rsidDel="00000000" w:rsidR="00000000" w:rsidRPr="00000000">
        <w:rPr>
          <w:color w:val="ffffff"/>
          <w:highlight w:val="magenta"/>
          <w:rtl w:val="0"/>
        </w:rPr>
        <w:t xml:space="preserve">4.5.1 Análisis de beneficios financieros - pdf 6.Técnicas y métodos , -pdf 7.Identificacion y cuantificacion</w:t>
      </w:r>
    </w:p>
    <w:p w:rsidR="00000000" w:rsidDel="00000000" w:rsidP="00000000" w:rsidRDefault="00000000" w:rsidRPr="00000000" w14:paraId="0000002E">
      <w:pPr>
        <w:ind w:left="1440" w:firstLine="720"/>
        <w:contextualSpacing w:val="0"/>
        <w:rPr>
          <w:color w:val="ffffff"/>
          <w:highlight w:val="magenta"/>
        </w:rPr>
      </w:pPr>
      <w:r w:rsidDel="00000000" w:rsidR="00000000" w:rsidRPr="00000000">
        <w:rPr>
          <w:color w:val="ffffff"/>
          <w:highlight w:val="magenta"/>
          <w:rtl w:val="0"/>
        </w:rPr>
        <w:t xml:space="preserve">4.5.1.1 Ingresos</w:t>
      </w:r>
    </w:p>
    <w:p w:rsidR="00000000" w:rsidDel="00000000" w:rsidP="00000000" w:rsidRDefault="00000000" w:rsidRPr="00000000" w14:paraId="0000002F">
      <w:pPr>
        <w:ind w:left="1440" w:firstLine="720"/>
        <w:contextualSpacing w:val="0"/>
        <w:rPr>
          <w:color w:val="ffffff"/>
          <w:highlight w:val="magenta"/>
        </w:rPr>
      </w:pPr>
      <w:r w:rsidDel="00000000" w:rsidR="00000000" w:rsidRPr="00000000">
        <w:rPr>
          <w:color w:val="ffffff"/>
          <w:highlight w:val="magenta"/>
          <w:rtl w:val="0"/>
        </w:rPr>
        <w:tab/>
        <w:t xml:space="preserve">4.5.1.1.1 Viáticos -Página 39 Ejemplo Val IT</w:t>
      </w:r>
    </w:p>
    <w:p w:rsidR="00000000" w:rsidDel="00000000" w:rsidP="00000000" w:rsidRDefault="00000000" w:rsidRPr="00000000" w14:paraId="00000030">
      <w:pPr>
        <w:ind w:left="2160" w:firstLine="720"/>
        <w:contextualSpacing w:val="0"/>
        <w:rPr>
          <w:color w:val="ffffff"/>
          <w:highlight w:val="magenta"/>
        </w:rPr>
      </w:pPr>
      <w:r w:rsidDel="00000000" w:rsidR="00000000" w:rsidRPr="00000000">
        <w:rPr>
          <w:color w:val="ffffff"/>
          <w:highlight w:val="magenta"/>
          <w:rtl w:val="0"/>
        </w:rPr>
        <w:t xml:space="preserve">4.5.1.1.2 Sueldos -Página 40 Ejemplo Val IT</w:t>
      </w:r>
    </w:p>
    <w:p w:rsidR="00000000" w:rsidDel="00000000" w:rsidP="00000000" w:rsidRDefault="00000000" w:rsidRPr="00000000" w14:paraId="00000031">
      <w:pPr>
        <w:ind w:left="1440" w:firstLine="720"/>
        <w:contextualSpacing w:val="0"/>
        <w:rPr>
          <w:color w:val="ffffff"/>
          <w:highlight w:val="magenta"/>
        </w:rPr>
      </w:pPr>
      <w:r w:rsidDel="00000000" w:rsidR="00000000" w:rsidRPr="00000000">
        <w:rPr>
          <w:color w:val="ffffff"/>
          <w:highlight w:val="magenta"/>
          <w:rtl w:val="0"/>
        </w:rPr>
        <w:tab/>
        <w:t xml:space="preserve">4.5.1.1.3 Presupuesto de Hardware -Página 40 Ejemplo Val IT</w:t>
      </w:r>
    </w:p>
    <w:p w:rsidR="00000000" w:rsidDel="00000000" w:rsidP="00000000" w:rsidRDefault="00000000" w:rsidRPr="00000000" w14:paraId="00000032">
      <w:pPr>
        <w:ind w:left="1440" w:firstLine="720"/>
        <w:contextualSpacing w:val="0"/>
        <w:rPr>
          <w:color w:val="ffffff"/>
          <w:highlight w:val="magenta"/>
        </w:rPr>
      </w:pPr>
      <w:r w:rsidDel="00000000" w:rsidR="00000000" w:rsidRPr="00000000">
        <w:rPr>
          <w:color w:val="ffffff"/>
          <w:highlight w:val="magenta"/>
          <w:rtl w:val="0"/>
        </w:rPr>
        <w:tab/>
        <w:t xml:space="preserve">4.5.1.1.4 Presupuesto de Software -Página 40 Ejemplo Val IT</w:t>
      </w:r>
    </w:p>
    <w:p w:rsidR="00000000" w:rsidDel="00000000" w:rsidP="00000000" w:rsidRDefault="00000000" w:rsidRPr="00000000" w14:paraId="00000033">
      <w:pPr>
        <w:ind w:left="1440" w:firstLine="720"/>
        <w:contextualSpacing w:val="0"/>
        <w:rPr>
          <w:color w:val="ffffff"/>
          <w:highlight w:val="magenta"/>
        </w:rPr>
      </w:pPr>
      <w:r w:rsidDel="00000000" w:rsidR="00000000" w:rsidRPr="00000000">
        <w:rPr>
          <w:color w:val="ffffff"/>
          <w:highlight w:val="magenta"/>
          <w:rtl w:val="0"/>
        </w:rPr>
        <w:tab/>
        <w:t xml:space="preserve">4.5.1.1.5 Presupuesto de Inversión  -Página 41 Ejemplo Val IT</w:t>
      </w:r>
    </w:p>
    <w:p w:rsidR="00000000" w:rsidDel="00000000" w:rsidP="00000000" w:rsidRDefault="00000000" w:rsidRPr="00000000" w14:paraId="00000034">
      <w:pPr>
        <w:ind w:left="1440" w:firstLine="72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 xml:space="preserve">4.5.1.2 Costos  -pdf Caso de Estudio pg 229 </w:t>
      </w:r>
    </w:p>
    <w:p w:rsidR="00000000" w:rsidDel="00000000" w:rsidP="00000000" w:rsidRDefault="00000000" w:rsidRPr="00000000" w14:paraId="00000035">
      <w:pPr>
        <w:ind w:left="1440" w:firstLine="72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ab/>
        <w:t xml:space="preserve">4.5.1.2.1 Sueldos  -Página 41 Ejemplo Val IT</w:t>
      </w:r>
    </w:p>
    <w:p w:rsidR="00000000" w:rsidDel="00000000" w:rsidP="00000000" w:rsidRDefault="00000000" w:rsidRPr="00000000" w14:paraId="00000036">
      <w:pPr>
        <w:ind w:left="1440" w:firstLine="72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ab/>
        <w:t xml:space="preserve">4.5.1.2.2 Mantenimiento  -Página 42  Ejemplo Val IT</w:t>
      </w:r>
    </w:p>
    <w:p w:rsidR="00000000" w:rsidDel="00000000" w:rsidP="00000000" w:rsidRDefault="00000000" w:rsidRPr="00000000" w14:paraId="00000037">
      <w:pPr>
        <w:ind w:left="1440" w:firstLine="72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ab/>
        <w:t xml:space="preserve">4.5.1.2.3 Soporte y Actualización -Pagina 42 Ejemplo Val IT</w:t>
      </w:r>
    </w:p>
    <w:p w:rsidR="00000000" w:rsidDel="00000000" w:rsidP="00000000" w:rsidRDefault="00000000" w:rsidRPr="00000000" w14:paraId="00000038">
      <w:pPr>
        <w:ind w:left="1440" w:firstLine="72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ab/>
        <w:t xml:space="preserve">4.5.1.2.4 Depreciación del equipo -Página 42, 43 Ejemplo Val IT</w:t>
      </w:r>
    </w:p>
    <w:p w:rsidR="00000000" w:rsidDel="00000000" w:rsidP="00000000" w:rsidRDefault="00000000" w:rsidRPr="00000000" w14:paraId="00000039">
      <w:pPr>
        <w:ind w:left="1440" w:firstLine="72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ab/>
        <w:t xml:space="preserve">4.5.1.2.5 Amortización -Página 43 Ejemplo Val IT</w:t>
      </w:r>
    </w:p>
    <w:p w:rsidR="00000000" w:rsidDel="00000000" w:rsidP="00000000" w:rsidRDefault="00000000" w:rsidRPr="00000000" w14:paraId="0000003A">
      <w:pPr>
        <w:ind w:left="1440" w:firstLine="72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ab/>
        <w:t xml:space="preserve">4.5.1.2.6 Flujo Neto de Efectivo -Página 44 Ejemplo Val IT</w:t>
      </w:r>
    </w:p>
    <w:p w:rsidR="00000000" w:rsidDel="00000000" w:rsidP="00000000" w:rsidRDefault="00000000" w:rsidRPr="00000000" w14:paraId="0000003B">
      <w:pPr>
        <w:ind w:left="720" w:firstLine="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highlight w:val="red"/>
          <w:rtl w:val="0"/>
        </w:rPr>
        <w:tab/>
        <w:tab/>
      </w:r>
      <w:r w:rsidDel="00000000" w:rsidR="00000000" w:rsidRPr="00000000">
        <w:rPr>
          <w:color w:val="ffffff"/>
          <w:shd w:fill="4a86e8" w:val="clear"/>
          <w:rtl w:val="0"/>
        </w:rPr>
        <w:t xml:space="preserve">4.5.1.3 Evaluación económica de  la inversión</w:t>
      </w:r>
    </w:p>
    <w:p w:rsidR="00000000" w:rsidDel="00000000" w:rsidP="00000000" w:rsidRDefault="00000000" w:rsidRPr="00000000" w14:paraId="0000003C">
      <w:pPr>
        <w:ind w:left="720" w:firstLine="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ab/>
        <w:tab/>
        <w:tab/>
        <w:t xml:space="preserve">4.5.1.3.1 VPN</w:t>
      </w:r>
    </w:p>
    <w:p w:rsidR="00000000" w:rsidDel="00000000" w:rsidP="00000000" w:rsidRDefault="00000000" w:rsidRPr="00000000" w14:paraId="0000003D">
      <w:pPr>
        <w:ind w:left="720" w:firstLine="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ab/>
        <w:tab/>
        <w:tab/>
        <w:t xml:space="preserve">4.5.1.3.2 TMAR</w:t>
      </w:r>
    </w:p>
    <w:p w:rsidR="00000000" w:rsidDel="00000000" w:rsidP="00000000" w:rsidRDefault="00000000" w:rsidRPr="00000000" w14:paraId="0000003E">
      <w:pPr>
        <w:ind w:left="720" w:firstLine="0"/>
        <w:contextualSpacing w:val="0"/>
        <w:rPr>
          <w:color w:val="ffffff"/>
          <w:shd w:fill="4a86e8" w:val="clear"/>
        </w:rPr>
      </w:pPr>
      <w:r w:rsidDel="00000000" w:rsidR="00000000" w:rsidRPr="00000000">
        <w:rPr>
          <w:color w:val="ffffff"/>
          <w:shd w:fill="4a86e8" w:val="clear"/>
          <w:rtl w:val="0"/>
        </w:rPr>
        <w:tab/>
        <w:tab/>
        <w:tab/>
        <w:t xml:space="preserve">4.5.1.3.3 TIR</w:t>
      </w:r>
    </w:p>
    <w:p w:rsidR="00000000" w:rsidDel="00000000" w:rsidP="00000000" w:rsidRDefault="00000000" w:rsidRPr="00000000" w14:paraId="0000003F">
      <w:pPr>
        <w:ind w:left="720" w:firstLine="0"/>
        <w:contextualSpacing w:val="0"/>
        <w:rPr>
          <w:color w:val="ffffff"/>
          <w:highlight w:val="red"/>
        </w:rPr>
      </w:pPr>
      <w:r w:rsidDel="00000000" w:rsidR="00000000" w:rsidRPr="00000000">
        <w:rPr>
          <w:color w:val="ffffff"/>
          <w:highlight w:val="red"/>
          <w:rtl w:val="0"/>
        </w:rPr>
        <w:tab/>
        <w:tab/>
        <w:t xml:space="preserve">4.5.1.4 En concordancia con VAL IT</w:t>
      </w:r>
    </w:p>
    <w:p w:rsidR="00000000" w:rsidDel="00000000" w:rsidP="00000000" w:rsidRDefault="00000000" w:rsidRPr="00000000" w14:paraId="00000040">
      <w:pPr>
        <w:ind w:left="720" w:firstLine="0"/>
        <w:contextualSpacing w:val="0"/>
        <w:rPr>
          <w:color w:val="ffffff"/>
          <w:highlight w:val="red"/>
        </w:rPr>
      </w:pPr>
      <w:r w:rsidDel="00000000" w:rsidR="00000000" w:rsidRPr="00000000">
        <w:rPr>
          <w:color w:val="ffffff"/>
          <w:highlight w:val="red"/>
          <w:rtl w:val="0"/>
        </w:rPr>
        <w:tab/>
        <w:t xml:space="preserve">4.5.2 Análisis de Beneficios no financieros -pdf Caso de Estudio pg 230</w:t>
      </w:r>
    </w:p>
    <w:p w:rsidR="00000000" w:rsidDel="00000000" w:rsidP="00000000" w:rsidRDefault="00000000" w:rsidRPr="00000000" w14:paraId="00000041">
      <w:pPr>
        <w:ind w:left="1440" w:firstLine="720"/>
        <w:contextualSpacing w:val="0"/>
        <w:rPr>
          <w:color w:val="ffffff"/>
          <w:highlight w:val="red"/>
        </w:rPr>
      </w:pPr>
      <w:r w:rsidDel="00000000" w:rsidR="00000000" w:rsidRPr="00000000">
        <w:rPr>
          <w:color w:val="ffffff"/>
          <w:highlight w:val="red"/>
          <w:rtl w:val="0"/>
        </w:rPr>
        <w:t xml:space="preserve">4.5.2.1 Cursograma de beneficios obtenidos</w:t>
      </w:r>
    </w:p>
    <w:p w:rsidR="00000000" w:rsidDel="00000000" w:rsidP="00000000" w:rsidRDefault="00000000" w:rsidRPr="00000000" w14:paraId="00000042">
      <w:pPr>
        <w:ind w:left="1440" w:firstLine="0"/>
        <w:contextualSpacing w:val="0"/>
        <w:rPr>
          <w:color w:val="ffffff"/>
          <w:highlight w:val="red"/>
        </w:rPr>
      </w:pPr>
      <w:r w:rsidDel="00000000" w:rsidR="00000000" w:rsidRPr="00000000">
        <w:rPr>
          <w:color w:val="ffffff"/>
          <w:highlight w:val="red"/>
          <w:rtl w:val="0"/>
        </w:rPr>
        <w:t xml:space="preserve">4.5.3 Análisis de Riesgos -Ejemplo Val IT pg22, -pdf Caso de Estudio pg 234 y 235</w:t>
      </w:r>
    </w:p>
    <w:p w:rsidR="00000000" w:rsidDel="00000000" w:rsidP="00000000" w:rsidRDefault="00000000" w:rsidRPr="00000000" w14:paraId="00000043">
      <w:pPr>
        <w:contextualSpacing w:val="0"/>
        <w:rPr>
          <w:color w:val="ffffff"/>
          <w:highlight w:val="red"/>
        </w:rPr>
      </w:pPr>
      <w:r w:rsidDel="00000000" w:rsidR="00000000" w:rsidRPr="00000000">
        <w:rPr>
          <w:color w:val="ffffff"/>
          <w:highlight w:val="red"/>
          <w:rtl w:val="0"/>
        </w:rPr>
        <w:tab/>
        <w:tab/>
        <w:t xml:space="preserve">4.5.4 Hoja de datos -Página 34 Ejemplo Val IT</w:t>
      </w:r>
    </w:p>
    <w:p w:rsidR="00000000" w:rsidDel="00000000" w:rsidP="00000000" w:rsidRDefault="00000000" w:rsidRPr="00000000" w14:paraId="00000044">
      <w:pPr>
        <w:ind w:left="720" w:firstLine="0"/>
        <w:contextualSpacing w:val="0"/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5 GESTIÓN DE PORTAFOLIO</w:t>
      </w:r>
    </w:p>
    <w:p w:rsidR="00000000" w:rsidDel="00000000" w:rsidP="00000000" w:rsidRDefault="00000000" w:rsidRPr="00000000" w14:paraId="00000047">
      <w:pPr>
        <w:ind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5.1 LISTA DE COMPONENTES</w:t>
      </w:r>
    </w:p>
    <w:p w:rsidR="00000000" w:rsidDel="00000000" w:rsidP="00000000" w:rsidRDefault="00000000" w:rsidRPr="00000000" w14:paraId="00000048">
      <w:pPr>
        <w:ind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5.1.1 Definición de los componentes</w:t>
      </w:r>
    </w:p>
    <w:p w:rsidR="00000000" w:rsidDel="00000000" w:rsidP="00000000" w:rsidRDefault="00000000" w:rsidRPr="00000000" w14:paraId="00000049">
      <w:pPr>
        <w:ind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5.1.2 Tabla de descripción de las categorías y los componentes</w:t>
      </w:r>
    </w:p>
    <w:p w:rsidR="00000000" w:rsidDel="00000000" w:rsidP="00000000" w:rsidRDefault="00000000" w:rsidRPr="00000000" w14:paraId="0000004A">
      <w:pPr>
        <w:ind w:left="720"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5.1.3 Evaluación de componentes</w:t>
      </w:r>
    </w:p>
    <w:p w:rsidR="00000000" w:rsidDel="00000000" w:rsidP="00000000" w:rsidRDefault="00000000" w:rsidRPr="00000000" w14:paraId="0000004B">
      <w:pPr>
        <w:ind w:left="720"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5.1.4 Seleccionar componentes</w:t>
      </w:r>
    </w:p>
    <w:p w:rsidR="00000000" w:rsidDel="00000000" w:rsidP="00000000" w:rsidRDefault="00000000" w:rsidRPr="00000000" w14:paraId="0000004C">
      <w:pPr>
        <w:ind w:left="720"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5.1.5 Componentes por categoría estratégica</w:t>
      </w:r>
    </w:p>
    <w:p w:rsidR="00000000" w:rsidDel="00000000" w:rsidP="00000000" w:rsidRDefault="00000000" w:rsidRPr="00000000" w14:paraId="0000004D">
      <w:pPr>
        <w:ind w:left="720"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5.1.6 Lista de componentes priorizados</w:t>
      </w:r>
    </w:p>
    <w:p w:rsidR="00000000" w:rsidDel="00000000" w:rsidP="00000000" w:rsidRDefault="00000000" w:rsidRPr="00000000" w14:paraId="0000004E">
      <w:pPr>
        <w:ind w:left="720"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5.1.7 Càlculo de riesgo de los componentes</w:t>
      </w:r>
    </w:p>
    <w:p w:rsidR="00000000" w:rsidDel="00000000" w:rsidP="00000000" w:rsidRDefault="00000000" w:rsidRPr="00000000" w14:paraId="0000004F">
      <w:pPr>
        <w:ind w:left="720"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5.1.8 Recomendaciones de balance del portafolio</w:t>
      </w:r>
    </w:p>
    <w:p w:rsidR="00000000" w:rsidDel="00000000" w:rsidP="00000000" w:rsidRDefault="00000000" w:rsidRPr="00000000" w14:paraId="00000050">
      <w:pPr>
        <w:ind w:left="720" w:firstLine="72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5.1.9 Lista de componentes aprobados y no aprobados</w:t>
      </w:r>
    </w:p>
    <w:p w:rsidR="00000000" w:rsidDel="00000000" w:rsidP="00000000" w:rsidRDefault="00000000" w:rsidRPr="00000000" w14:paraId="00000051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6 CONCLUSIONES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contextualSpacing w:val="0"/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contextualSpacing w:val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720"/>
        <w:contextualSpacing w:val="0"/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sectPr>
      <w:pgSz w:h="16838" w:w="11906"/>
      <w:pgMar w:bottom="566.9291338582677" w:top="566.9291338582677" w:left="566.9291338582677" w:right="566.929133858267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roid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