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 DETERMINACIÓN DE COSTOS, BENEFICIOS Y RIESGOS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4.5.1 Análisis de beneficios financieros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4.5.1.1 Ingresos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contextualSpacing w:val="0"/>
        <w:jc w:val="both"/>
        <w:rPr>
          <w:rFonts w:ascii="Century Gothic" w:cs="Century Gothic" w:eastAsia="Century Gothic" w:hAnsi="Century Gothic"/>
        </w:rPr>
      </w:pPr>
      <w:bookmarkStart w:colFirst="0" w:colLast="0" w:name="_gjdgxs" w:id="0"/>
      <w:bookmarkEnd w:id="0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4.5 DETERMINACIÓN DE COSTOS, BENEFICIOS Y RIESGOS</w:t>
      </w:r>
    </w:p>
    <w:p w:rsidR="00000000" w:rsidDel="00000000" w:rsidP="00000000" w:rsidRDefault="00000000" w:rsidRPr="00000000" w14:paraId="00000007">
      <w:pPr>
        <w:pStyle w:val="Heading2"/>
        <w:contextualSpacing w:val="0"/>
        <w:jc w:val="both"/>
        <w:rPr>
          <w:rFonts w:ascii="Century Gothic" w:cs="Century Gothic" w:eastAsia="Century Gothic" w:hAnsi="Century Gothic"/>
        </w:rPr>
      </w:pPr>
      <w:bookmarkStart w:colFirst="0" w:colLast="0" w:name="_30j0zll" w:id="1"/>
      <w:bookmarkEnd w:id="1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4.5.1 Análisis de beneficios financieros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Aquí presentamos los beneficios en términos financieros, en donde se puede soportar la técnica del ejercicio en la valoración del valor real de la opción.</w:t>
      </w:r>
    </w:p>
    <w:p w:rsidR="00000000" w:rsidDel="00000000" w:rsidP="00000000" w:rsidRDefault="00000000" w:rsidRPr="00000000" w14:paraId="00000009">
      <w:pPr>
        <w:pStyle w:val="Heading3"/>
        <w:contextualSpacing w:val="0"/>
        <w:jc w:val="both"/>
        <w:rPr>
          <w:rFonts w:ascii="Century Gothic" w:cs="Century Gothic" w:eastAsia="Century Gothic" w:hAnsi="Century Gothic"/>
        </w:rPr>
      </w:pPr>
      <w:bookmarkStart w:colFirst="0" w:colLast="0" w:name="_1fob9te" w:id="2"/>
      <w:bookmarkEnd w:id="2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4.5.1.1 Ingresos</w:t>
      </w:r>
    </w:p>
    <w:p w:rsidR="00000000" w:rsidDel="00000000" w:rsidP="00000000" w:rsidRDefault="00000000" w:rsidRPr="00000000" w14:paraId="0000000A">
      <w:pPr>
        <w:pStyle w:val="Heading4"/>
        <w:contextualSpacing w:val="0"/>
        <w:jc w:val="both"/>
        <w:rPr>
          <w:rFonts w:ascii="Century Gothic" w:cs="Century Gothic" w:eastAsia="Century Gothic" w:hAnsi="Century Gothic"/>
          <w:i w:val="0"/>
        </w:rPr>
      </w:pPr>
      <w:r w:rsidDel="00000000" w:rsidR="00000000" w:rsidRPr="00000000">
        <w:rPr>
          <w:rFonts w:ascii="Century Gothic" w:cs="Century Gothic" w:eastAsia="Century Gothic" w:hAnsi="Century Gothic"/>
          <w:i w:val="0"/>
          <w:rtl w:val="0"/>
        </w:rPr>
        <w:t xml:space="preserve">4.5.1.1.1 Sueldos</w:t>
      </w:r>
    </w:p>
    <w:tbl>
      <w:tblPr>
        <w:tblStyle w:val="Table1"/>
        <w:tblW w:w="8838.0" w:type="dxa"/>
        <w:jc w:val="left"/>
        <w:tblInd w:w="0.0" w:type="dxa"/>
        <w:tblBorders>
          <w:top w:color="f4b083" w:space="0" w:sz="4" w:val="single"/>
          <w:left w:color="8eaadb" w:space="0" w:sz="4" w:val="single"/>
          <w:bottom w:color="f4b083" w:space="0" w:sz="4" w:val="single"/>
          <w:right w:color="8eaadb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4A0"/>
      </w:tblPr>
      <w:tblGrid>
        <w:gridCol w:w="1742"/>
        <w:gridCol w:w="1725"/>
        <w:gridCol w:w="1934"/>
        <w:gridCol w:w="1727"/>
        <w:gridCol w:w="1710"/>
        <w:tblGridChange w:id="0">
          <w:tblGrid>
            <w:gridCol w:w="1742"/>
            <w:gridCol w:w="1725"/>
            <w:gridCol w:w="1934"/>
            <w:gridCol w:w="1727"/>
            <w:gridCol w:w="1710"/>
          </w:tblGrid>
        </w:tblGridChange>
      </w:tblGrid>
      <w:tr>
        <w:tc>
          <w:tcPr>
            <w:gridSpan w:val="5"/>
            <w:vAlign w:val="center"/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rFonts w:ascii="Century Gothic" w:cs="Century Gothic" w:eastAsia="Century Gothic" w:hAnsi="Century Gothic"/>
                <w:b w:val="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rtl w:val="0"/>
              </w:rPr>
              <w:t xml:space="preserve">Sueldos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rFonts w:ascii="Century Gothic" w:cs="Century Gothic" w:eastAsia="Century Gothic" w:hAnsi="Century Gothic"/>
                <w:b w:val="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rtl w:val="0"/>
              </w:rPr>
              <w:t xml:space="preserve">Cantidad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Detalle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Remuneración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Tiempo Meses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Total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rFonts w:ascii="Century Gothic" w:cs="Century Gothic" w:eastAsia="Century Gothic" w:hAnsi="Century Gothic"/>
                <w:b w:val="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Día de Consultor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$500 USD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 (80 Días)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$40,000 USD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rFonts w:ascii="Century Gothic" w:cs="Century Gothic" w:eastAsia="Century Gothic" w:hAnsi="Century Gothic"/>
                <w:b w:val="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Recolección de materia prima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$500 USD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$6,000 USD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rFonts w:ascii="Century Gothic" w:cs="Century Gothic" w:eastAsia="Century Gothic" w:hAnsi="Century Gothic"/>
                <w:b w:val="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Producción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$550 USD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$46,200 USD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contextualSpacing w:val="0"/>
              <w:jc w:val="center"/>
              <w:rPr>
                <w:rFonts w:ascii="Century Gothic" w:cs="Century Gothic" w:eastAsia="Century Gothic" w:hAnsi="Century Gothic"/>
                <w:b w:val="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Cobranza y Pagos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$1,000 USD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$12,000 USD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contextualSpacing w:val="0"/>
              <w:jc w:val="center"/>
              <w:rPr>
                <w:rFonts w:ascii="Century Gothic" w:cs="Century Gothic" w:eastAsia="Century Gothic" w:hAnsi="Century Gothic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$104, 200 USD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>
          <w:rFonts w:ascii="Century Gothic" w:cs="Century Gothic" w:eastAsia="Century Gothic" w:hAnsi="Century Gothic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contextualSpacing w:val="0"/>
        <w:jc w:val="both"/>
        <w:rPr>
          <w:rFonts w:ascii="Century Gothic" w:cs="Century Gothic" w:eastAsia="Century Gothic" w:hAnsi="Century Gothic"/>
          <w:i w:val="0"/>
        </w:rPr>
      </w:pPr>
      <w:r w:rsidDel="00000000" w:rsidR="00000000" w:rsidRPr="00000000">
        <w:rPr>
          <w:rFonts w:ascii="Century Gothic" w:cs="Century Gothic" w:eastAsia="Century Gothic" w:hAnsi="Century Gothic"/>
          <w:i w:val="0"/>
          <w:rtl w:val="0"/>
        </w:rPr>
        <w:t xml:space="preserve"> 4.5.1.1.2 Presupuesto de Hardware</w:t>
      </w:r>
    </w:p>
    <w:tbl>
      <w:tblPr>
        <w:tblStyle w:val="Table2"/>
        <w:tblW w:w="8799.0" w:type="dxa"/>
        <w:jc w:val="left"/>
        <w:tblInd w:w="0.0" w:type="dxa"/>
        <w:tblBorders>
          <w:top w:color="f4b083" w:space="0" w:sz="4" w:val="single"/>
          <w:left w:color="8eaadb" w:space="0" w:sz="4" w:val="single"/>
          <w:bottom w:color="f4b083" w:space="0" w:sz="4" w:val="single"/>
          <w:right w:color="8eaadb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4A0"/>
      </w:tblPr>
      <w:tblGrid>
        <w:gridCol w:w="2180"/>
        <w:gridCol w:w="2156"/>
        <w:gridCol w:w="2156"/>
        <w:gridCol w:w="2307"/>
        <w:tblGridChange w:id="0">
          <w:tblGrid>
            <w:gridCol w:w="2180"/>
            <w:gridCol w:w="2156"/>
            <w:gridCol w:w="2156"/>
            <w:gridCol w:w="2307"/>
          </w:tblGrid>
        </w:tblGridChange>
      </w:tblGrid>
      <w:tr>
        <w:tc>
          <w:tcPr>
            <w:gridSpan w:val="4"/>
            <w:vAlign w:val="center"/>
          </w:tcPr>
          <w:p w:rsidR="00000000" w:rsidDel="00000000" w:rsidP="00000000" w:rsidRDefault="00000000" w:rsidRPr="00000000" w14:paraId="00000030">
            <w:pPr>
              <w:contextualSpacing w:val="0"/>
              <w:jc w:val="center"/>
              <w:rPr>
                <w:rFonts w:ascii="Century Gothic" w:cs="Century Gothic" w:eastAsia="Century Gothic" w:hAnsi="Century Gothic"/>
                <w:b w:val="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rtl w:val="0"/>
              </w:rPr>
              <w:t xml:space="preserve">Presupuesto Hardware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4">
            <w:pPr>
              <w:contextualSpacing w:val="0"/>
              <w:jc w:val="center"/>
              <w:rPr>
                <w:rFonts w:ascii="Century Gothic" w:cs="Century Gothic" w:eastAsia="Century Gothic" w:hAnsi="Century Gothic"/>
                <w:b w:val="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rtl w:val="0"/>
              </w:rPr>
              <w:t xml:space="preserve">Cantidad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Equipo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Costo Unitario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Total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8">
            <w:pPr>
              <w:contextualSpacing w:val="0"/>
              <w:jc w:val="center"/>
              <w:rPr>
                <w:rFonts w:ascii="Century Gothic" w:cs="Century Gothic" w:eastAsia="Century Gothic" w:hAnsi="Century Gothic"/>
                <w:b w:val="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Servidor Hp Proliant Ml30 Gen9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$990.64 USD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$990.64 USD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C">
            <w:pPr>
              <w:contextualSpacing w:val="0"/>
              <w:jc w:val="center"/>
              <w:rPr>
                <w:rFonts w:ascii="Century Gothic" w:cs="Century Gothic" w:eastAsia="Century Gothic" w:hAnsi="Century Gothic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contextualSpacing w:val="0"/>
              <w:jc w:val="center"/>
              <w:rPr>
                <w:rFonts w:ascii="Century Gothic" w:cs="Century Gothic" w:eastAsia="Century Gothic" w:hAnsi="Century Gothic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$990.64 USD</w:t>
            </w:r>
          </w:p>
        </w:tc>
      </w:tr>
    </w:tbl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contextualSpacing w:val="0"/>
        <w:jc w:val="both"/>
        <w:rPr>
          <w:rFonts w:ascii="Century Gothic" w:cs="Century Gothic" w:eastAsia="Century Gothic" w:hAnsi="Century Gothic"/>
          <w:i w:val="0"/>
        </w:rPr>
      </w:pPr>
      <w:r w:rsidDel="00000000" w:rsidR="00000000" w:rsidRPr="00000000">
        <w:rPr>
          <w:rFonts w:ascii="Century Gothic" w:cs="Century Gothic" w:eastAsia="Century Gothic" w:hAnsi="Century Gothic"/>
          <w:i w:val="0"/>
          <w:rtl w:val="0"/>
        </w:rPr>
        <w:t xml:space="preserve"> 4.5.1.1.3 Presupuesto de Software</w:t>
      </w:r>
    </w:p>
    <w:tbl>
      <w:tblPr>
        <w:tblStyle w:val="Table3"/>
        <w:tblW w:w="8799.0" w:type="dxa"/>
        <w:jc w:val="left"/>
        <w:tblInd w:w="0.0" w:type="dxa"/>
        <w:tblBorders>
          <w:top w:color="f4b083" w:space="0" w:sz="4" w:val="single"/>
          <w:left w:color="8eaadb" w:space="0" w:sz="4" w:val="single"/>
          <w:bottom w:color="f4b083" w:space="0" w:sz="4" w:val="single"/>
          <w:right w:color="8eaadb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4A0"/>
      </w:tblPr>
      <w:tblGrid>
        <w:gridCol w:w="2180"/>
        <w:gridCol w:w="2156"/>
        <w:gridCol w:w="2156"/>
        <w:gridCol w:w="2307"/>
        <w:tblGridChange w:id="0">
          <w:tblGrid>
            <w:gridCol w:w="2180"/>
            <w:gridCol w:w="2156"/>
            <w:gridCol w:w="2156"/>
            <w:gridCol w:w="2307"/>
          </w:tblGrid>
        </w:tblGridChange>
      </w:tblGrid>
      <w:tr>
        <w:tc>
          <w:tcPr>
            <w:gridSpan w:val="4"/>
            <w:vAlign w:val="center"/>
          </w:tcPr>
          <w:p w:rsidR="00000000" w:rsidDel="00000000" w:rsidP="00000000" w:rsidRDefault="00000000" w:rsidRPr="00000000" w14:paraId="00000047">
            <w:pPr>
              <w:contextualSpacing w:val="0"/>
              <w:jc w:val="center"/>
              <w:rPr>
                <w:rFonts w:ascii="Century Gothic" w:cs="Century Gothic" w:eastAsia="Century Gothic" w:hAnsi="Century Gothic"/>
                <w:b w:val="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rtl w:val="0"/>
              </w:rPr>
              <w:t xml:space="preserve">Presupuesto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B">
            <w:pPr>
              <w:contextualSpacing w:val="0"/>
              <w:jc w:val="center"/>
              <w:rPr>
                <w:rFonts w:ascii="Century Gothic" w:cs="Century Gothic" w:eastAsia="Century Gothic" w:hAnsi="Century Gothic"/>
                <w:b w:val="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rtl w:val="0"/>
              </w:rPr>
              <w:t xml:space="preserve">Cantidad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Equipo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Costo Unitario / Año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Total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F">
            <w:pPr>
              <w:contextualSpacing w:val="0"/>
              <w:jc w:val="center"/>
              <w:rPr>
                <w:rFonts w:ascii="Century Gothic" w:cs="Century Gothic" w:eastAsia="Century Gothic" w:hAnsi="Century Gothic"/>
                <w:b w:val="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Licencia ERP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$1,300 USD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$1,300 USD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3">
            <w:pPr>
              <w:contextualSpacing w:val="0"/>
              <w:jc w:val="center"/>
              <w:rPr>
                <w:rFonts w:ascii="Century Gothic" w:cs="Century Gothic" w:eastAsia="Century Gothic" w:hAnsi="Century Gothic"/>
                <w:b w:val="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Windows 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$501 USD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$501 USD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contextualSpacing w:val="0"/>
              <w:jc w:val="center"/>
              <w:rPr>
                <w:rFonts w:ascii="Century Gothic" w:cs="Century Gothic" w:eastAsia="Century Gothic" w:hAnsi="Century Gothic"/>
                <w:b w:val="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Windows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$20 USD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$80 USD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contextualSpacing w:val="0"/>
              <w:jc w:val="center"/>
              <w:rPr>
                <w:rFonts w:ascii="Century Gothic" w:cs="Century Gothic" w:eastAsia="Century Gothic" w:hAnsi="Century Gothic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$1,881 USD</w:t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contextualSpacing w:val="0"/>
        <w:jc w:val="both"/>
        <w:rPr>
          <w:rFonts w:ascii="Century Gothic" w:cs="Century Gothic" w:eastAsia="Century Gothic" w:hAnsi="Century Gothic"/>
          <w:i w:val="0"/>
        </w:rPr>
      </w:pPr>
      <w:r w:rsidDel="00000000" w:rsidR="00000000" w:rsidRPr="00000000">
        <w:rPr>
          <w:rFonts w:ascii="Century Gothic" w:cs="Century Gothic" w:eastAsia="Century Gothic" w:hAnsi="Century Gothic"/>
          <w:i w:val="0"/>
          <w:rtl w:val="0"/>
        </w:rPr>
        <w:t xml:space="preserve"> 4.5.1.1.4 Presupuesto de Inversión</w:t>
      </w:r>
    </w:p>
    <w:tbl>
      <w:tblPr>
        <w:tblStyle w:val="Table4"/>
        <w:tblW w:w="8838.0" w:type="dxa"/>
        <w:jc w:val="left"/>
        <w:tblInd w:w="0.0" w:type="dxa"/>
        <w:tblBorders>
          <w:top w:color="f4b083" w:space="0" w:sz="4" w:val="single"/>
          <w:left w:color="8eaadb" w:space="0" w:sz="4" w:val="single"/>
          <w:bottom w:color="f4b083" w:space="0" w:sz="4" w:val="single"/>
          <w:right w:color="8eaadb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4A0"/>
      </w:tblPr>
      <w:tblGrid>
        <w:gridCol w:w="4196"/>
        <w:gridCol w:w="124"/>
        <w:gridCol w:w="4518"/>
        <w:tblGridChange w:id="0">
          <w:tblGrid>
            <w:gridCol w:w="4196"/>
            <w:gridCol w:w="124"/>
            <w:gridCol w:w="4518"/>
          </w:tblGrid>
        </w:tblGridChange>
      </w:tblGrid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65">
            <w:pPr>
              <w:contextualSpacing w:val="0"/>
              <w:jc w:val="center"/>
              <w:rPr>
                <w:rFonts w:ascii="Century Gothic" w:cs="Century Gothic" w:eastAsia="Century Gothic" w:hAnsi="Century Gothic"/>
                <w:b w:val="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rtl w:val="0"/>
              </w:rPr>
              <w:t xml:space="preserve">Presupuesto de Inversión fija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8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Concepto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9">
            <w:pPr>
              <w:contextualSpacing w:val="0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Importe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B">
            <w:pPr>
              <w:contextualSpacing w:val="0"/>
              <w:jc w:val="center"/>
              <w:rPr>
                <w:rFonts w:ascii="Century Gothic" w:cs="Century Gothic" w:eastAsia="Century Gothic" w:hAnsi="Century Gothic"/>
                <w:b w:val="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rtl w:val="0"/>
              </w:rPr>
              <w:t xml:space="preserve">Hardware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C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$990,64 USD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E">
            <w:pPr>
              <w:contextualSpacing w:val="0"/>
              <w:jc w:val="center"/>
              <w:rPr>
                <w:rFonts w:ascii="Century Gothic" w:cs="Century Gothic" w:eastAsia="Century Gothic" w:hAnsi="Century Gothic"/>
                <w:b w:val="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rtl w:val="0"/>
              </w:rPr>
              <w:t xml:space="preserve">Software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F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$1,881 USD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1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TOTAL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2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$2,871 USD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4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5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77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rtl w:val="0"/>
              </w:rPr>
              <w:t xml:space="preserve">Presupuesto de Inversión Inicial Total</w:t>
            </w:r>
          </w:p>
        </w:tc>
      </w:tr>
      <w:tr>
        <w:trPr>
          <w:trHeight w:val="3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A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Concepto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contextualSpacing w:val="0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Importe</w:t>
            </w:r>
          </w:p>
        </w:tc>
      </w:tr>
      <w:tr>
        <w:trPr>
          <w:trHeight w:val="3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D">
            <w:pPr>
              <w:contextualSpacing w:val="0"/>
              <w:jc w:val="center"/>
              <w:rPr>
                <w:rFonts w:ascii="Century Gothic" w:cs="Century Gothic" w:eastAsia="Century Gothic" w:hAnsi="Century Gothic"/>
                <w:b w:val="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rtl w:val="0"/>
              </w:rPr>
              <w:t xml:space="preserve">Inversión Fija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$2,871 USD</w:t>
            </w:r>
          </w:p>
        </w:tc>
      </w:tr>
      <w:tr>
        <w:trPr>
          <w:trHeight w:val="3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0">
            <w:pPr>
              <w:contextualSpacing w:val="0"/>
              <w:jc w:val="center"/>
              <w:rPr>
                <w:rFonts w:ascii="Century Gothic" w:cs="Century Gothic" w:eastAsia="Century Gothic" w:hAnsi="Century Gothic"/>
                <w:b w:val="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rtl w:val="0"/>
              </w:rPr>
              <w:t xml:space="preserve">Inversión Diferida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-</w:t>
            </w:r>
          </w:p>
        </w:tc>
      </w:tr>
      <w:tr>
        <w:trPr>
          <w:trHeight w:val="3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3">
            <w:pPr>
              <w:contextualSpacing w:val="0"/>
              <w:jc w:val="center"/>
              <w:rPr>
                <w:rFonts w:ascii="Century Gothic" w:cs="Century Gothic" w:eastAsia="Century Gothic" w:hAnsi="Century Gothic"/>
                <w:b w:val="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$2,871 USD</w:t>
            </w:r>
          </w:p>
        </w:tc>
      </w:tr>
    </w:tbl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0"/>
      <w:i w:val="0"/>
      <w:smallCaps w:val="0"/>
      <w:strike w:val="0"/>
      <w:color w:val="1f3863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0"/>
      <w:i w:val="1"/>
      <w:smallCaps w:val="0"/>
      <w:strike w:val="0"/>
      <w:color w:val="2f549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shd w:fill="fbe5d5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shd w:fill="fbe5d5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</w:rPr>
      <w:tcPr>
        <w:tcBorders>
          <w:top w:color="000000" w:space="0" w:sz="0" w:val="nil"/>
          <w:bottom w:color="f4b083" w:space="0" w:sz="12" w:val="single"/>
          <w:insideH w:color="000000" w:space="0" w:sz="0" w:val="nil"/>
          <w:insideV w:color="000000" w:space="0" w:sz="0" w:val="nil"/>
        </w:tcBorders>
        <w:shd w:fill="fffff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f4b083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shd w:fill="fbe5d5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shd w:fill="fbe5d5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</w:rPr>
      <w:tcPr>
        <w:tcBorders>
          <w:top w:color="000000" w:space="0" w:sz="0" w:val="nil"/>
          <w:bottom w:color="f4b083" w:space="0" w:sz="12" w:val="single"/>
          <w:insideH w:color="000000" w:space="0" w:sz="0" w:val="nil"/>
          <w:insideV w:color="000000" w:space="0" w:sz="0" w:val="nil"/>
        </w:tcBorders>
        <w:shd w:fill="fffff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f4b083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/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shd w:fill="fbe5d5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shd w:fill="fbe5d5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</w:rPr>
      <w:tcPr>
        <w:tcBorders>
          <w:top w:color="000000" w:space="0" w:sz="0" w:val="nil"/>
          <w:bottom w:color="f4b083" w:space="0" w:sz="12" w:val="single"/>
          <w:insideH w:color="000000" w:space="0" w:sz="0" w:val="nil"/>
          <w:insideV w:color="000000" w:space="0" w:sz="0" w:val="nil"/>
        </w:tcBorders>
        <w:shd w:fill="fffff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f4b083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">
    <w:basedOn w:val="TableNormal"/>
    <w:pPr/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shd w:fill="fbe5d5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shd w:fill="fbe5d5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</w:rPr>
      <w:tcPr>
        <w:tcBorders>
          <w:top w:color="000000" w:space="0" w:sz="0" w:val="nil"/>
          <w:bottom w:color="f4b083" w:space="0" w:sz="12" w:val="single"/>
          <w:insideH w:color="000000" w:space="0" w:sz="0" w:val="nil"/>
          <w:insideV w:color="000000" w:space="0" w:sz="0" w:val="nil"/>
        </w:tcBorders>
        <w:shd w:fill="fffff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f4b083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