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Plan de Pruebas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Caso Semestral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“Sistema Modular para Perfulandia SPA”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[ 0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b w:val="1"/>
                <w:rtl w:val="0"/>
              </w:rPr>
              <w:t xml:space="preserve">24 de junio de 2025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Principios y especificaciones de norma, estándar ISO/IEC 25000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16748381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6eo3qbq28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bc2thepi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r8hs1r21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Identificación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5e30j5lw0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de Calidad (ISO/IEC 25010)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xggnl9ti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tbkr78h3p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bxztxtq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Tipos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5bzwymep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Ambiente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q6nw6mmq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Caso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ktvdjm8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Criterios de Aceptación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a5b93e7jp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Manejo de Incidentes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mfxliy4o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Métricas de Calidad y Cobertura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m77qp96e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Eficiencia – Tiempo de Respuesta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uelvfyqr7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Implementación de ISO / IEC 25000 (Apartado 13)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snh8jdtp3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5syrrn7h2z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vu2bjfpe3k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evtn366ip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eyxjqvus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afpqg4huyc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db2pbojwcc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480" w:lineRule="auto"/>
        <w:jc w:val="both"/>
        <w:rPr>
          <w:vertAlign w:val="baseline"/>
        </w:rPr>
      </w:pPr>
      <w:bookmarkStart w:colFirst="0" w:colLast="0" w:name="_heading=h.g6eo3qbq28tz" w:id="6"/>
      <w:bookmarkEnd w:id="6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18-06-2025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 comienzo al documento.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Estructurando el contenido.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ez0ziwbk28r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Gabriel Toledo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Proyecto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sistemas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 Tapia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Frontend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Danae Collao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calidad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numPr>
          <w:ilvl w:val="0"/>
          <w:numId w:val="11"/>
        </w:numPr>
        <w:spacing w:after="0" w:before="480" w:lineRule="auto"/>
        <w:ind w:left="566.9291338582675" w:hanging="360"/>
        <w:jc w:val="both"/>
        <w:rPr/>
      </w:pPr>
      <w:bookmarkStart w:colFirst="0" w:colLast="0" w:name="_heading=h.njbc2thepigo" w:id="8"/>
      <w:bookmarkEnd w:id="8"/>
      <w:r w:rsidDel="00000000" w:rsidR="00000000" w:rsidRPr="00000000">
        <w:rPr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define el plan de pruebas para el sistema de gestión de operaciones empresariales de Perfulandia SPA, diseñado bajo una arquitectura de microservicios REST utilizando Java, Spring Boot y MariaDB. El objetivo es garantizar que el software cumpla con los requisitos funcionales y no funcionales, alineado con la metodología Waterfall y la norma ISO/IEC 25000.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este plan responde a las directrices establecidas en el apartado 13 del proyecto, las cuales solicitan: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before="24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La implementación de pruebas alineadas a ISO/IEC 25000.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Evidencias claras de calidad del software.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Métricas de evaluación y un control de cambios documentado.</w:t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cpr8hs1r212o" w:id="9"/>
      <w:bookmarkEnd w:id="9"/>
      <w:r w:rsidDel="00000000" w:rsidR="00000000" w:rsidRPr="00000000">
        <w:rPr>
          <w:rtl w:val="0"/>
        </w:rPr>
        <w:t xml:space="preserve">Identificación del Software</w:t>
      </w:r>
    </w:p>
    <w:p w:rsidR="00000000" w:rsidDel="00000000" w:rsidP="00000000" w:rsidRDefault="00000000" w:rsidRPr="00000000" w14:paraId="0000005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before="24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Nombre del sistema</w:t>
      </w:r>
      <w:r w:rsidDel="00000000" w:rsidR="00000000" w:rsidRPr="00000000">
        <w:rPr>
          <w:rtl w:val="0"/>
        </w:rPr>
        <w:t xml:space="preserve">:  Sistema Modular para Perfulandia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  Java, Spring Boot, Spring Security, REST,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Arquitectura</w:t>
      </w:r>
      <w:r w:rsidDel="00000000" w:rsidR="00000000" w:rsidRPr="00000000">
        <w:rPr>
          <w:rtl w:val="0"/>
        </w:rPr>
        <w:t xml:space="preserve">: Microservicios + Arquitectura Hexagonal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:  Local (XAMPP + Postman), planificación para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55e30j5lw077" w:id="10"/>
      <w:bookmarkEnd w:id="10"/>
      <w:r w:rsidDel="00000000" w:rsidR="00000000" w:rsidRPr="00000000">
        <w:rPr>
          <w:rtl w:val="0"/>
        </w:rPr>
        <w:t xml:space="preserve">Requisitos de Calidad (ISO/IEC 25010)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 calidad utilizado es el propuesto por ISO/IEC 25010, sub-norma perteneciente al marco ISO/IEC 25000 (SQuaRE). Se han considerado las siguientes características: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24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Todos los endpoints deben cumplir los requisitos funcionales desde el RF01 al RF15.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Fiabilidad</w:t>
      </w:r>
      <w:r w:rsidDel="00000000" w:rsidR="00000000" w:rsidRPr="00000000">
        <w:rPr>
          <w:rtl w:val="0"/>
        </w:rPr>
        <w:t xml:space="preserve">: Tolerancia ante errores, validaciones, integridad de datos.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Interacciones comprensibles y retroalimentación clara.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Eficiencia</w:t>
      </w:r>
      <w:r w:rsidDel="00000000" w:rsidR="00000000" w:rsidRPr="00000000">
        <w:rPr>
          <w:rtl w:val="0"/>
        </w:rPr>
        <w:t xml:space="preserve">: El sistema debe mantener tiempos de respuesta menores a 2000 ms.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Control de acceso mediante JWT, roles, y cifrado.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Mantenibilidad</w:t>
      </w:r>
      <w:r w:rsidDel="00000000" w:rsidR="00000000" w:rsidRPr="00000000">
        <w:rPr>
          <w:rtl w:val="0"/>
        </w:rPr>
        <w:t xml:space="preserve">: Estructura de código desacoplado, modular y legible.</w:t>
      </w:r>
    </w:p>
    <w:p w:rsidR="00000000" w:rsidDel="00000000" w:rsidP="00000000" w:rsidRDefault="00000000" w:rsidRPr="00000000" w14:paraId="00000067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numPr>
          <w:ilvl w:val="0"/>
          <w:numId w:val="11"/>
        </w:numPr>
        <w:spacing w:after="0" w:before="480" w:lineRule="auto"/>
        <w:ind w:left="570" w:hanging="360"/>
        <w:jc w:val="both"/>
        <w:rPr/>
      </w:pPr>
      <w:bookmarkStart w:colFirst="0" w:colLast="0" w:name="_heading=h.2fxggnl9tidb" w:id="11"/>
      <w:bookmarkEnd w:id="11"/>
      <w:r w:rsidDel="00000000" w:rsidR="00000000" w:rsidRPr="00000000">
        <w:rPr>
          <w:rtl w:val="0"/>
        </w:rPr>
        <w:t xml:space="preserve">Alcance de Pruebas</w:t>
      </w:r>
    </w:p>
    <w:p w:rsidR="00000000" w:rsidDel="00000000" w:rsidP="00000000" w:rsidRDefault="00000000" w:rsidRPr="00000000" w14:paraId="0000006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probarán todos los microservicios descritos en la última propuesta de proyecto y especificación de requisitos de software.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Donde el documento incluye los siguientes: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Envíos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Pagos y 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4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wtbkr78h3pm7" w:id="12"/>
      <w:bookmarkEnd w:id="12"/>
      <w:r w:rsidDel="00000000" w:rsidR="00000000" w:rsidRPr="00000000">
        <w:rPr>
          <w:rtl w:val="0"/>
        </w:rPr>
        <w:t xml:space="preserve">Estrategia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8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Técnica:</w:t>
      </w:r>
      <w:r w:rsidDel="00000000" w:rsidR="00000000" w:rsidRPr="00000000">
        <w:rPr>
          <w:rtl w:val="0"/>
        </w:rPr>
        <w:t xml:space="preserve"> Caja negra, basada en requisitos y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Cobertura esperada:</w:t>
      </w:r>
      <w:r w:rsidDel="00000000" w:rsidR="00000000" w:rsidRPr="00000000">
        <w:rPr>
          <w:rtl w:val="0"/>
        </w:rPr>
        <w:t xml:space="preserve"> Al menos 80%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Parcial, con prioridad en endpoints críticos (registro, login, ventas).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8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Postman, JUnit, REST-assured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mbxztxtqp3" w:id="13"/>
      <w:bookmarkEnd w:id="13"/>
      <w:r w:rsidDel="00000000" w:rsidR="00000000" w:rsidRPr="00000000">
        <w:rPr>
          <w:rtl w:val="0"/>
        </w:rPr>
        <w:t xml:space="preserve">Tipos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952321960"/>
        <w:tag w:val="goog_rdk_0"/>
      </w:sdtPr>
      <w:sdtContent>
        <w:tbl>
          <w:tblPr>
            <w:tblStyle w:val="Table5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95"/>
            <w:gridCol w:w="5265"/>
            <w:tblGridChange w:id="0">
              <w:tblGrid>
                <w:gridCol w:w="4395"/>
                <w:gridCol w:w="5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Objetivo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Unitarias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métodos internos de servicios y controladores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comunicación entre microservicios y base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REST / API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Endpoints, contratos (acuerdos explícitos sobre cómo deben comportarse los endpoints) y respuestas HTTP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roles, accesos restringidos, JWT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datos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persistencia de datos en base de datos (MariaDB)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Style w:val="Heading1"/>
        <w:keepNext w:val="1"/>
        <w:numPr>
          <w:ilvl w:val="0"/>
          <w:numId w:val="11"/>
        </w:numPr>
        <w:spacing w:after="0" w:before="240" w:line="240" w:lineRule="auto"/>
        <w:ind w:left="566.9291338582675" w:hanging="359.99999999999994"/>
        <w:rPr>
          <w:u w:val="none"/>
        </w:rPr>
      </w:pPr>
      <w:bookmarkStart w:colFirst="0" w:colLast="0" w:name="_heading=h.ms5bzwymep9u" w:id="14"/>
      <w:bookmarkEnd w:id="14"/>
      <w:r w:rsidDel="00000000" w:rsidR="00000000" w:rsidRPr="00000000">
        <w:rPr>
          <w:rtl w:val="0"/>
        </w:rPr>
        <w:t xml:space="preserve">Ambiente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local</w:t>
      </w:r>
      <w:r w:rsidDel="00000000" w:rsidR="00000000" w:rsidRPr="00000000">
        <w:rPr>
          <w:rtl w:val="0"/>
        </w:rPr>
        <w:t xml:space="preserve">: Java +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BD</w:t>
      </w:r>
      <w:r w:rsidDel="00000000" w:rsidR="00000000" w:rsidRPr="00000000">
        <w:rPr>
          <w:rtl w:val="0"/>
        </w:rPr>
        <w:t xml:space="preserve">: MariaDB local (XAMPP)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Postman, mockups para simular peticiones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+ JUnit (en pruebas locales)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dqq6nw6mmqsx" w:id="15"/>
      <w:bookmarkEnd w:id="15"/>
      <w:r w:rsidDel="00000000" w:rsidR="00000000" w:rsidRPr="00000000">
        <w:rPr>
          <w:rtl w:val="0"/>
        </w:rPr>
        <w:t xml:space="preserve">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Incluidos en la planilla “casos_prueba_perfulandia.xlsx”, con trazabilidad a requerimientos funcionales, entradas, salidas, criterios de aceptación, tiempos de respuesta y estado final.</w:t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wktvdjm81y" w:id="16"/>
      <w:bookmarkEnd w:id="16"/>
      <w:r w:rsidDel="00000000" w:rsidR="00000000" w:rsidRPr="00000000">
        <w:rPr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endpoints deben devolver respuestas esperadas con su respectivo código (200, 400, 401,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Todas las pruebas funcionales deben pasar satisfactoriamente.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Cobertura mínima funcional: 80%.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Pruebas críticas deben tener 0 errores severos.</w:t>
      </w:r>
    </w:p>
    <w:p w:rsidR="00000000" w:rsidDel="00000000" w:rsidP="00000000" w:rsidRDefault="00000000" w:rsidRPr="00000000" w14:paraId="0000009D">
      <w:pPr>
        <w:pStyle w:val="Heading1"/>
        <w:keepNext w:val="1"/>
        <w:keepLines w:val="1"/>
        <w:numPr>
          <w:ilvl w:val="0"/>
          <w:numId w:val="11"/>
        </w:numPr>
        <w:spacing w:after="0" w:before="0" w:lineRule="auto"/>
        <w:ind w:left="566.9291338582675" w:hanging="359.99999999999994"/>
        <w:jc w:val="both"/>
        <w:rPr>
          <w:u w:val="none"/>
        </w:rPr>
      </w:pPr>
      <w:bookmarkStart w:colFirst="0" w:colLast="0" w:name="_heading=h.7a5b93e7jppc" w:id="17"/>
      <w:bookmarkEnd w:id="17"/>
      <w:r w:rsidDel="00000000" w:rsidR="00000000" w:rsidRPr="00000000">
        <w:rPr>
          <w:rtl w:val="0"/>
        </w:rPr>
        <w:t xml:space="preserve">Manejo de Incidentes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en “registro_defectos.xlsx”.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error se vincula a un caso de prueba y requisito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resuelto.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reproducido.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1"/>
        <w:keepLines w:val="1"/>
        <w:numPr>
          <w:ilvl w:val="0"/>
          <w:numId w:val="11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45099555"/>
        <w:tag w:val="goog_rdk_1"/>
      </w:sdtPr>
      <w:sdtContent>
        <w:tbl>
          <w:tblPr>
            <w:tblStyle w:val="Table6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rHeight w:val="750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del Plan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Inicio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Fin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RF01 a RF15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Elaboración de casos y criterios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Ejecución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2025-07-01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 e integración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resultados y lecciones</w:t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11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bvmfxliy4o9v" w:id="18"/>
      <w:bookmarkEnd w:id="18"/>
      <w:r w:rsidDel="00000000" w:rsidR="00000000" w:rsidRPr="00000000">
        <w:rPr>
          <w:rtl w:val="0"/>
        </w:rPr>
        <w:t xml:space="preserve">Métricas de Calidad y Cobertura</w:t>
      </w:r>
    </w:p>
    <w:p w:rsidR="00000000" w:rsidDel="00000000" w:rsidP="00000000" w:rsidRDefault="00000000" w:rsidRPr="00000000" w14:paraId="000000B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pruebas superadas.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endpoints cubiertos.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errores detectados por severidad.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promedio de respuesta por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numPr>
          <w:ilvl w:val="1"/>
          <w:numId w:val="11"/>
        </w:numPr>
        <w:spacing w:after="80" w:before="280" w:line="276" w:lineRule="auto"/>
        <w:ind w:left="850.3937007874017" w:hanging="360"/>
        <w:rPr>
          <w:u w:val="none"/>
        </w:rPr>
      </w:pPr>
      <w:bookmarkStart w:colFirst="0" w:colLast="0" w:name="_heading=h.xsm77qp96ets" w:id="19"/>
      <w:bookmarkEnd w:id="19"/>
      <w:r w:rsidDel="00000000" w:rsidR="00000000" w:rsidRPr="00000000">
        <w:rPr>
          <w:rtl w:val="0"/>
        </w:rPr>
        <w:t xml:space="preserve">Eficiencia – Tiempo de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 incorpora la medición del tiempo de respuesta por cada caso de prueba utilizando herramientas como Postman. Este valor es crítico para evaluar la característica de desempeño temporal definida en ISO/IEC 25010.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debe mantener respuestas menores a 2000 ms bajo condiciones normales. Esta métrica se incluye en la planilla de pruebas como columna adicional.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1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huelvfyqr7h0" w:id="20"/>
      <w:bookmarkEnd w:id="20"/>
      <w:r w:rsidDel="00000000" w:rsidR="00000000" w:rsidRPr="00000000">
        <w:rPr>
          <w:rtl w:val="0"/>
        </w:rPr>
        <w:t xml:space="preserve">Implementación de ISO / IEC 25000 (Apartado 13)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Este plan de pruebas cumple con los lineamientos del apartado 13 del proyecto al aplicar el modelo de calidad del software de ISO/IEC 25000, incluyendo: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calidad ISO/IEC 25010 como base de validación.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trazabilidad de requisitos funcionales (del RF01 al RF15).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Trazabilidad entre requisitos, criterios de aceptación, casos de prueba y atributos de calidad.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documentadas de pruebas y resultados reales.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Medición de métricas de calidad, eficiencia y confiabilidad.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cambios versionado en “control_cambios_prototipo.xlsx”.</w:t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1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3psnh8jdtp3j" w:id="21"/>
      <w:bookmarkEnd w:id="21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Documentado en “control_cambios_prototipo.xlsx”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versión del prototipo o prueba se registra con 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87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mcjnyc5o8w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ff0000"/>
        <w:rtl w:val="0"/>
      </w:rPr>
      <w:t xml:space="preserve">Principios y especificaciones de norma, estándar ISO/IEC 25000.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-152552</wp:posOffset>
          </wp:positionV>
          <wp:extent cx="932815" cy="231775"/>
          <wp:effectExtent b="0" l="0" r="0" t="0"/>
          <wp:wrapSquare wrapText="bothSides" distB="0" distT="0" distL="114300" distR="114300"/>
          <wp:docPr id="7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E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-904869</wp:posOffset>
          </wp:positionH>
          <wp:positionV relativeFrom="paragraph">
            <wp:posOffset>-390518</wp:posOffset>
          </wp:positionV>
          <wp:extent cx="3057756" cy="673742"/>
          <wp:effectExtent b="0" l="0" r="0" t="0"/>
          <wp:wrapNone/>
          <wp:docPr id="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08.6614173228347" w:hanging="36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08.6614173228347" w:hanging="36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33.858267716535" w:hanging="359.9999999999999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359.9999999999999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08.6614173228347" w:hanging="36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360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3604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360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3604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3604F"/>
    <w:rPr>
      <w:b w:val="1"/>
      <w:bCs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b w:val="1"/>
      <w:color w:val="36609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lx1m2Ij+6X88iRdv/Ju5GeF4mw==">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