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62A4D" w14:textId="6B420B88" w:rsidR="006C5F34" w:rsidRPr="00BB133B" w:rsidRDefault="006C5F34">
      <w:pPr>
        <w:rPr>
          <w:rFonts w:ascii="Arial" w:hAnsi="Arial" w:cs="Arial"/>
        </w:rPr>
      </w:pPr>
      <w:r w:rsidRPr="00BB133B">
        <w:rPr>
          <w:rFonts w:ascii="Arial" w:hAnsi="Arial" w:cs="Arial"/>
          <w:noProof/>
        </w:rPr>
        <w:drawing>
          <wp:inline distT="0" distB="0" distL="0" distR="0" wp14:anchorId="7077CC65" wp14:editId="06F4753B">
            <wp:extent cx="5943600" cy="6792595"/>
            <wp:effectExtent l="0" t="0" r="0" b="190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78E61D1F" w14:textId="77777777" w:rsidR="006C5F34" w:rsidRPr="00BB133B" w:rsidRDefault="006C5F34" w:rsidP="006C5F34">
      <w:pPr>
        <w:pStyle w:val="Default"/>
        <w:jc w:val="both"/>
      </w:pPr>
    </w:p>
    <w:p w14:paraId="61DC4DFB" w14:textId="07338A29" w:rsidR="006050F7" w:rsidRPr="00BB133B" w:rsidRDefault="006C5F34" w:rsidP="00BB133B">
      <w:pPr>
        <w:jc w:val="both"/>
        <w:rPr>
          <w:rFonts w:ascii="Arial" w:hAnsi="Arial" w:cs="Arial"/>
          <w:i/>
          <w:iCs/>
        </w:rPr>
      </w:pPr>
      <w:r w:rsidRPr="00BB133B">
        <w:rPr>
          <w:rFonts w:ascii="Arial" w:hAnsi="Arial" w:cs="Arial"/>
          <w:b/>
          <w:bCs/>
        </w:rPr>
        <w:t>Figure S1</w:t>
      </w:r>
      <w:r w:rsidR="006050F7" w:rsidRPr="00BB133B">
        <w:rPr>
          <w:rFonts w:ascii="Arial" w:hAnsi="Arial" w:cs="Arial"/>
          <w:b/>
          <w:bCs/>
        </w:rPr>
        <w:t>:</w:t>
      </w:r>
      <w:r w:rsidRPr="00BB133B">
        <w:rPr>
          <w:rFonts w:ascii="Arial" w:hAnsi="Arial" w:cs="Arial"/>
        </w:rPr>
        <w:t xml:space="preserve"> Principal Component Analysis (PCA) plots of all analyzed samples across species. </w:t>
      </w:r>
      <w:r w:rsidR="006050F7" w:rsidRPr="00BB133B">
        <w:rPr>
          <w:rFonts w:ascii="Arial" w:hAnsi="Arial" w:cs="Arial"/>
        </w:rPr>
        <w:t xml:space="preserve">Plots for </w:t>
      </w:r>
      <w:r w:rsidR="006050F7" w:rsidRPr="00BB133B">
        <w:rPr>
          <w:rFonts w:ascii="Arial" w:hAnsi="Arial" w:cs="Arial"/>
          <w:b/>
          <w:bCs/>
        </w:rPr>
        <w:t xml:space="preserve">(a) </w:t>
      </w:r>
      <w:r w:rsidR="006050F7" w:rsidRPr="00BB133B">
        <w:rPr>
          <w:rFonts w:ascii="Arial" w:hAnsi="Arial" w:cs="Arial"/>
          <w:i/>
          <w:iCs/>
        </w:rPr>
        <w:t>C. albicans</w:t>
      </w:r>
      <w:r w:rsidR="006050F7" w:rsidRPr="00BB133B">
        <w:rPr>
          <w:rFonts w:ascii="Arial" w:hAnsi="Arial" w:cs="Arial"/>
        </w:rPr>
        <w:t xml:space="preserve">; </w:t>
      </w:r>
      <w:r w:rsidR="006050F7" w:rsidRPr="00BB133B">
        <w:rPr>
          <w:rFonts w:ascii="Arial" w:hAnsi="Arial" w:cs="Arial"/>
          <w:b/>
          <w:bCs/>
        </w:rPr>
        <w:t xml:space="preserve">(b) </w:t>
      </w:r>
      <w:r w:rsidR="006050F7" w:rsidRPr="00BB133B">
        <w:rPr>
          <w:rFonts w:ascii="Arial" w:hAnsi="Arial" w:cs="Arial"/>
          <w:i/>
          <w:iCs/>
        </w:rPr>
        <w:t>C. tropicalis</w:t>
      </w:r>
      <w:r w:rsidR="006050F7" w:rsidRPr="00BB133B">
        <w:rPr>
          <w:rFonts w:ascii="Arial" w:hAnsi="Arial" w:cs="Arial"/>
        </w:rPr>
        <w:t xml:space="preserve">; </w:t>
      </w:r>
      <w:r w:rsidR="006050F7" w:rsidRPr="00BB133B">
        <w:rPr>
          <w:rFonts w:ascii="Arial" w:hAnsi="Arial" w:cs="Arial"/>
          <w:b/>
          <w:bCs/>
        </w:rPr>
        <w:t xml:space="preserve">(c) </w:t>
      </w:r>
      <w:r w:rsidR="006050F7" w:rsidRPr="00BB133B">
        <w:rPr>
          <w:rFonts w:ascii="Arial" w:hAnsi="Arial" w:cs="Arial"/>
          <w:i/>
          <w:iCs/>
        </w:rPr>
        <w:t>C. parapsilosis</w:t>
      </w:r>
      <w:r w:rsidR="006050F7" w:rsidRPr="00BB133B">
        <w:rPr>
          <w:rFonts w:ascii="Arial" w:hAnsi="Arial" w:cs="Arial"/>
        </w:rPr>
        <w:t xml:space="preserve">, </w:t>
      </w:r>
      <w:r w:rsidR="006050F7" w:rsidRPr="00BB133B">
        <w:rPr>
          <w:rFonts w:ascii="Arial" w:hAnsi="Arial" w:cs="Arial"/>
          <w:b/>
          <w:bCs/>
        </w:rPr>
        <w:t xml:space="preserve">(d) </w:t>
      </w:r>
      <w:r w:rsidR="006050F7" w:rsidRPr="00BB133B">
        <w:rPr>
          <w:rFonts w:ascii="Arial" w:hAnsi="Arial" w:cs="Arial"/>
          <w:i/>
          <w:iCs/>
        </w:rPr>
        <w:t xml:space="preserve">C. auris </w:t>
      </w:r>
      <w:r w:rsidR="006050F7" w:rsidRPr="00BB133B">
        <w:rPr>
          <w:rFonts w:ascii="Arial" w:hAnsi="Arial" w:cs="Arial"/>
        </w:rPr>
        <w:t xml:space="preserve">and </w:t>
      </w:r>
      <w:r w:rsidR="006050F7" w:rsidRPr="00BB133B">
        <w:rPr>
          <w:rFonts w:ascii="Arial" w:hAnsi="Arial" w:cs="Arial"/>
          <w:b/>
          <w:bCs/>
        </w:rPr>
        <w:t xml:space="preserve">(e) </w:t>
      </w:r>
      <w:r w:rsidR="006050F7" w:rsidRPr="00BB133B">
        <w:rPr>
          <w:rFonts w:ascii="Arial" w:hAnsi="Arial" w:cs="Arial"/>
          <w:i/>
          <w:iCs/>
        </w:rPr>
        <w:t>C. glabrata</w:t>
      </w:r>
      <w:r w:rsidR="006050F7" w:rsidRPr="00BB133B">
        <w:rPr>
          <w:rFonts w:ascii="Arial" w:hAnsi="Arial" w:cs="Arial"/>
        </w:rPr>
        <w:t xml:space="preserve">. </w:t>
      </w:r>
      <w:r w:rsidRPr="00BB133B">
        <w:rPr>
          <w:rFonts w:ascii="Arial" w:hAnsi="Arial" w:cs="Arial"/>
        </w:rPr>
        <w:t xml:space="preserve">Plots were generated using log2-transformed TPM expression values. Color codes correspond to SRA project accession numbers (or to sequencing read length for </w:t>
      </w:r>
      <w:r w:rsidRPr="00BB133B">
        <w:rPr>
          <w:rFonts w:ascii="Arial" w:hAnsi="Arial" w:cs="Arial"/>
          <w:i/>
          <w:iCs/>
        </w:rPr>
        <w:t>C. auris</w:t>
      </w:r>
      <w:r w:rsidRPr="00BB133B">
        <w:rPr>
          <w:rFonts w:ascii="Arial" w:hAnsi="Arial" w:cs="Arial"/>
        </w:rPr>
        <w:t xml:space="preserve">) and S dataset used in this study. </w:t>
      </w:r>
      <w:r w:rsidR="006050F7" w:rsidRPr="00BB133B">
        <w:rPr>
          <w:rFonts w:ascii="Arial" w:hAnsi="Arial" w:cs="Arial"/>
        </w:rPr>
        <w:t xml:space="preserve">Due to </w:t>
      </w:r>
      <w:proofErr w:type="gramStart"/>
      <w:r w:rsidR="00D85633" w:rsidRPr="00BB133B">
        <w:rPr>
          <w:rFonts w:ascii="Arial" w:hAnsi="Arial" w:cs="Arial"/>
        </w:rPr>
        <w:t xml:space="preserve">a </w:t>
      </w:r>
      <w:r w:rsidR="006050F7" w:rsidRPr="00BB133B">
        <w:rPr>
          <w:rFonts w:ascii="Arial" w:hAnsi="Arial" w:cs="Arial"/>
        </w:rPr>
        <w:t>large number of</w:t>
      </w:r>
      <w:proofErr w:type="gramEnd"/>
      <w:r w:rsidR="006050F7" w:rsidRPr="00BB133B">
        <w:rPr>
          <w:rFonts w:ascii="Arial" w:hAnsi="Arial" w:cs="Arial"/>
        </w:rPr>
        <w:t xml:space="preserve"> SRA projects and read lengths and for better visibility</w:t>
      </w:r>
      <w:r w:rsidRPr="00BB133B">
        <w:rPr>
          <w:rFonts w:ascii="Arial" w:hAnsi="Arial" w:cs="Arial"/>
        </w:rPr>
        <w:t xml:space="preserve">, </w:t>
      </w:r>
      <w:r w:rsidR="006050F7" w:rsidRPr="00BB133B">
        <w:rPr>
          <w:rFonts w:ascii="Arial" w:hAnsi="Arial" w:cs="Arial"/>
        </w:rPr>
        <w:t xml:space="preserve">the plot for </w:t>
      </w:r>
      <w:r w:rsidR="006050F7" w:rsidRPr="00BB133B">
        <w:rPr>
          <w:rFonts w:ascii="Arial" w:hAnsi="Arial" w:cs="Arial"/>
          <w:i/>
          <w:iCs/>
        </w:rPr>
        <w:t xml:space="preserve">C. albicans </w:t>
      </w:r>
      <w:r w:rsidR="006050F7" w:rsidRPr="00BB133B">
        <w:rPr>
          <w:rFonts w:ascii="Arial" w:hAnsi="Arial" w:cs="Arial"/>
        </w:rPr>
        <w:t>indicates only S and B datasets</w:t>
      </w:r>
      <w:r w:rsidR="006050F7" w:rsidRPr="00BB133B">
        <w:rPr>
          <w:rFonts w:ascii="Arial" w:hAnsi="Arial" w:cs="Arial"/>
          <w:i/>
          <w:iCs/>
        </w:rPr>
        <w:t xml:space="preserve">. </w:t>
      </w:r>
      <w:r w:rsidRPr="00BB133B">
        <w:rPr>
          <w:rFonts w:ascii="Arial" w:hAnsi="Arial" w:cs="Arial"/>
          <w:i/>
          <w:iCs/>
        </w:rPr>
        <w:t xml:space="preserve"> </w:t>
      </w:r>
      <w:r w:rsidR="006050F7" w:rsidRPr="00BB133B">
        <w:rPr>
          <w:rFonts w:ascii="Arial" w:hAnsi="Arial" w:cs="Arial"/>
          <w:i/>
          <w:iCs/>
        </w:rPr>
        <w:br w:type="page"/>
      </w:r>
    </w:p>
    <w:p w14:paraId="41FA24D2" w14:textId="6F7A7A10" w:rsidR="006C5F34" w:rsidRPr="00BB133B" w:rsidRDefault="00706A64" w:rsidP="006C5F34">
      <w:pPr>
        <w:jc w:val="both"/>
        <w:rPr>
          <w:rFonts w:ascii="Arial" w:hAnsi="Arial" w:cs="Arial"/>
        </w:rPr>
      </w:pPr>
      <w:r w:rsidRPr="00BB133B">
        <w:rPr>
          <w:rFonts w:ascii="Arial" w:hAnsi="Arial" w:cs="Arial"/>
          <w:noProof/>
        </w:rPr>
        <w:lastRenderedPageBreak/>
        <w:drawing>
          <wp:inline distT="0" distB="0" distL="0" distR="0" wp14:anchorId="6BFA6669" wp14:editId="67457A87">
            <wp:extent cx="5943600" cy="297180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8A99CAA" w14:textId="2DEC127B" w:rsidR="00706A64" w:rsidRPr="00BB133B" w:rsidRDefault="00706A64" w:rsidP="006C5F34">
      <w:pPr>
        <w:jc w:val="both"/>
        <w:rPr>
          <w:rFonts w:ascii="Arial" w:hAnsi="Arial" w:cs="Arial"/>
        </w:rPr>
      </w:pPr>
    </w:p>
    <w:p w14:paraId="548DC1AA" w14:textId="6FE48165" w:rsidR="002962F8" w:rsidRPr="00BB133B" w:rsidRDefault="00706A64" w:rsidP="006C5F34">
      <w:pPr>
        <w:jc w:val="both"/>
        <w:rPr>
          <w:rFonts w:ascii="Arial" w:hAnsi="Arial" w:cs="Arial"/>
        </w:rPr>
      </w:pPr>
      <w:r w:rsidRPr="00BB133B">
        <w:rPr>
          <w:rFonts w:ascii="Arial" w:hAnsi="Arial" w:cs="Arial"/>
          <w:b/>
          <w:bCs/>
        </w:rPr>
        <w:t>Figure S2:</w:t>
      </w:r>
      <w:r w:rsidRPr="00BB133B">
        <w:rPr>
          <w:rFonts w:ascii="Arial" w:hAnsi="Arial" w:cs="Arial"/>
        </w:rPr>
        <w:t xml:space="preserve"> Saturation plots showing the number of identified lncRNAs depending on the number of analyzed samples. Per each species, samples were chosen randomly and the number of analyzed samples was incremented by 5 at each step. </w:t>
      </w:r>
    </w:p>
    <w:p w14:paraId="2C44FF60" w14:textId="77777777" w:rsidR="002962F8" w:rsidRPr="00BB133B" w:rsidRDefault="002962F8">
      <w:pPr>
        <w:rPr>
          <w:rFonts w:ascii="Arial" w:hAnsi="Arial" w:cs="Arial"/>
        </w:rPr>
      </w:pPr>
      <w:r w:rsidRPr="00BB133B">
        <w:rPr>
          <w:rFonts w:ascii="Arial" w:hAnsi="Arial" w:cs="Arial"/>
        </w:rPr>
        <w:br w:type="page"/>
      </w:r>
    </w:p>
    <w:p w14:paraId="026ECE14" w14:textId="47F0D612" w:rsidR="00CC6E70" w:rsidRPr="00BB133B" w:rsidRDefault="002962F8" w:rsidP="00EB556F">
      <w:pPr>
        <w:jc w:val="center"/>
        <w:rPr>
          <w:rFonts w:ascii="Arial" w:hAnsi="Arial" w:cs="Arial"/>
        </w:rPr>
      </w:pPr>
      <w:r w:rsidRPr="00BB133B">
        <w:rPr>
          <w:rFonts w:ascii="Arial" w:hAnsi="Arial" w:cs="Arial"/>
          <w:noProof/>
        </w:rPr>
        <w:lastRenderedPageBreak/>
        <w:drawing>
          <wp:inline distT="0" distB="0" distL="0" distR="0" wp14:anchorId="4D599C59" wp14:editId="3DF7C812">
            <wp:extent cx="4761894" cy="6730738"/>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06123" cy="6793253"/>
                    </a:xfrm>
                    <a:prstGeom prst="rect">
                      <a:avLst/>
                    </a:prstGeom>
                  </pic:spPr>
                </pic:pic>
              </a:graphicData>
            </a:graphic>
          </wp:inline>
        </w:drawing>
      </w:r>
    </w:p>
    <w:p w14:paraId="7D515457" w14:textId="77777777" w:rsidR="00EB556F" w:rsidRPr="00BB133B" w:rsidRDefault="00EB556F" w:rsidP="006C5F34">
      <w:pPr>
        <w:jc w:val="both"/>
        <w:rPr>
          <w:rFonts w:ascii="Arial" w:hAnsi="Arial" w:cs="Arial"/>
        </w:rPr>
      </w:pPr>
    </w:p>
    <w:p w14:paraId="0653C4C3" w14:textId="3D356363" w:rsidR="00CC6E70" w:rsidRPr="00BB133B" w:rsidRDefault="00EB556F" w:rsidP="00EB556F">
      <w:pPr>
        <w:jc w:val="both"/>
        <w:rPr>
          <w:rFonts w:ascii="Arial" w:hAnsi="Arial" w:cs="Arial"/>
        </w:rPr>
      </w:pPr>
      <w:r w:rsidRPr="00BB133B">
        <w:rPr>
          <w:rFonts w:ascii="Arial" w:hAnsi="Arial" w:cs="Arial"/>
          <w:b/>
          <w:bCs/>
        </w:rPr>
        <w:t>Figure S3:</w:t>
      </w:r>
      <w:r w:rsidRPr="00BB133B">
        <w:rPr>
          <w:rFonts w:ascii="Arial" w:hAnsi="Arial" w:cs="Arial"/>
        </w:rPr>
        <w:t xml:space="preserve"> Distribution of lncRNAs across chromosomes of the studied species. Plots for </w:t>
      </w:r>
      <w:r w:rsidRPr="00BB133B">
        <w:rPr>
          <w:rFonts w:ascii="Arial" w:hAnsi="Arial" w:cs="Arial"/>
          <w:b/>
          <w:bCs/>
        </w:rPr>
        <w:t xml:space="preserve">(a) </w:t>
      </w:r>
      <w:r w:rsidRPr="00BB133B">
        <w:rPr>
          <w:rFonts w:ascii="Arial" w:hAnsi="Arial" w:cs="Arial"/>
          <w:i/>
          <w:iCs/>
        </w:rPr>
        <w:t>C. albicans</w:t>
      </w:r>
      <w:r w:rsidRPr="00BB133B">
        <w:rPr>
          <w:rFonts w:ascii="Arial" w:hAnsi="Arial" w:cs="Arial"/>
        </w:rPr>
        <w:t xml:space="preserve">; </w:t>
      </w:r>
      <w:r w:rsidRPr="00BB133B">
        <w:rPr>
          <w:rFonts w:ascii="Arial" w:hAnsi="Arial" w:cs="Arial"/>
          <w:b/>
          <w:bCs/>
        </w:rPr>
        <w:t xml:space="preserve">(b) </w:t>
      </w:r>
      <w:r w:rsidRPr="00BB133B">
        <w:rPr>
          <w:rFonts w:ascii="Arial" w:hAnsi="Arial" w:cs="Arial"/>
          <w:i/>
          <w:iCs/>
        </w:rPr>
        <w:t>C. tropicalis</w:t>
      </w:r>
      <w:r w:rsidRPr="00BB133B">
        <w:rPr>
          <w:rFonts w:ascii="Arial" w:hAnsi="Arial" w:cs="Arial"/>
        </w:rPr>
        <w:t xml:space="preserve">; </w:t>
      </w:r>
      <w:r w:rsidRPr="00BB133B">
        <w:rPr>
          <w:rFonts w:ascii="Arial" w:hAnsi="Arial" w:cs="Arial"/>
          <w:b/>
          <w:bCs/>
        </w:rPr>
        <w:t xml:space="preserve">(c) </w:t>
      </w:r>
      <w:r w:rsidRPr="00BB133B">
        <w:rPr>
          <w:rFonts w:ascii="Arial" w:hAnsi="Arial" w:cs="Arial"/>
          <w:i/>
          <w:iCs/>
        </w:rPr>
        <w:t xml:space="preserve">C. parapsilosis, </w:t>
      </w:r>
      <w:r w:rsidRPr="00BB133B">
        <w:rPr>
          <w:rFonts w:ascii="Arial" w:hAnsi="Arial" w:cs="Arial"/>
          <w:b/>
          <w:bCs/>
        </w:rPr>
        <w:t xml:space="preserve">(d) </w:t>
      </w:r>
      <w:r w:rsidRPr="00BB133B">
        <w:rPr>
          <w:rFonts w:ascii="Arial" w:hAnsi="Arial" w:cs="Arial"/>
          <w:i/>
          <w:iCs/>
        </w:rPr>
        <w:t xml:space="preserve">C. auris </w:t>
      </w:r>
      <w:r w:rsidRPr="00BB133B">
        <w:rPr>
          <w:rFonts w:ascii="Arial" w:hAnsi="Arial" w:cs="Arial"/>
        </w:rPr>
        <w:t xml:space="preserve">and </w:t>
      </w:r>
      <w:r w:rsidRPr="00BB133B">
        <w:rPr>
          <w:rFonts w:ascii="Arial" w:hAnsi="Arial" w:cs="Arial"/>
          <w:b/>
          <w:bCs/>
        </w:rPr>
        <w:t xml:space="preserve">(e) </w:t>
      </w:r>
      <w:r w:rsidRPr="00BB133B">
        <w:rPr>
          <w:rFonts w:ascii="Arial" w:hAnsi="Arial" w:cs="Arial"/>
          <w:i/>
          <w:iCs/>
        </w:rPr>
        <w:t>C. glabrata</w:t>
      </w:r>
      <w:r w:rsidRPr="00BB133B">
        <w:rPr>
          <w:rFonts w:ascii="Arial" w:hAnsi="Arial" w:cs="Arial"/>
        </w:rPr>
        <w:t xml:space="preserve">. The chromosomes are depicted with black vertical lines, centromeres (for </w:t>
      </w:r>
      <w:r w:rsidRPr="00BB133B">
        <w:rPr>
          <w:rFonts w:ascii="Arial" w:hAnsi="Arial" w:cs="Arial"/>
          <w:i/>
          <w:iCs/>
        </w:rPr>
        <w:t xml:space="preserve">C. albicans </w:t>
      </w:r>
      <w:r w:rsidRPr="00BB133B">
        <w:rPr>
          <w:rFonts w:ascii="Arial" w:hAnsi="Arial" w:cs="Arial"/>
        </w:rPr>
        <w:t xml:space="preserve">and </w:t>
      </w:r>
      <w:r w:rsidRPr="00BB133B">
        <w:rPr>
          <w:rFonts w:ascii="Arial" w:hAnsi="Arial" w:cs="Arial"/>
          <w:i/>
          <w:iCs/>
        </w:rPr>
        <w:t>C. glabrata</w:t>
      </w:r>
      <w:r w:rsidRPr="00BB133B">
        <w:rPr>
          <w:rFonts w:ascii="Arial" w:hAnsi="Arial" w:cs="Arial"/>
        </w:rPr>
        <w:t xml:space="preserve">) are depicted with black circles. The number of antisense transcripts is depicted in blue (at the left side of chromosomes), of intergenic ones - in grey (at the right side of chromosomes). Each bar represents a histogram of number of lncRNAs across 50kb-long windows. For </w:t>
      </w:r>
      <w:r w:rsidRPr="00BB133B">
        <w:rPr>
          <w:rFonts w:ascii="Arial" w:hAnsi="Arial" w:cs="Arial"/>
          <w:i/>
          <w:iCs/>
        </w:rPr>
        <w:t>C. tropicalis</w:t>
      </w:r>
      <w:r w:rsidRPr="00BB133B">
        <w:rPr>
          <w:rFonts w:ascii="Arial" w:hAnsi="Arial" w:cs="Arial"/>
        </w:rPr>
        <w:t>, contigs smaller than 100 kb are not shown (</w:t>
      </w:r>
      <w:proofErr w:type="gramStart"/>
      <w:r w:rsidRPr="00BB133B">
        <w:rPr>
          <w:rFonts w:ascii="Arial" w:hAnsi="Arial" w:cs="Arial"/>
        </w:rPr>
        <w:t>i.e.</w:t>
      </w:r>
      <w:proofErr w:type="gramEnd"/>
      <w:r w:rsidRPr="00BB133B">
        <w:rPr>
          <w:rFonts w:ascii="Arial" w:hAnsi="Arial" w:cs="Arial"/>
        </w:rPr>
        <w:t xml:space="preserve"> contigs 13-23).</w:t>
      </w:r>
    </w:p>
    <w:p w14:paraId="07E11A56" w14:textId="731B9DE4" w:rsidR="00706A64" w:rsidRPr="00BB133B" w:rsidRDefault="00DE7EB9" w:rsidP="006C5F34">
      <w:pPr>
        <w:jc w:val="both"/>
        <w:rPr>
          <w:rFonts w:ascii="Arial" w:hAnsi="Arial" w:cs="Arial"/>
        </w:rPr>
      </w:pPr>
      <w:r w:rsidRPr="00BB133B">
        <w:rPr>
          <w:rFonts w:ascii="Arial" w:hAnsi="Arial" w:cs="Arial"/>
          <w:noProof/>
        </w:rPr>
        <w:lastRenderedPageBreak/>
        <w:drawing>
          <wp:inline distT="0" distB="0" distL="0" distR="0" wp14:anchorId="12655C04" wp14:editId="5BB6139F">
            <wp:extent cx="5486400" cy="7315200"/>
            <wp:effectExtent l="0" t="0" r="0" b="0"/>
            <wp:docPr id="3" name="Picture 3"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p>
    <w:p w14:paraId="61D2A874" w14:textId="77777777" w:rsidR="00DE7EB9" w:rsidRPr="00BB133B" w:rsidRDefault="00DE7EB9" w:rsidP="006C5F34">
      <w:pPr>
        <w:jc w:val="both"/>
        <w:rPr>
          <w:rFonts w:ascii="Arial" w:hAnsi="Arial" w:cs="Arial"/>
        </w:rPr>
      </w:pPr>
    </w:p>
    <w:p w14:paraId="7822F4C0" w14:textId="5F480E26" w:rsidR="008F030B" w:rsidRPr="00BB133B" w:rsidRDefault="00DE7EB9" w:rsidP="00BB133B">
      <w:pPr>
        <w:jc w:val="both"/>
        <w:rPr>
          <w:rFonts w:ascii="Arial" w:hAnsi="Arial" w:cs="Arial"/>
        </w:rPr>
      </w:pPr>
      <w:r w:rsidRPr="00BB133B">
        <w:rPr>
          <w:rFonts w:ascii="Arial" w:hAnsi="Arial" w:cs="Arial"/>
          <w:b/>
          <w:bCs/>
        </w:rPr>
        <w:t>Figure S4:</w:t>
      </w:r>
      <w:r w:rsidRPr="00BB133B">
        <w:rPr>
          <w:rFonts w:ascii="Arial" w:hAnsi="Arial" w:cs="Arial"/>
        </w:rPr>
        <w:t xml:space="preserve"> For each Candida species, the number of both intergenic and antisense lncRNAs (represented by bar</w:t>
      </w:r>
      <w:r w:rsidR="008F030B" w:rsidRPr="00BB133B">
        <w:rPr>
          <w:rFonts w:ascii="Arial" w:hAnsi="Arial" w:cs="Arial"/>
        </w:rPr>
        <w:t xml:space="preserve"> </w:t>
      </w:r>
      <w:r w:rsidRPr="00BB133B">
        <w:rPr>
          <w:rFonts w:ascii="Arial" w:hAnsi="Arial" w:cs="Arial"/>
        </w:rPr>
        <w:t>plots) relative to the distance to the closest telomere across 50 kb windows. The data is summed across all chromosomes. The red line across each plot represents the mean.</w:t>
      </w:r>
      <w:r w:rsidR="008F030B" w:rsidRPr="00BB133B">
        <w:rPr>
          <w:rFonts w:ascii="Arial" w:hAnsi="Arial" w:cs="Arial"/>
        </w:rPr>
        <w:br w:type="page"/>
      </w:r>
    </w:p>
    <w:p w14:paraId="5ED7C448" w14:textId="3C65F525" w:rsidR="00DE7EB9" w:rsidRPr="00BB133B" w:rsidRDefault="008F030B" w:rsidP="006C5F34">
      <w:pPr>
        <w:jc w:val="both"/>
        <w:rPr>
          <w:rFonts w:ascii="Arial" w:hAnsi="Arial" w:cs="Arial"/>
        </w:rPr>
      </w:pPr>
      <w:r w:rsidRPr="00BB133B">
        <w:rPr>
          <w:rFonts w:ascii="Arial" w:hAnsi="Arial" w:cs="Arial"/>
          <w:noProof/>
        </w:rPr>
        <w:lastRenderedPageBreak/>
        <w:drawing>
          <wp:inline distT="0" distB="0" distL="0" distR="0" wp14:anchorId="29699029" wp14:editId="7D3D86B6">
            <wp:extent cx="5943600" cy="6503035"/>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503035"/>
                    </a:xfrm>
                    <a:prstGeom prst="rect">
                      <a:avLst/>
                    </a:prstGeom>
                  </pic:spPr>
                </pic:pic>
              </a:graphicData>
            </a:graphic>
          </wp:inline>
        </w:drawing>
      </w:r>
    </w:p>
    <w:p w14:paraId="2E7A5E31" w14:textId="55E20847" w:rsidR="00220AA7" w:rsidRPr="00BB133B" w:rsidRDefault="00953F87" w:rsidP="00953F87">
      <w:pPr>
        <w:jc w:val="both"/>
        <w:rPr>
          <w:rFonts w:ascii="Arial" w:hAnsi="Arial" w:cs="Arial"/>
          <w:i/>
          <w:iCs/>
        </w:rPr>
      </w:pPr>
      <w:r w:rsidRPr="00BB133B">
        <w:rPr>
          <w:rFonts w:ascii="Arial" w:hAnsi="Arial" w:cs="Arial"/>
          <w:b/>
          <w:bCs/>
        </w:rPr>
        <w:t>Figure S5:</w:t>
      </w:r>
      <w:r w:rsidRPr="00BB133B">
        <w:rPr>
          <w:rFonts w:ascii="Arial" w:hAnsi="Arial" w:cs="Arial"/>
        </w:rPr>
        <w:t xml:space="preserve"> Comparison of different transcript properties of protein-coding genes (“pc”), lncRNAs found in the current study (“</w:t>
      </w:r>
      <w:proofErr w:type="spellStart"/>
      <w:r w:rsidRPr="00BB133B">
        <w:rPr>
          <w:rFonts w:ascii="Arial" w:hAnsi="Arial" w:cs="Arial"/>
        </w:rPr>
        <w:t>i</w:t>
      </w:r>
      <w:proofErr w:type="spellEnd"/>
      <w:r w:rsidRPr="00BB133B">
        <w:rPr>
          <w:rFonts w:ascii="Arial" w:hAnsi="Arial" w:cs="Arial"/>
        </w:rPr>
        <w:t>” and “a” for intergenic and antisense transcripts, respectively), previously annotated lncRNAs (“</w:t>
      </w:r>
      <w:proofErr w:type="spellStart"/>
      <w:r w:rsidRPr="00BB133B">
        <w:rPr>
          <w:rFonts w:ascii="Arial" w:hAnsi="Arial" w:cs="Arial"/>
        </w:rPr>
        <w:t>known_ncRNAs</w:t>
      </w:r>
      <w:proofErr w:type="spellEnd"/>
      <w:r w:rsidRPr="00BB133B">
        <w:rPr>
          <w:rFonts w:ascii="Arial" w:hAnsi="Arial" w:cs="Arial"/>
        </w:rPr>
        <w:t xml:space="preserve">”), and intergenic regions (“inter”) in </w:t>
      </w:r>
      <w:r w:rsidRPr="00BB133B">
        <w:rPr>
          <w:rFonts w:ascii="Arial" w:hAnsi="Arial" w:cs="Arial"/>
          <w:i/>
          <w:iCs/>
        </w:rPr>
        <w:t>C. glabrata.</w:t>
      </w:r>
    </w:p>
    <w:p w14:paraId="5B646CD3" w14:textId="77777777" w:rsidR="00220AA7" w:rsidRPr="00BB133B" w:rsidRDefault="00220AA7">
      <w:pPr>
        <w:rPr>
          <w:rFonts w:ascii="Arial" w:hAnsi="Arial" w:cs="Arial"/>
          <w:i/>
          <w:iCs/>
        </w:rPr>
      </w:pPr>
      <w:r w:rsidRPr="00BB133B">
        <w:rPr>
          <w:rFonts w:ascii="Arial" w:hAnsi="Arial" w:cs="Arial"/>
          <w:i/>
          <w:iCs/>
        </w:rPr>
        <w:br w:type="page"/>
      </w:r>
    </w:p>
    <w:p w14:paraId="05D0A675" w14:textId="5A661642" w:rsidR="00220AA7" w:rsidRPr="00BB133B" w:rsidRDefault="00220AA7" w:rsidP="00220AA7">
      <w:pPr>
        <w:jc w:val="both"/>
        <w:rPr>
          <w:rFonts w:ascii="Arial" w:eastAsia="Times New Roman" w:hAnsi="Arial" w:cs="Arial"/>
        </w:rPr>
      </w:pPr>
      <w:r w:rsidRPr="00BB133B">
        <w:rPr>
          <w:rFonts w:ascii="Arial" w:hAnsi="Arial" w:cs="Arial"/>
          <w:i/>
          <w:iCs/>
          <w:noProof/>
        </w:rPr>
        <w:lastRenderedPageBreak/>
        <w:drawing>
          <wp:inline distT="0" distB="0" distL="0" distR="0" wp14:anchorId="27ADDB3B" wp14:editId="065ED26C">
            <wp:extent cx="5943600" cy="4862830"/>
            <wp:effectExtent l="0" t="0" r="0" b="127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862830"/>
                    </a:xfrm>
                    <a:prstGeom prst="rect">
                      <a:avLst/>
                    </a:prstGeom>
                  </pic:spPr>
                </pic:pic>
              </a:graphicData>
            </a:graphic>
          </wp:inline>
        </w:drawing>
      </w:r>
      <w:r w:rsidRPr="00BB133B">
        <w:rPr>
          <w:rFonts w:ascii="Arial" w:eastAsia="Times New Roman" w:hAnsi="Arial" w:cs="Arial"/>
          <w:b/>
          <w:bCs/>
          <w:color w:val="000000"/>
        </w:rPr>
        <w:t>Figure S6:</w:t>
      </w:r>
      <w:r w:rsidRPr="00BB133B">
        <w:rPr>
          <w:rFonts w:ascii="Arial" w:eastAsia="Times New Roman" w:hAnsi="Arial" w:cs="Arial"/>
          <w:color w:val="000000"/>
        </w:rPr>
        <w:t xml:space="preserve"> Percentage of lncRNAs overlapping repeat regions found in </w:t>
      </w:r>
      <w:r w:rsidRPr="00BB133B">
        <w:rPr>
          <w:rFonts w:ascii="Arial" w:eastAsia="Times New Roman" w:hAnsi="Arial" w:cs="Arial"/>
          <w:i/>
          <w:iCs/>
          <w:color w:val="000000"/>
        </w:rPr>
        <w:t>Candida</w:t>
      </w:r>
      <w:r w:rsidRPr="00BB133B">
        <w:rPr>
          <w:rFonts w:ascii="Arial" w:eastAsia="Times New Roman" w:hAnsi="Arial" w:cs="Arial"/>
          <w:color w:val="000000"/>
        </w:rPr>
        <w:t xml:space="preserve"> genomes. Cumulative percentage for each species and lncRNA type can exceed 100% since one lncRNA can overlap more than one class of repeats. Numbers on the bar plot indicate the percentage (at the top) and number (at the bottom) of lncRNAs overlapping repeats. </w:t>
      </w:r>
    </w:p>
    <w:p w14:paraId="74E2BA12" w14:textId="308E8B54" w:rsidR="00EB5C4E" w:rsidRPr="00BB133B" w:rsidRDefault="00EB5C4E">
      <w:pPr>
        <w:rPr>
          <w:rFonts w:ascii="Arial" w:hAnsi="Arial" w:cs="Arial"/>
          <w:i/>
          <w:iCs/>
        </w:rPr>
      </w:pPr>
    </w:p>
    <w:p w14:paraId="25C56F3E" w14:textId="60B08A08" w:rsidR="008F030B" w:rsidRPr="00BB133B" w:rsidRDefault="00EB5C4E" w:rsidP="00953F87">
      <w:pPr>
        <w:jc w:val="both"/>
        <w:rPr>
          <w:rFonts w:ascii="Arial" w:hAnsi="Arial" w:cs="Arial"/>
          <w:i/>
          <w:iCs/>
        </w:rPr>
      </w:pPr>
      <w:r w:rsidRPr="00BB133B">
        <w:rPr>
          <w:rFonts w:ascii="Arial" w:hAnsi="Arial" w:cs="Arial"/>
          <w:i/>
          <w:iCs/>
          <w:noProof/>
        </w:rPr>
        <w:lastRenderedPageBreak/>
        <w:drawing>
          <wp:inline distT="0" distB="0" distL="0" distR="0" wp14:anchorId="5B00B080" wp14:editId="43459D4E">
            <wp:extent cx="5943600" cy="6393180"/>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4B12A178" w14:textId="39A0C3E6" w:rsidR="00212FB7" w:rsidRPr="00BB133B" w:rsidRDefault="00EB5C4E" w:rsidP="007F6EFE">
      <w:pPr>
        <w:jc w:val="both"/>
        <w:rPr>
          <w:rFonts w:ascii="Arial" w:eastAsia="Times New Roman" w:hAnsi="Arial" w:cs="Arial"/>
          <w:color w:val="000000"/>
        </w:rPr>
      </w:pPr>
      <w:r w:rsidRPr="00BB133B">
        <w:rPr>
          <w:rFonts w:ascii="Arial" w:eastAsia="Times New Roman" w:hAnsi="Arial" w:cs="Arial"/>
          <w:b/>
          <w:bCs/>
          <w:color w:val="000000"/>
        </w:rPr>
        <w:t>Figure S</w:t>
      </w:r>
      <w:r w:rsidR="00220AA7" w:rsidRPr="00BB133B">
        <w:rPr>
          <w:rFonts w:ascii="Arial" w:eastAsia="Times New Roman" w:hAnsi="Arial" w:cs="Arial"/>
          <w:b/>
          <w:bCs/>
          <w:color w:val="000000"/>
        </w:rPr>
        <w:t>7</w:t>
      </w:r>
      <w:r w:rsidRPr="00BB133B">
        <w:rPr>
          <w:rFonts w:ascii="Arial" w:eastAsia="Times New Roman" w:hAnsi="Arial" w:cs="Arial"/>
          <w:b/>
          <w:bCs/>
          <w:color w:val="000000"/>
        </w:rPr>
        <w:t xml:space="preserve">: </w:t>
      </w:r>
      <w:r w:rsidRPr="00BB133B">
        <w:rPr>
          <w:rFonts w:ascii="Arial" w:eastAsia="Times New Roman" w:hAnsi="Arial" w:cs="Arial"/>
          <w:color w:val="000000"/>
        </w:rPr>
        <w:t xml:space="preserve">Assessment of evolutionary relationships of intergenic lncRNAs across </w:t>
      </w:r>
      <w:r w:rsidRPr="00BB133B">
        <w:rPr>
          <w:rFonts w:ascii="Arial" w:eastAsia="Times New Roman" w:hAnsi="Arial" w:cs="Arial"/>
          <w:i/>
          <w:iCs/>
          <w:color w:val="000000"/>
        </w:rPr>
        <w:t>Candida</w:t>
      </w:r>
      <w:r w:rsidRPr="00BB133B">
        <w:rPr>
          <w:rFonts w:ascii="Arial" w:eastAsia="Times New Roman" w:hAnsi="Arial" w:cs="Arial"/>
          <w:color w:val="000000"/>
        </w:rPr>
        <w:t xml:space="preserve"> species. Each Venn diagram represents the number of classified lncRNAs families (top row) and the number of corresponding lncRNA in those families (bottom raw) across the species. The two used methodologies to generate the relatedness data corresponding to the Venn diagrams are mentioned at the top of the plot, namely BLAST-based classification on the left and secondary structure-based classification at the right. </w:t>
      </w:r>
    </w:p>
    <w:p w14:paraId="67882698" w14:textId="77777777" w:rsidR="00212FB7" w:rsidRPr="00BB133B" w:rsidRDefault="00212FB7">
      <w:pPr>
        <w:rPr>
          <w:rFonts w:ascii="Arial" w:eastAsia="Times New Roman" w:hAnsi="Arial" w:cs="Arial"/>
          <w:color w:val="000000"/>
        </w:rPr>
      </w:pPr>
      <w:r w:rsidRPr="00BB133B">
        <w:rPr>
          <w:rFonts w:ascii="Arial" w:eastAsia="Times New Roman" w:hAnsi="Arial" w:cs="Arial"/>
          <w:color w:val="000000"/>
        </w:rPr>
        <w:br w:type="page"/>
      </w:r>
    </w:p>
    <w:p w14:paraId="35B9F2B4" w14:textId="490DA05E" w:rsidR="00EB5C4E" w:rsidRPr="00BB133B" w:rsidRDefault="00CC726B" w:rsidP="00CC726B">
      <w:pPr>
        <w:jc w:val="center"/>
        <w:rPr>
          <w:rFonts w:ascii="Arial" w:eastAsia="Times New Roman" w:hAnsi="Arial" w:cs="Arial"/>
        </w:rPr>
      </w:pPr>
      <w:r w:rsidRPr="00BB133B">
        <w:rPr>
          <w:rFonts w:ascii="Arial" w:eastAsia="Times New Roman" w:hAnsi="Arial" w:cs="Arial"/>
          <w:noProof/>
        </w:rPr>
        <w:lastRenderedPageBreak/>
        <w:drawing>
          <wp:inline distT="0" distB="0" distL="0" distR="0" wp14:anchorId="2ACE0400" wp14:editId="1725DF19">
            <wp:extent cx="4741886" cy="6702458"/>
            <wp:effectExtent l="0" t="0" r="0" b="3175"/>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47622" cy="6710566"/>
                    </a:xfrm>
                    <a:prstGeom prst="rect">
                      <a:avLst/>
                    </a:prstGeom>
                  </pic:spPr>
                </pic:pic>
              </a:graphicData>
            </a:graphic>
          </wp:inline>
        </w:drawing>
      </w:r>
    </w:p>
    <w:p w14:paraId="6FAC46CB" w14:textId="20A65593" w:rsidR="00CC726B" w:rsidRPr="00BB133B" w:rsidRDefault="00CC726B" w:rsidP="00CC726B">
      <w:pPr>
        <w:jc w:val="both"/>
        <w:rPr>
          <w:rFonts w:ascii="Arial" w:eastAsia="Times New Roman" w:hAnsi="Arial" w:cs="Arial"/>
          <w:color w:val="000000"/>
        </w:rPr>
      </w:pPr>
      <w:r w:rsidRPr="00BB133B">
        <w:rPr>
          <w:rFonts w:ascii="Arial" w:eastAsia="Times New Roman" w:hAnsi="Arial" w:cs="Arial"/>
          <w:b/>
          <w:bCs/>
          <w:color w:val="000000"/>
        </w:rPr>
        <w:t>Figure S8:</w:t>
      </w:r>
      <w:r w:rsidRPr="00BB133B">
        <w:rPr>
          <w:rFonts w:ascii="Arial" w:eastAsia="Times New Roman" w:hAnsi="Arial" w:cs="Arial"/>
          <w:color w:val="000000"/>
        </w:rPr>
        <w:t xml:space="preserve"> Gene co-expression networks represented as dendrograms produced with WGCNA and </w:t>
      </w:r>
      <w:proofErr w:type="spellStart"/>
      <w:r w:rsidRPr="00BB133B">
        <w:rPr>
          <w:rFonts w:ascii="Arial" w:eastAsia="Times New Roman" w:hAnsi="Arial" w:cs="Arial"/>
          <w:color w:val="000000"/>
        </w:rPr>
        <w:t>hclust</w:t>
      </w:r>
      <w:proofErr w:type="spellEnd"/>
      <w:r w:rsidRPr="00BB133B">
        <w:rPr>
          <w:rFonts w:ascii="Arial" w:eastAsia="Times New Roman" w:hAnsi="Arial" w:cs="Arial"/>
          <w:color w:val="000000"/>
        </w:rPr>
        <w:t xml:space="preserve"> function based on 1-Topology Overlap Matrix. Networks for (a) </w:t>
      </w:r>
      <w:r w:rsidRPr="00BB133B">
        <w:rPr>
          <w:rFonts w:ascii="Arial" w:eastAsia="Times New Roman" w:hAnsi="Arial" w:cs="Arial"/>
          <w:i/>
          <w:iCs/>
          <w:color w:val="000000"/>
        </w:rPr>
        <w:t>C. albicans</w:t>
      </w:r>
      <w:r w:rsidRPr="00BB133B">
        <w:rPr>
          <w:rFonts w:ascii="Arial" w:eastAsia="Times New Roman" w:hAnsi="Arial" w:cs="Arial"/>
          <w:color w:val="000000"/>
        </w:rPr>
        <w:t xml:space="preserve">; (b) </w:t>
      </w:r>
      <w:r w:rsidRPr="00BB133B">
        <w:rPr>
          <w:rFonts w:ascii="Arial" w:eastAsia="Times New Roman" w:hAnsi="Arial" w:cs="Arial"/>
          <w:i/>
          <w:iCs/>
          <w:color w:val="000000"/>
        </w:rPr>
        <w:t>C. tropicalis</w:t>
      </w:r>
      <w:r w:rsidRPr="00BB133B">
        <w:rPr>
          <w:rFonts w:ascii="Arial" w:eastAsia="Times New Roman" w:hAnsi="Arial" w:cs="Arial"/>
          <w:color w:val="000000"/>
        </w:rPr>
        <w:t xml:space="preserve">; (c) </w:t>
      </w:r>
      <w:r w:rsidRPr="00BB133B">
        <w:rPr>
          <w:rFonts w:ascii="Arial" w:eastAsia="Times New Roman" w:hAnsi="Arial" w:cs="Arial"/>
          <w:i/>
          <w:iCs/>
          <w:color w:val="000000"/>
        </w:rPr>
        <w:t>C. parapsilosis</w:t>
      </w:r>
      <w:r w:rsidRPr="00BB133B">
        <w:rPr>
          <w:rFonts w:ascii="Arial" w:eastAsia="Times New Roman" w:hAnsi="Arial" w:cs="Arial"/>
          <w:color w:val="000000"/>
        </w:rPr>
        <w:t xml:space="preserve">, (d) </w:t>
      </w:r>
      <w:r w:rsidRPr="00BB133B">
        <w:rPr>
          <w:rFonts w:ascii="Arial" w:eastAsia="Times New Roman" w:hAnsi="Arial" w:cs="Arial"/>
          <w:i/>
          <w:iCs/>
          <w:color w:val="000000"/>
        </w:rPr>
        <w:t>C. auris</w:t>
      </w:r>
      <w:r w:rsidRPr="00BB133B">
        <w:rPr>
          <w:rFonts w:ascii="Arial" w:eastAsia="Times New Roman" w:hAnsi="Arial" w:cs="Arial"/>
          <w:color w:val="000000"/>
        </w:rPr>
        <w:t xml:space="preserve"> and (e) </w:t>
      </w:r>
      <w:r w:rsidRPr="00BB133B">
        <w:rPr>
          <w:rFonts w:ascii="Arial" w:eastAsia="Times New Roman" w:hAnsi="Arial" w:cs="Arial"/>
          <w:i/>
          <w:iCs/>
          <w:color w:val="000000"/>
        </w:rPr>
        <w:t>C. glabrata</w:t>
      </w:r>
      <w:r w:rsidRPr="00BB133B">
        <w:rPr>
          <w:rFonts w:ascii="Arial" w:eastAsia="Times New Roman" w:hAnsi="Arial" w:cs="Arial"/>
          <w:color w:val="000000"/>
        </w:rPr>
        <w:t>. Each dendrogram represents co-expressed modules (on the bottom) obtained by gene clustering (top row) and eigengene clustering (bottom row).</w:t>
      </w:r>
    </w:p>
    <w:p w14:paraId="282DA459" w14:textId="77777777" w:rsidR="00CC726B" w:rsidRPr="00BB133B" w:rsidRDefault="00CC726B">
      <w:pPr>
        <w:rPr>
          <w:rFonts w:ascii="Arial" w:eastAsia="Times New Roman" w:hAnsi="Arial" w:cs="Arial"/>
          <w:color w:val="000000"/>
        </w:rPr>
      </w:pPr>
      <w:r w:rsidRPr="00BB133B">
        <w:rPr>
          <w:rFonts w:ascii="Arial" w:eastAsia="Times New Roman" w:hAnsi="Arial" w:cs="Arial"/>
          <w:color w:val="000000"/>
        </w:rPr>
        <w:br w:type="page"/>
      </w:r>
    </w:p>
    <w:p w14:paraId="3A6DC834" w14:textId="0C8C9F1D" w:rsidR="00EB5C4E" w:rsidRPr="00BB133B" w:rsidRDefault="00CC726B" w:rsidP="00CC726B">
      <w:pPr>
        <w:jc w:val="center"/>
        <w:rPr>
          <w:rFonts w:ascii="Arial" w:eastAsia="Times New Roman" w:hAnsi="Arial" w:cs="Arial"/>
          <w:color w:val="000000"/>
        </w:rPr>
      </w:pPr>
      <w:r w:rsidRPr="00BB133B">
        <w:rPr>
          <w:rFonts w:ascii="Arial" w:eastAsia="Times New Roman" w:hAnsi="Arial" w:cs="Arial"/>
          <w:noProof/>
          <w:color w:val="000000"/>
        </w:rPr>
        <w:lastRenderedPageBreak/>
        <w:drawing>
          <wp:inline distT="0" distB="0" distL="0" distR="0" wp14:anchorId="3BFB760F" wp14:editId="17B4C23F">
            <wp:extent cx="4741886" cy="6702458"/>
            <wp:effectExtent l="0" t="0" r="0" b="317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6045" cy="6708337"/>
                    </a:xfrm>
                    <a:prstGeom prst="rect">
                      <a:avLst/>
                    </a:prstGeom>
                  </pic:spPr>
                </pic:pic>
              </a:graphicData>
            </a:graphic>
          </wp:inline>
        </w:drawing>
      </w:r>
    </w:p>
    <w:p w14:paraId="09C0E62B" w14:textId="157A2282" w:rsidR="00F2168E" w:rsidRPr="00BB133B" w:rsidRDefault="00CC726B" w:rsidP="00CC726B">
      <w:pPr>
        <w:jc w:val="both"/>
        <w:rPr>
          <w:rFonts w:ascii="Arial" w:eastAsia="Times New Roman" w:hAnsi="Arial" w:cs="Arial"/>
          <w:color w:val="000000"/>
        </w:rPr>
      </w:pPr>
      <w:r w:rsidRPr="00BB133B">
        <w:rPr>
          <w:rFonts w:ascii="Arial" w:eastAsia="Times New Roman" w:hAnsi="Arial" w:cs="Arial"/>
          <w:b/>
          <w:bCs/>
          <w:color w:val="000000"/>
        </w:rPr>
        <w:t>Figure S9:</w:t>
      </w:r>
      <w:r w:rsidRPr="00BB133B">
        <w:rPr>
          <w:rFonts w:ascii="Arial" w:eastAsia="Times New Roman" w:hAnsi="Arial" w:cs="Arial"/>
          <w:color w:val="000000"/>
        </w:rPr>
        <w:t xml:space="preserve"> Co-expressed modules and distribution of lncRNAs in modules for studied </w:t>
      </w:r>
      <w:r w:rsidRPr="00BB133B">
        <w:rPr>
          <w:rFonts w:ascii="Arial" w:eastAsia="Times New Roman" w:hAnsi="Arial" w:cs="Arial"/>
          <w:i/>
          <w:iCs/>
          <w:color w:val="000000"/>
        </w:rPr>
        <w:t>Candida</w:t>
      </w:r>
      <w:r w:rsidRPr="00BB133B">
        <w:rPr>
          <w:rFonts w:ascii="Arial" w:eastAsia="Times New Roman" w:hAnsi="Arial" w:cs="Arial"/>
          <w:color w:val="000000"/>
        </w:rPr>
        <w:t xml:space="preserve"> species. Modules for (a) </w:t>
      </w:r>
      <w:r w:rsidRPr="00BB133B">
        <w:rPr>
          <w:rFonts w:ascii="Arial" w:eastAsia="Times New Roman" w:hAnsi="Arial" w:cs="Arial"/>
          <w:i/>
          <w:iCs/>
          <w:color w:val="000000"/>
        </w:rPr>
        <w:t>C. albicans;</w:t>
      </w:r>
      <w:r w:rsidRPr="00BB133B">
        <w:rPr>
          <w:rFonts w:ascii="Arial" w:eastAsia="Times New Roman" w:hAnsi="Arial" w:cs="Arial"/>
          <w:color w:val="000000"/>
        </w:rPr>
        <w:t xml:space="preserve"> (b) </w:t>
      </w:r>
      <w:r w:rsidRPr="00BB133B">
        <w:rPr>
          <w:rFonts w:ascii="Arial" w:eastAsia="Times New Roman" w:hAnsi="Arial" w:cs="Arial"/>
          <w:i/>
          <w:iCs/>
          <w:color w:val="000000"/>
        </w:rPr>
        <w:t>C. tropicalis;</w:t>
      </w:r>
      <w:r w:rsidRPr="00BB133B">
        <w:rPr>
          <w:rFonts w:ascii="Arial" w:eastAsia="Times New Roman" w:hAnsi="Arial" w:cs="Arial"/>
          <w:color w:val="000000"/>
        </w:rPr>
        <w:t xml:space="preserve"> (c) </w:t>
      </w:r>
      <w:r w:rsidRPr="00BB133B">
        <w:rPr>
          <w:rFonts w:ascii="Arial" w:eastAsia="Times New Roman" w:hAnsi="Arial" w:cs="Arial"/>
          <w:i/>
          <w:iCs/>
          <w:color w:val="000000"/>
        </w:rPr>
        <w:t>C. parapsilosis</w:t>
      </w:r>
      <w:r w:rsidRPr="00BB133B">
        <w:rPr>
          <w:rFonts w:ascii="Arial" w:eastAsia="Times New Roman" w:hAnsi="Arial" w:cs="Arial"/>
          <w:color w:val="000000"/>
        </w:rPr>
        <w:t xml:space="preserve">; (d) </w:t>
      </w:r>
      <w:r w:rsidRPr="00BB133B">
        <w:rPr>
          <w:rFonts w:ascii="Arial" w:eastAsia="Times New Roman" w:hAnsi="Arial" w:cs="Arial"/>
          <w:i/>
          <w:iCs/>
          <w:color w:val="000000"/>
        </w:rPr>
        <w:t>C. auris</w:t>
      </w:r>
      <w:r w:rsidRPr="00BB133B">
        <w:rPr>
          <w:rFonts w:ascii="Arial" w:eastAsia="Times New Roman" w:hAnsi="Arial" w:cs="Arial"/>
          <w:color w:val="000000"/>
        </w:rPr>
        <w:t xml:space="preserve"> and (e) </w:t>
      </w:r>
      <w:r w:rsidRPr="00BB133B">
        <w:rPr>
          <w:rFonts w:ascii="Arial" w:eastAsia="Times New Roman" w:hAnsi="Arial" w:cs="Arial"/>
          <w:i/>
          <w:iCs/>
          <w:color w:val="000000"/>
        </w:rPr>
        <w:t>C. glabrata</w:t>
      </w:r>
      <w:r w:rsidRPr="00BB133B">
        <w:rPr>
          <w:rFonts w:ascii="Arial" w:eastAsia="Times New Roman" w:hAnsi="Arial" w:cs="Arial"/>
          <w:color w:val="000000"/>
        </w:rPr>
        <w:t>. Each bar plot represents a module, which height corresponds to the number of genes (both protein-coding and intergenic lncRNAs) involved in the module. Numbers at the right of bars represent the number of lncRNAs in the module and proportion (in parentheses) of lncRNA over the total number of genes in the module. Modules where a lncRNA represents a hub is highlighted by a red star.</w:t>
      </w:r>
    </w:p>
    <w:p w14:paraId="098A8C9A" w14:textId="77777777" w:rsidR="00F2168E" w:rsidRPr="00BB133B" w:rsidRDefault="00F2168E">
      <w:pPr>
        <w:rPr>
          <w:rFonts w:ascii="Arial" w:eastAsia="Times New Roman" w:hAnsi="Arial" w:cs="Arial"/>
          <w:color w:val="000000"/>
        </w:rPr>
      </w:pPr>
      <w:r w:rsidRPr="00BB133B">
        <w:rPr>
          <w:rFonts w:ascii="Arial" w:eastAsia="Times New Roman" w:hAnsi="Arial" w:cs="Arial"/>
          <w:color w:val="000000"/>
        </w:rPr>
        <w:br w:type="page"/>
      </w:r>
    </w:p>
    <w:p w14:paraId="7E805ECC" w14:textId="44AF3C4E" w:rsidR="00F2168E" w:rsidRPr="00BB133B" w:rsidRDefault="00DE7DBF" w:rsidP="00F2168E">
      <w:pPr>
        <w:jc w:val="both"/>
        <w:rPr>
          <w:rFonts w:ascii="Arial" w:eastAsia="Times New Roman" w:hAnsi="Arial" w:cs="Arial"/>
          <w:color w:val="000000"/>
          <w:sz w:val="28"/>
          <w:szCs w:val="28"/>
        </w:rPr>
      </w:pPr>
      <w:r w:rsidRPr="00BB133B">
        <w:rPr>
          <w:rFonts w:ascii="Arial" w:eastAsia="Times New Roman" w:hAnsi="Arial" w:cs="Arial"/>
          <w:noProof/>
          <w:color w:val="000000"/>
          <w:sz w:val="28"/>
          <w:szCs w:val="28"/>
        </w:rPr>
        <w:lastRenderedPageBreak/>
        <w:drawing>
          <wp:inline distT="0" distB="0" distL="0" distR="0" wp14:anchorId="4AA63FBE" wp14:editId="77664F91">
            <wp:extent cx="5943600" cy="537400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374005"/>
                    </a:xfrm>
                    <a:prstGeom prst="rect">
                      <a:avLst/>
                    </a:prstGeom>
                  </pic:spPr>
                </pic:pic>
              </a:graphicData>
            </a:graphic>
          </wp:inline>
        </w:drawing>
      </w:r>
    </w:p>
    <w:p w14:paraId="11A94D30" w14:textId="7F787559" w:rsidR="004F59D4" w:rsidRPr="00BB133B" w:rsidRDefault="00DE2432" w:rsidP="00F2168E">
      <w:pPr>
        <w:jc w:val="both"/>
        <w:rPr>
          <w:rFonts w:ascii="Arial" w:eastAsia="Times New Roman" w:hAnsi="Arial" w:cs="Arial"/>
          <w:color w:val="000000"/>
        </w:rPr>
      </w:pPr>
      <w:r w:rsidRPr="00BB133B">
        <w:rPr>
          <w:rFonts w:ascii="Arial" w:eastAsia="Times New Roman" w:hAnsi="Arial" w:cs="Arial"/>
          <w:b/>
          <w:bCs/>
          <w:color w:val="000000"/>
        </w:rPr>
        <w:t>Figure S1</w:t>
      </w:r>
      <w:r w:rsidR="004F59D4" w:rsidRPr="00BB133B">
        <w:rPr>
          <w:rFonts w:ascii="Arial" w:eastAsia="Times New Roman" w:hAnsi="Arial" w:cs="Arial"/>
          <w:b/>
          <w:bCs/>
          <w:color w:val="000000"/>
        </w:rPr>
        <w:t>0</w:t>
      </w:r>
      <w:r w:rsidRPr="00BB133B">
        <w:rPr>
          <w:rFonts w:ascii="Arial" w:eastAsia="Times New Roman" w:hAnsi="Arial" w:cs="Arial"/>
          <w:b/>
          <w:bCs/>
          <w:color w:val="000000"/>
        </w:rPr>
        <w:t>:</w:t>
      </w:r>
      <w:r w:rsidRPr="00BB133B">
        <w:rPr>
          <w:rFonts w:ascii="Arial" w:eastAsia="Times New Roman" w:hAnsi="Arial" w:cs="Arial"/>
          <w:color w:val="000000"/>
        </w:rPr>
        <w:t xml:space="preserve"> Expression levels of infection-specific lncRNAs and </w:t>
      </w:r>
      <w:r w:rsidR="006302B4" w:rsidRPr="00BB133B">
        <w:rPr>
          <w:rFonts w:ascii="Arial" w:eastAsia="Times New Roman" w:hAnsi="Arial" w:cs="Arial"/>
          <w:color w:val="000000"/>
        </w:rPr>
        <w:t>co-expressed protein coding genes across analyzed sample in (a) module “</w:t>
      </w:r>
      <w:proofErr w:type="spellStart"/>
      <w:r w:rsidR="006302B4" w:rsidRPr="00BB133B">
        <w:rPr>
          <w:rFonts w:ascii="Arial" w:eastAsia="Times New Roman" w:hAnsi="Arial" w:cs="Arial"/>
          <w:color w:val="000000"/>
        </w:rPr>
        <w:t>darkred</w:t>
      </w:r>
      <w:proofErr w:type="spellEnd"/>
      <w:r w:rsidR="006302B4" w:rsidRPr="00BB133B">
        <w:rPr>
          <w:rFonts w:ascii="Arial" w:eastAsia="Times New Roman" w:hAnsi="Arial" w:cs="Arial"/>
          <w:color w:val="000000"/>
        </w:rPr>
        <w:t xml:space="preserve">” of </w:t>
      </w:r>
      <w:r w:rsidR="006302B4" w:rsidRPr="00BB133B">
        <w:rPr>
          <w:rFonts w:ascii="Arial" w:eastAsia="Times New Roman" w:hAnsi="Arial" w:cs="Arial"/>
          <w:i/>
          <w:iCs/>
          <w:color w:val="000000"/>
        </w:rPr>
        <w:t>C. albicans</w:t>
      </w:r>
      <w:r w:rsidR="006302B4" w:rsidRPr="00BB133B">
        <w:rPr>
          <w:rFonts w:ascii="Arial" w:eastAsia="Times New Roman" w:hAnsi="Arial" w:cs="Arial"/>
          <w:color w:val="000000"/>
        </w:rPr>
        <w:t xml:space="preserve"> (for visualization purposes only samples from S dataset are shown) and (b) module coral1 of </w:t>
      </w:r>
      <w:r w:rsidR="006302B4" w:rsidRPr="00BB133B">
        <w:rPr>
          <w:rFonts w:ascii="Arial" w:eastAsia="Times New Roman" w:hAnsi="Arial" w:cs="Arial"/>
          <w:i/>
          <w:iCs/>
          <w:color w:val="000000"/>
        </w:rPr>
        <w:t>C. tropicalis</w:t>
      </w:r>
      <w:r w:rsidR="006302B4" w:rsidRPr="00BB133B">
        <w:rPr>
          <w:rFonts w:ascii="Arial" w:eastAsia="Times New Roman" w:hAnsi="Arial" w:cs="Arial"/>
          <w:color w:val="000000"/>
        </w:rPr>
        <w:t>. Only co-expression of infection-specific lncRNAs with highest WGCNA weights are shown. Sample IDs correspond to SRA identifiers and internal samples names in case of S dataset.</w:t>
      </w:r>
    </w:p>
    <w:p w14:paraId="4B3AD37D" w14:textId="77777777" w:rsidR="004F59D4" w:rsidRPr="00BB133B" w:rsidRDefault="004F59D4">
      <w:pPr>
        <w:rPr>
          <w:rFonts w:ascii="Arial" w:eastAsia="Times New Roman" w:hAnsi="Arial" w:cs="Arial"/>
          <w:color w:val="000000"/>
        </w:rPr>
      </w:pPr>
      <w:r w:rsidRPr="00BB133B">
        <w:rPr>
          <w:rFonts w:ascii="Arial" w:eastAsia="Times New Roman" w:hAnsi="Arial" w:cs="Arial"/>
          <w:color w:val="000000"/>
        </w:rPr>
        <w:br w:type="page"/>
      </w:r>
    </w:p>
    <w:p w14:paraId="2AD03B80" w14:textId="77777777" w:rsidR="004F59D4" w:rsidRPr="00BB133B" w:rsidRDefault="004F59D4" w:rsidP="004F59D4">
      <w:pPr>
        <w:jc w:val="center"/>
        <w:rPr>
          <w:rFonts w:ascii="Arial" w:eastAsia="Times New Roman" w:hAnsi="Arial" w:cs="Arial"/>
          <w:color w:val="000000"/>
        </w:rPr>
      </w:pPr>
      <w:r w:rsidRPr="00BB133B">
        <w:rPr>
          <w:rFonts w:ascii="Arial" w:eastAsia="Times New Roman" w:hAnsi="Arial" w:cs="Arial"/>
          <w:noProof/>
          <w:color w:val="000000"/>
        </w:rPr>
        <w:lastRenderedPageBreak/>
        <w:drawing>
          <wp:inline distT="0" distB="0" distL="0" distR="0" wp14:anchorId="631546D2" wp14:editId="424AD542">
            <wp:extent cx="4572000" cy="4572000"/>
            <wp:effectExtent l="0" t="0" r="0" b="0"/>
            <wp:docPr id="10" name="Picture 1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venn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11877638" w14:textId="77777777" w:rsidR="004F59D4" w:rsidRPr="00BB133B" w:rsidRDefault="004F59D4" w:rsidP="004F59D4">
      <w:pPr>
        <w:jc w:val="both"/>
        <w:rPr>
          <w:rFonts w:ascii="Arial" w:hAnsi="Arial" w:cs="Arial"/>
        </w:rPr>
      </w:pPr>
      <w:r w:rsidRPr="00BB133B">
        <w:rPr>
          <w:rFonts w:ascii="Arial" w:hAnsi="Arial" w:cs="Arial"/>
          <w:b/>
          <w:bCs/>
        </w:rPr>
        <w:t>Figure S11:</w:t>
      </w:r>
      <w:r w:rsidRPr="00BB133B">
        <w:rPr>
          <w:rFonts w:ascii="Arial" w:hAnsi="Arial" w:cs="Arial"/>
        </w:rPr>
        <w:t xml:space="preserve"> Venn diagram of syntenic families where “infection-specific” lncRNAs of the four </w:t>
      </w:r>
      <w:r w:rsidRPr="00BB133B">
        <w:rPr>
          <w:rFonts w:ascii="Arial" w:hAnsi="Arial" w:cs="Arial"/>
          <w:i/>
          <w:iCs/>
        </w:rPr>
        <w:t xml:space="preserve">Candida </w:t>
      </w:r>
      <w:r w:rsidRPr="00BB133B">
        <w:rPr>
          <w:rFonts w:ascii="Arial" w:hAnsi="Arial" w:cs="Arial"/>
        </w:rPr>
        <w:t>pathogens are involved in.</w:t>
      </w:r>
    </w:p>
    <w:p w14:paraId="3561AEB7" w14:textId="098D68F4" w:rsidR="00DE2432" w:rsidRPr="00BB133B" w:rsidRDefault="00DE2432" w:rsidP="004F59D4">
      <w:pPr>
        <w:rPr>
          <w:rFonts w:ascii="Arial" w:eastAsia="Times New Roman" w:hAnsi="Arial" w:cs="Arial"/>
          <w:color w:val="000000"/>
        </w:rPr>
      </w:pPr>
    </w:p>
    <w:sectPr w:rsidR="00DE2432" w:rsidRPr="00BB13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F34"/>
    <w:rsid w:val="00212FB7"/>
    <w:rsid w:val="00220AA7"/>
    <w:rsid w:val="002962F8"/>
    <w:rsid w:val="00302581"/>
    <w:rsid w:val="004F59D4"/>
    <w:rsid w:val="006050F7"/>
    <w:rsid w:val="006302B4"/>
    <w:rsid w:val="006C5F34"/>
    <w:rsid w:val="00706A64"/>
    <w:rsid w:val="007F6EFE"/>
    <w:rsid w:val="008F030B"/>
    <w:rsid w:val="00953F87"/>
    <w:rsid w:val="00BB133B"/>
    <w:rsid w:val="00C967C3"/>
    <w:rsid w:val="00CC6E70"/>
    <w:rsid w:val="00CC726B"/>
    <w:rsid w:val="00CF4FE5"/>
    <w:rsid w:val="00D43695"/>
    <w:rsid w:val="00D85633"/>
    <w:rsid w:val="00DE2432"/>
    <w:rsid w:val="00DE7DBF"/>
    <w:rsid w:val="00DE7EB9"/>
    <w:rsid w:val="00EB556F"/>
    <w:rsid w:val="00EB5C4E"/>
    <w:rsid w:val="00F21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F3CDD"/>
  <w15:chartTrackingRefBased/>
  <w15:docId w15:val="{678EBCB0-ACB0-CF4C-A12F-0CAB72E26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C5F34"/>
    <w:pPr>
      <w:autoSpaceDE w:val="0"/>
      <w:autoSpaceDN w:val="0"/>
      <w:adjustRightInd w:val="0"/>
    </w:pPr>
    <w:rPr>
      <w:rFonts w:ascii="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423383">
      <w:bodyDiv w:val="1"/>
      <w:marLeft w:val="0"/>
      <w:marRight w:val="0"/>
      <w:marTop w:val="0"/>
      <w:marBottom w:val="0"/>
      <w:divBdr>
        <w:top w:val="none" w:sz="0" w:space="0" w:color="auto"/>
        <w:left w:val="none" w:sz="0" w:space="0" w:color="auto"/>
        <w:bottom w:val="none" w:sz="0" w:space="0" w:color="auto"/>
        <w:right w:val="none" w:sz="0" w:space="0" w:color="auto"/>
      </w:divBdr>
    </w:div>
    <w:div w:id="1114591871">
      <w:bodyDiv w:val="1"/>
      <w:marLeft w:val="0"/>
      <w:marRight w:val="0"/>
      <w:marTop w:val="0"/>
      <w:marBottom w:val="0"/>
      <w:divBdr>
        <w:top w:val="none" w:sz="0" w:space="0" w:color="auto"/>
        <w:left w:val="none" w:sz="0" w:space="0" w:color="auto"/>
        <w:bottom w:val="none" w:sz="0" w:space="0" w:color="auto"/>
        <w:right w:val="none" w:sz="0" w:space="0" w:color="auto"/>
      </w:divBdr>
    </w:div>
    <w:div w:id="1870214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11</Pages>
  <Words>657</Words>
  <Characters>3749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Hrant Hovhannisyan</dc:creator>
  <cp:keywords/>
  <dc:description/>
  <cp:lastModifiedBy>Hrant Hovhannisyan</cp:lastModifiedBy>
  <cp:revision>15</cp:revision>
  <dcterms:created xsi:type="dcterms:W3CDTF">2021-08-30T11:51:00Z</dcterms:created>
  <dcterms:modified xsi:type="dcterms:W3CDTF">2021-10-07T14:49:00Z</dcterms:modified>
</cp:coreProperties>
</file>