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34937" cy="14349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937" cy="143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ANALYSTLAB AFRICA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Science Internship Programme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 workforce observations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Research &amp; Development and Sales departments account for the highest number of </w:t>
      </w:r>
      <w:r w:rsidDel="00000000" w:rsidR="00000000" w:rsidRPr="00000000">
        <w:rPr>
          <w:sz w:val="24"/>
          <w:szCs w:val="24"/>
          <w:rtl w:val="0"/>
        </w:rPr>
        <w:t xml:space="preserve">employees,</w:t>
      </w:r>
      <w:r w:rsidDel="00000000" w:rsidR="00000000" w:rsidRPr="00000000">
        <w:rPr>
          <w:rtl w:val="0"/>
        </w:rPr>
        <w:t xml:space="preserve"> with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Human Resources records the lowest attrition count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Laboratory Technician, Sales Executive, sales representatives, and Research Scientist experience noticeably higher employee attrition than others.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employees who work overtime are more likely to leave the organization than those who do not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company has a predominantly mid-career workforce.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Most employees earn relatively lower monthly incomes, while a smaller number earn significantly higher salaries.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ive possible factors contributing to attrition supported by evidence.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Employees who left the organization generally have a lower median monthly income.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221211" cy="17142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211" cy="171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Employees who left the organization appear to have a slightly lower median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271713" cy="184385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843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mployees who work overtime are more likely to leave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071688" cy="164516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45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Laboratory Technician, Sales Executive, sales representatives and research Scientist experience noticeably higher employee attrition..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633663" cy="208920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89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Research &amp; Development and Sales departments account for the highest number of employees leaving the organization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605088" cy="208407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08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