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B6B" w:rsidRDefault="004C37F6">
      <w:pPr>
        <w:spacing w:after="60"/>
      </w:pPr>
      <w:r>
        <w:rPr>
          <w:b/>
          <w:bCs/>
          <w:sz w:val="26"/>
          <w:szCs w:val="26"/>
        </w:rPr>
        <w:t>Group 6 — Automated Public Health Procurement Auditor</w:t>
      </w:r>
    </w:p>
    <w:p w:rsidR="00BB1B6B" w:rsidRDefault="004C37F6">
      <w:pPr>
        <w:pStyle w:val="Heading1"/>
        <w:spacing w:before="160" w:after="80"/>
      </w:pPr>
      <w:r>
        <w:rPr>
          <w:b/>
          <w:bCs/>
          <w:color w:val="000000"/>
        </w:rPr>
        <w:t>Project Overview</w:t>
      </w:r>
    </w:p>
    <w:p w:rsidR="00BB1B6B" w:rsidRDefault="004C37F6">
      <w:pPr>
        <w:spacing w:after="110" w:line="254" w:lineRule="auto"/>
      </w:pPr>
      <w:r>
        <w:t>The Automated Public Health Procurement Auditor is a web based tool that checks government medical purchases in Kenya and flags contracts priced far above the KEMSA market benchmark, so an auditor can review them before public funds are lost. It does not d</w:t>
      </w:r>
      <w:r>
        <w:t>ecide guilt or replace existing audit bodies. It is built for auditors, oversight officers and public health officials, and it replaces a manual review process that currently takes months with real time alerts.</w:t>
      </w:r>
    </w:p>
    <w:p w:rsidR="00BB1B6B" w:rsidRDefault="004C37F6">
      <w:pPr>
        <w:pStyle w:val="Heading1"/>
        <w:spacing w:before="160" w:after="80"/>
      </w:pPr>
      <w:r>
        <w:rPr>
          <w:b/>
          <w:bCs/>
          <w:color w:val="000000"/>
        </w:rPr>
        <w:t>System Architecture</w:t>
      </w:r>
    </w:p>
    <w:p w:rsidR="00BB1B6B" w:rsidRDefault="004C37F6">
      <w:pPr>
        <w:spacing w:after="110" w:line="254" w:lineRule="auto"/>
      </w:pPr>
      <w:r>
        <w:t>The system follows a thre</w:t>
      </w:r>
      <w:r>
        <w:t>e tier client-server architecture, which keeps the interface, the business logic and the data independent of each other.</w:t>
      </w:r>
    </w:p>
    <w:p w:rsidR="00BB1B6B" w:rsidRDefault="004C37F6">
      <w:pPr>
        <w:spacing w:before="80" w:after="80"/>
        <w:jc w:val="center"/>
      </w:pPr>
      <w:r>
        <w:rPr>
          <w:noProof/>
        </w:rPr>
        <w:drawing>
          <wp:inline distT="0" distB="0" distL="0" distR="0">
            <wp:extent cx="4381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3048000"/>
                    </a:xfrm>
                    <a:prstGeom prst="rect">
                      <a:avLst/>
                    </a:prstGeom>
                  </pic:spPr>
                </pic:pic>
              </a:graphicData>
            </a:graphic>
          </wp:inline>
        </w:drawing>
      </w:r>
    </w:p>
    <w:p w:rsidR="00BB1B6B" w:rsidRDefault="004C37F6">
      <w:pPr>
        <w:spacing w:after="110" w:line="254" w:lineRule="auto"/>
      </w:pPr>
      <w:r>
        <w:t>There is no direct connection between the frontend and the database. Every request from the dashboard, login page or contract form go</w:t>
      </w:r>
      <w:r>
        <w:t>es through the Node.js and Express API first; that API is the only component holding database credentials. The connection between the frontend and the API is secured with HTTPS (TLS), and the connection between the API and PostgreSQL is also encrypted (SSL</w:t>
      </w:r>
      <w:r>
        <w:t xml:space="preserve"> enabled on the </w:t>
      </w:r>
      <w:proofErr w:type="spellStart"/>
      <w:r>
        <w:t>pg</w:t>
      </w:r>
      <w:proofErr w:type="spellEnd"/>
      <w:r>
        <w:t xml:space="preserve"> connection). This separation means the risk scoring rules can change without touching the frontend, and the database can be scaled or backed up on its own. We used Node.js and Express instead of a heavier framework such as Django because</w:t>
      </w:r>
      <w:r>
        <w:t xml:space="preserve"> the team already had JavaScript experience across the stack, and Express keeps the API layer small for a project this size.</w:t>
      </w:r>
    </w:p>
    <w:p w:rsidR="00BB1B6B" w:rsidRDefault="004C37F6">
      <w:pPr>
        <w:spacing w:after="110" w:line="254" w:lineRule="auto"/>
      </w:pPr>
      <w:r>
        <w:t xml:space="preserve">Other security measures: passwords are hashed with </w:t>
      </w:r>
      <w:proofErr w:type="spellStart"/>
      <w:r>
        <w:t>bcrypt</w:t>
      </w:r>
      <w:proofErr w:type="spellEnd"/>
      <w:r>
        <w:t xml:space="preserve"> before storage, every API request after login requires a valid JWT, and a</w:t>
      </w:r>
      <w:r>
        <w:t xml:space="preserve">ll database queries are parameterized through the </w:t>
      </w:r>
      <w:proofErr w:type="spellStart"/>
      <w:r>
        <w:t>pg</w:t>
      </w:r>
      <w:proofErr w:type="spellEnd"/>
      <w:r>
        <w:t xml:space="preserve"> driver to prevent SQL injection. Access is further restricted by the role field on each user account.</w:t>
      </w:r>
    </w:p>
    <w:p w:rsidR="00BB1B6B" w:rsidRDefault="004C37F6">
      <w:pPr>
        <w:pStyle w:val="Heading2"/>
        <w:spacing w:before="160" w:after="80"/>
      </w:pPr>
      <w:r>
        <w:rPr>
          <w:b/>
          <w:bCs/>
          <w:color w:val="000000"/>
        </w:rPr>
        <w:t>Data Flow: Submitting a Contract</w:t>
      </w:r>
    </w:p>
    <w:p w:rsidR="00BB1B6B" w:rsidRDefault="004C37F6">
      <w:pPr>
        <w:spacing w:after="110" w:line="254" w:lineRule="auto"/>
      </w:pPr>
      <w:r>
        <w:t>1. The auditor fills in the contract entry form and submits it. 2. T</w:t>
      </w:r>
      <w:r>
        <w:t xml:space="preserve">he frontend sends an authenticated POST request to the backend, including the JWT. 3. The backend validates the token and the submitted data. 4. The backend looks up the matching item in </w:t>
      </w:r>
      <w:proofErr w:type="spellStart"/>
      <w:r>
        <w:t>market_baselines</w:t>
      </w:r>
      <w:proofErr w:type="spellEnd"/>
      <w:r>
        <w:t>. 5. The audit engine calculates the percentage devia</w:t>
      </w:r>
      <w:r>
        <w:t xml:space="preserve">tion between the contracted price and the baseline price. 6. If the deviation passes the item's tolerance threshold, the backend inserts a row into </w:t>
      </w:r>
      <w:proofErr w:type="spellStart"/>
      <w:r>
        <w:t>anomaly_alerts</w:t>
      </w:r>
      <w:proofErr w:type="spellEnd"/>
      <w:r>
        <w:t xml:space="preserve"> with the computed risk level. 7. The dashboard fetches the alerts feed and shows the newly fl</w:t>
      </w:r>
      <w:r>
        <w:t>agged contract to the auditor.</w:t>
      </w:r>
    </w:p>
    <w:p w:rsidR="00BB1B6B" w:rsidRDefault="004C37F6">
      <w:pPr>
        <w:pStyle w:val="Heading1"/>
        <w:spacing w:before="160" w:after="80"/>
      </w:pPr>
      <w:r>
        <w:rPr>
          <w:b/>
          <w:bCs/>
          <w:color w:val="000000"/>
        </w:rPr>
        <w:t>Database and Data Management</w:t>
      </w:r>
    </w:p>
    <w:p w:rsidR="00BB1B6B" w:rsidRDefault="004C37F6">
      <w:pPr>
        <w:spacing w:after="110" w:line="254" w:lineRule="auto"/>
      </w:pPr>
      <w:r>
        <w:t xml:space="preserve">The database has four tables. </w:t>
      </w:r>
      <w:proofErr w:type="spellStart"/>
      <w:r>
        <w:t>market_baselines</w:t>
      </w:r>
      <w:proofErr w:type="spellEnd"/>
      <w:r>
        <w:t xml:space="preserve"> holds KEMSA reference prices and a tolerance percentage per item. </w:t>
      </w:r>
      <w:proofErr w:type="spellStart"/>
      <w:r>
        <w:t>procurement_contracts</w:t>
      </w:r>
      <w:proofErr w:type="spellEnd"/>
      <w:r>
        <w:t xml:space="preserve"> stores what was actually paid, linked to the user who submitt</w:t>
      </w:r>
      <w:r>
        <w:t xml:space="preserve">ed it and the baseline </w:t>
      </w:r>
      <w:r>
        <w:lastRenderedPageBreak/>
        <w:t xml:space="preserve">it should match. </w:t>
      </w:r>
      <w:proofErr w:type="spellStart"/>
      <w:r>
        <w:t>anomaly_alerts</w:t>
      </w:r>
      <w:proofErr w:type="spellEnd"/>
      <w:r>
        <w:t xml:space="preserve"> stores the result of comparing a contract to its baseline, including the risk level and how far off the price was. users </w:t>
      </w:r>
      <w:proofErr w:type="gramStart"/>
      <w:r>
        <w:t>stores</w:t>
      </w:r>
      <w:proofErr w:type="gramEnd"/>
      <w:r>
        <w:t xml:space="preserve"> login credentials, with passwords hashed using </w:t>
      </w:r>
      <w:proofErr w:type="spellStart"/>
      <w:r>
        <w:t>bcrypt</w:t>
      </w:r>
      <w:proofErr w:type="spellEnd"/>
      <w:r>
        <w:t>, and a role field t</w:t>
      </w:r>
      <w:r>
        <w:t>hat controls access.</w:t>
      </w:r>
    </w:p>
    <w:p w:rsidR="00BB1B6B" w:rsidRDefault="004C37F6">
      <w:pPr>
        <w:spacing w:before="80" w:after="100"/>
        <w:jc w:val="center"/>
      </w:pPr>
      <w:r>
        <w:rPr>
          <w:noProof/>
        </w:rPr>
        <w:drawing>
          <wp:inline distT="0" distB="0" distL="0" distR="0">
            <wp:extent cx="4572000" cy="3495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495675"/>
                    </a:xfrm>
                    <a:prstGeom prst="rect">
                      <a:avLst/>
                    </a:prstGeom>
                  </pic:spPr>
                </pic:pic>
              </a:graphicData>
            </a:graphic>
          </wp:inline>
        </w:drawing>
      </w:r>
    </w:p>
    <w:p w:rsidR="00BB1B6B" w:rsidRDefault="004C37F6">
      <w:pPr>
        <w:spacing w:after="110" w:line="254" w:lineRule="auto"/>
      </w:pPr>
      <w:r>
        <w:t>PostgreSQL was chosen over a NoSQL option such as MongoDB because procurement records are relational: contracts link to users and baselines, and PostgreSQL enforces that with foreign keys and constraints, which matters for audit data</w:t>
      </w:r>
      <w:r>
        <w:t xml:space="preserve"> that has to stay consistent. Foreign keys and indexes on the contract, baseline and user lookups keep the checks fast and stop orphaned records from being created.</w:t>
      </w:r>
    </w:p>
    <w:p w:rsidR="00BB1B6B" w:rsidRDefault="004C37F6">
      <w:pPr>
        <w:pStyle w:val="Heading1"/>
        <w:spacing w:before="160" w:after="80"/>
      </w:pPr>
      <w:r>
        <w:rPr>
          <w:b/>
          <w:bCs/>
          <w:color w:val="000000"/>
        </w:rPr>
        <w:t>Tools Used</w:t>
      </w:r>
    </w:p>
    <w:p w:rsidR="00BB1B6B" w:rsidRDefault="004C37F6">
      <w:pPr>
        <w:spacing w:after="110" w:line="254" w:lineRule="auto"/>
      </w:pPr>
      <w:r>
        <w:t xml:space="preserve">Backend: Node.js, Express, PostgreSQL (via the </w:t>
      </w:r>
      <w:proofErr w:type="spellStart"/>
      <w:r>
        <w:t>pg</w:t>
      </w:r>
      <w:proofErr w:type="spellEnd"/>
      <w:r>
        <w:t xml:space="preserve"> driver), </w:t>
      </w:r>
      <w:proofErr w:type="spellStart"/>
      <w:r>
        <w:t>bcryptjs</w:t>
      </w:r>
      <w:proofErr w:type="spellEnd"/>
      <w:r>
        <w:t xml:space="preserve"> and </w:t>
      </w:r>
      <w:proofErr w:type="spellStart"/>
      <w:r>
        <w:t>jsonwebt</w:t>
      </w:r>
      <w:r>
        <w:t>oken</w:t>
      </w:r>
      <w:proofErr w:type="spellEnd"/>
      <w:r>
        <w:t xml:space="preserve"> for authentication, Agile, </w:t>
      </w:r>
      <w:bookmarkStart w:id="0" w:name="_GoBack"/>
      <w:bookmarkEnd w:id="0"/>
      <w:r>
        <w:t xml:space="preserve">dotenv for configuration. Development: </w:t>
      </w:r>
      <w:proofErr w:type="spellStart"/>
      <w:r>
        <w:t>Git</w:t>
      </w:r>
      <w:proofErr w:type="spellEnd"/>
      <w:r>
        <w:t xml:space="preserve"> and GitHub for version control, </w:t>
      </w:r>
      <w:proofErr w:type="spellStart"/>
      <w:r>
        <w:t>npm</w:t>
      </w:r>
      <w:proofErr w:type="spellEnd"/>
      <w:r>
        <w:t xml:space="preserve"> for package management, </w:t>
      </w:r>
      <w:proofErr w:type="spellStart"/>
      <w:r>
        <w:t>nodemon</w:t>
      </w:r>
      <w:proofErr w:type="spellEnd"/>
      <w:r>
        <w:t xml:space="preserve"> for local development, VS Code as the shared editor.</w:t>
      </w:r>
    </w:p>
    <w:p w:rsidR="00BB1B6B" w:rsidRDefault="004C37F6">
      <w:pPr>
        <w:pStyle w:val="Heading1"/>
        <w:spacing w:before="160" w:after="80"/>
      </w:pPr>
      <w:r>
        <w:rPr>
          <w:b/>
          <w:bCs/>
          <w:color w:val="000000"/>
        </w:rPr>
        <w:t>Team Contributions and Next Steps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00"/>
      </w:tblGrid>
      <w:tr w:rsidR="00BB1B6B">
        <w:tblPrEx>
          <w:tblCellMar>
            <w:top w:w="0" w:type="dxa"/>
            <w:bottom w:w="0" w:type="dxa"/>
          </w:tblCellMar>
        </w:tblPrEx>
        <w:tc>
          <w:tcPr>
            <w:tcW w:w="2000" w:type="dxa"/>
            <w:shd w:val="clear" w:color="auto" w:fill="E8E8E8"/>
            <w:tcMar>
              <w:top w:w="40" w:type="dxa"/>
              <w:left w:w="90" w:type="dxa"/>
              <w:bottom w:w="40" w:type="dxa"/>
              <w:right w:w="90" w:type="dxa"/>
            </w:tcMar>
            <w:vAlign w:val="center"/>
          </w:tcPr>
          <w:p w:rsidR="00BB1B6B" w:rsidRDefault="004C37F6">
            <w:r>
              <w:rPr>
                <w:b/>
                <w:bCs/>
                <w:sz w:val="19"/>
                <w:szCs w:val="19"/>
              </w:rPr>
              <w:t>Name</w:t>
            </w:r>
          </w:p>
        </w:tc>
        <w:tc>
          <w:tcPr>
            <w:tcW w:w="2600" w:type="dxa"/>
            <w:shd w:val="clear" w:color="auto" w:fill="E8E8E8"/>
            <w:tcMar>
              <w:top w:w="40" w:type="dxa"/>
              <w:left w:w="90" w:type="dxa"/>
              <w:bottom w:w="40" w:type="dxa"/>
              <w:right w:w="90" w:type="dxa"/>
            </w:tcMar>
            <w:vAlign w:val="center"/>
          </w:tcPr>
          <w:p w:rsidR="00BB1B6B" w:rsidRDefault="004C37F6">
            <w:r>
              <w:rPr>
                <w:b/>
                <w:bCs/>
                <w:sz w:val="19"/>
                <w:szCs w:val="19"/>
              </w:rPr>
              <w:t>Role</w:t>
            </w:r>
          </w:p>
        </w:tc>
        <w:tc>
          <w:tcPr>
            <w:tcW w:w="4400" w:type="dxa"/>
            <w:shd w:val="clear" w:color="auto" w:fill="E8E8E8"/>
            <w:tcMar>
              <w:top w:w="40" w:type="dxa"/>
              <w:left w:w="90" w:type="dxa"/>
              <w:bottom w:w="40" w:type="dxa"/>
              <w:right w:w="90" w:type="dxa"/>
            </w:tcMar>
            <w:vAlign w:val="center"/>
          </w:tcPr>
          <w:p w:rsidR="00BB1B6B" w:rsidRDefault="004C37F6">
            <w:r>
              <w:rPr>
                <w:b/>
                <w:bCs/>
                <w:sz w:val="19"/>
                <w:szCs w:val="19"/>
              </w:rPr>
              <w:t>Contribution so far</w:t>
            </w:r>
          </w:p>
        </w:tc>
      </w:tr>
      <w:tr w:rsidR="00BB1B6B">
        <w:tblPrEx>
          <w:tblCellMar>
            <w:top w:w="0" w:type="dxa"/>
            <w:bottom w:w="0" w:type="dxa"/>
          </w:tblCellMar>
        </w:tblPrEx>
        <w:tc>
          <w:tcPr>
            <w:tcW w:w="2000" w:type="dxa"/>
            <w:tcMar>
              <w:top w:w="40" w:type="dxa"/>
              <w:left w:w="90" w:type="dxa"/>
              <w:bottom w:w="40" w:type="dxa"/>
              <w:right w:w="90" w:type="dxa"/>
            </w:tcMar>
            <w:vAlign w:val="center"/>
          </w:tcPr>
          <w:p w:rsidR="00BB1B6B" w:rsidRDefault="004C37F6">
            <w:r>
              <w:rPr>
                <w:sz w:val="19"/>
                <w:szCs w:val="19"/>
              </w:rPr>
              <w:t xml:space="preserve">Gabriel </w:t>
            </w:r>
            <w:proofErr w:type="spellStart"/>
            <w:r>
              <w:rPr>
                <w:sz w:val="19"/>
                <w:szCs w:val="19"/>
              </w:rPr>
              <w:t>Mugisha</w:t>
            </w:r>
            <w:proofErr w:type="spellEnd"/>
          </w:p>
        </w:tc>
        <w:tc>
          <w:tcPr>
            <w:tcW w:w="2600" w:type="dxa"/>
            <w:tcMar>
              <w:top w:w="40" w:type="dxa"/>
              <w:left w:w="90" w:type="dxa"/>
              <w:bottom w:w="40" w:type="dxa"/>
              <w:right w:w="90" w:type="dxa"/>
            </w:tcMar>
            <w:vAlign w:val="center"/>
          </w:tcPr>
          <w:p w:rsidR="00BB1B6B" w:rsidRDefault="004C37F6">
            <w:r>
              <w:rPr>
                <w:sz w:val="19"/>
                <w:szCs w:val="19"/>
              </w:rPr>
              <w:t>Database / Team Lead</w:t>
            </w:r>
          </w:p>
        </w:tc>
        <w:tc>
          <w:tcPr>
            <w:tcW w:w="4400" w:type="dxa"/>
            <w:tcMar>
              <w:top w:w="40" w:type="dxa"/>
              <w:left w:w="90" w:type="dxa"/>
              <w:bottom w:w="40" w:type="dxa"/>
              <w:right w:w="90" w:type="dxa"/>
            </w:tcMar>
            <w:vAlign w:val="center"/>
          </w:tcPr>
          <w:p w:rsidR="00BB1B6B" w:rsidRDefault="004C37F6">
            <w:r>
              <w:rPr>
                <w:sz w:val="19"/>
                <w:szCs w:val="19"/>
              </w:rPr>
              <w:t>Project setup, database connection pool, backend support.</w:t>
            </w:r>
          </w:p>
        </w:tc>
      </w:tr>
      <w:tr w:rsidR="00BB1B6B">
        <w:tblPrEx>
          <w:tblCellMar>
            <w:top w:w="0" w:type="dxa"/>
            <w:bottom w:w="0" w:type="dxa"/>
          </w:tblCellMar>
        </w:tblPrEx>
        <w:tc>
          <w:tcPr>
            <w:tcW w:w="2000" w:type="dxa"/>
            <w:tcMar>
              <w:top w:w="40" w:type="dxa"/>
              <w:left w:w="90" w:type="dxa"/>
              <w:bottom w:w="40" w:type="dxa"/>
              <w:right w:w="90" w:type="dxa"/>
            </w:tcMar>
            <w:vAlign w:val="center"/>
          </w:tcPr>
          <w:p w:rsidR="00BB1B6B" w:rsidRDefault="004C37F6">
            <w:r>
              <w:rPr>
                <w:sz w:val="19"/>
                <w:szCs w:val="19"/>
              </w:rPr>
              <w:t>Philip</w:t>
            </w:r>
          </w:p>
        </w:tc>
        <w:tc>
          <w:tcPr>
            <w:tcW w:w="2600" w:type="dxa"/>
            <w:tcMar>
              <w:top w:w="40" w:type="dxa"/>
              <w:left w:w="90" w:type="dxa"/>
              <w:bottom w:w="40" w:type="dxa"/>
              <w:right w:w="90" w:type="dxa"/>
            </w:tcMar>
            <w:vAlign w:val="center"/>
          </w:tcPr>
          <w:p w:rsidR="00BB1B6B" w:rsidRDefault="004C37F6">
            <w:r>
              <w:rPr>
                <w:sz w:val="19"/>
                <w:szCs w:val="19"/>
              </w:rPr>
              <w:t>Database</w:t>
            </w:r>
          </w:p>
        </w:tc>
        <w:tc>
          <w:tcPr>
            <w:tcW w:w="4400" w:type="dxa"/>
            <w:tcMar>
              <w:top w:w="40" w:type="dxa"/>
              <w:left w:w="90" w:type="dxa"/>
              <w:bottom w:w="40" w:type="dxa"/>
              <w:right w:w="90" w:type="dxa"/>
            </w:tcMar>
            <w:vAlign w:val="center"/>
          </w:tcPr>
          <w:p w:rsidR="00BB1B6B" w:rsidRDefault="004C37F6">
            <w:r>
              <w:rPr>
                <w:sz w:val="19"/>
                <w:szCs w:val="19"/>
              </w:rPr>
              <w:t>Procurement ledger and alert tables, seed data, performance indexes.</w:t>
            </w:r>
          </w:p>
        </w:tc>
      </w:tr>
      <w:tr w:rsidR="00BB1B6B">
        <w:tblPrEx>
          <w:tblCellMar>
            <w:top w:w="0" w:type="dxa"/>
            <w:bottom w:w="0" w:type="dxa"/>
          </w:tblCellMar>
        </w:tblPrEx>
        <w:tc>
          <w:tcPr>
            <w:tcW w:w="2000" w:type="dxa"/>
            <w:tcMar>
              <w:top w:w="40" w:type="dxa"/>
              <w:left w:w="90" w:type="dxa"/>
              <w:bottom w:w="40" w:type="dxa"/>
              <w:right w:w="90" w:type="dxa"/>
            </w:tcMar>
            <w:vAlign w:val="center"/>
          </w:tcPr>
          <w:p w:rsidR="00BB1B6B" w:rsidRDefault="004C37F6">
            <w:proofErr w:type="spellStart"/>
            <w:r>
              <w:rPr>
                <w:sz w:val="19"/>
                <w:szCs w:val="19"/>
              </w:rPr>
              <w:t>Aimable</w:t>
            </w:r>
            <w:proofErr w:type="spellEnd"/>
          </w:p>
        </w:tc>
        <w:tc>
          <w:tcPr>
            <w:tcW w:w="2600" w:type="dxa"/>
            <w:tcMar>
              <w:top w:w="40" w:type="dxa"/>
              <w:left w:w="90" w:type="dxa"/>
              <w:bottom w:w="40" w:type="dxa"/>
              <w:right w:w="90" w:type="dxa"/>
            </w:tcMar>
            <w:vAlign w:val="center"/>
          </w:tcPr>
          <w:p w:rsidR="00BB1B6B" w:rsidRDefault="004C37F6">
            <w:r>
              <w:rPr>
                <w:sz w:val="19"/>
                <w:szCs w:val="19"/>
              </w:rPr>
              <w:t>Frontend</w:t>
            </w:r>
          </w:p>
        </w:tc>
        <w:tc>
          <w:tcPr>
            <w:tcW w:w="4400" w:type="dxa"/>
            <w:tcMar>
              <w:top w:w="40" w:type="dxa"/>
              <w:left w:w="90" w:type="dxa"/>
              <w:bottom w:w="40" w:type="dxa"/>
              <w:right w:w="90" w:type="dxa"/>
            </w:tcMar>
            <w:vAlign w:val="center"/>
          </w:tcPr>
          <w:p w:rsidR="00BB1B6B" w:rsidRDefault="004C37F6">
            <w:r>
              <w:rPr>
                <w:sz w:val="19"/>
                <w:szCs w:val="19"/>
              </w:rPr>
              <w:t>Database design and data modeling.</w:t>
            </w:r>
          </w:p>
        </w:tc>
      </w:tr>
      <w:tr w:rsidR="00BB1B6B">
        <w:tblPrEx>
          <w:tblCellMar>
            <w:top w:w="0" w:type="dxa"/>
            <w:bottom w:w="0" w:type="dxa"/>
          </w:tblCellMar>
        </w:tblPrEx>
        <w:tc>
          <w:tcPr>
            <w:tcW w:w="2000" w:type="dxa"/>
            <w:tcMar>
              <w:top w:w="40" w:type="dxa"/>
              <w:left w:w="90" w:type="dxa"/>
              <w:bottom w:w="40" w:type="dxa"/>
              <w:right w:w="90" w:type="dxa"/>
            </w:tcMar>
            <w:vAlign w:val="center"/>
          </w:tcPr>
          <w:p w:rsidR="00BB1B6B" w:rsidRDefault="004C37F6">
            <w:r>
              <w:rPr>
                <w:sz w:val="19"/>
                <w:szCs w:val="19"/>
              </w:rPr>
              <w:t xml:space="preserve">James </w:t>
            </w:r>
            <w:proofErr w:type="spellStart"/>
            <w:r>
              <w:rPr>
                <w:sz w:val="19"/>
                <w:szCs w:val="19"/>
              </w:rPr>
              <w:t>Kanneh</w:t>
            </w:r>
            <w:proofErr w:type="spellEnd"/>
          </w:p>
        </w:tc>
        <w:tc>
          <w:tcPr>
            <w:tcW w:w="2600" w:type="dxa"/>
            <w:tcMar>
              <w:top w:w="40" w:type="dxa"/>
              <w:left w:w="90" w:type="dxa"/>
              <w:bottom w:w="40" w:type="dxa"/>
              <w:right w:w="90" w:type="dxa"/>
            </w:tcMar>
            <w:vAlign w:val="center"/>
          </w:tcPr>
          <w:p w:rsidR="00BB1B6B" w:rsidRDefault="004C37F6">
            <w:r>
              <w:rPr>
                <w:sz w:val="19"/>
                <w:szCs w:val="19"/>
              </w:rPr>
              <w:t>Architecture, Integration, Documentation</w:t>
            </w:r>
          </w:p>
        </w:tc>
        <w:tc>
          <w:tcPr>
            <w:tcW w:w="4400" w:type="dxa"/>
            <w:tcMar>
              <w:top w:w="40" w:type="dxa"/>
              <w:left w:w="90" w:type="dxa"/>
              <w:bottom w:w="40" w:type="dxa"/>
              <w:right w:w="90" w:type="dxa"/>
            </w:tcMar>
            <w:vAlign w:val="center"/>
          </w:tcPr>
          <w:p w:rsidR="00BB1B6B" w:rsidRDefault="004C37F6">
            <w:r>
              <w:rPr>
                <w:sz w:val="19"/>
                <w:szCs w:val="19"/>
              </w:rPr>
              <w:t>ERD, system architecture, tool selection, this documentation.</w:t>
            </w:r>
          </w:p>
        </w:tc>
      </w:tr>
      <w:tr w:rsidR="00BB1B6B">
        <w:tblPrEx>
          <w:tblCellMar>
            <w:top w:w="0" w:type="dxa"/>
            <w:bottom w:w="0" w:type="dxa"/>
          </w:tblCellMar>
        </w:tblPrEx>
        <w:tc>
          <w:tcPr>
            <w:tcW w:w="2000" w:type="dxa"/>
            <w:tcMar>
              <w:top w:w="40" w:type="dxa"/>
              <w:left w:w="90" w:type="dxa"/>
              <w:bottom w:w="40" w:type="dxa"/>
              <w:right w:w="90" w:type="dxa"/>
            </w:tcMar>
            <w:vAlign w:val="center"/>
          </w:tcPr>
          <w:p w:rsidR="00BB1B6B" w:rsidRDefault="004C37F6">
            <w:r>
              <w:rPr>
                <w:sz w:val="19"/>
                <w:szCs w:val="19"/>
              </w:rPr>
              <w:t>Clive</w:t>
            </w:r>
          </w:p>
        </w:tc>
        <w:tc>
          <w:tcPr>
            <w:tcW w:w="2600" w:type="dxa"/>
            <w:tcMar>
              <w:top w:w="40" w:type="dxa"/>
              <w:left w:w="90" w:type="dxa"/>
              <w:bottom w:w="40" w:type="dxa"/>
              <w:right w:w="90" w:type="dxa"/>
            </w:tcMar>
            <w:vAlign w:val="center"/>
          </w:tcPr>
          <w:p w:rsidR="00BB1B6B" w:rsidRDefault="004C37F6">
            <w:r>
              <w:rPr>
                <w:sz w:val="19"/>
                <w:szCs w:val="19"/>
              </w:rPr>
              <w:t>Backend</w:t>
            </w:r>
          </w:p>
        </w:tc>
        <w:tc>
          <w:tcPr>
            <w:tcW w:w="4400" w:type="dxa"/>
            <w:tcMar>
              <w:top w:w="40" w:type="dxa"/>
              <w:left w:w="90" w:type="dxa"/>
              <w:bottom w:w="40" w:type="dxa"/>
              <w:right w:w="90" w:type="dxa"/>
            </w:tcMar>
            <w:vAlign w:val="center"/>
          </w:tcPr>
          <w:p w:rsidR="00BB1B6B" w:rsidRDefault="004C37F6">
            <w:r>
              <w:rPr>
                <w:sz w:val="19"/>
                <w:szCs w:val="19"/>
              </w:rPr>
              <w:t>Backend development support alongside Philip.</w:t>
            </w:r>
          </w:p>
        </w:tc>
      </w:tr>
      <w:tr w:rsidR="00BB1B6B">
        <w:tblPrEx>
          <w:tblCellMar>
            <w:top w:w="0" w:type="dxa"/>
            <w:bottom w:w="0" w:type="dxa"/>
          </w:tblCellMar>
        </w:tblPrEx>
        <w:tc>
          <w:tcPr>
            <w:tcW w:w="2000" w:type="dxa"/>
            <w:tcMar>
              <w:top w:w="40" w:type="dxa"/>
              <w:left w:w="90" w:type="dxa"/>
              <w:bottom w:w="40" w:type="dxa"/>
              <w:right w:w="90" w:type="dxa"/>
            </w:tcMar>
            <w:vAlign w:val="center"/>
          </w:tcPr>
          <w:p w:rsidR="00BB1B6B" w:rsidRDefault="004C37F6">
            <w:proofErr w:type="spellStart"/>
            <w:r>
              <w:rPr>
                <w:sz w:val="19"/>
                <w:szCs w:val="19"/>
              </w:rPr>
              <w:t>Cedro</w:t>
            </w:r>
            <w:proofErr w:type="spellEnd"/>
            <w:r>
              <w:rPr>
                <w:sz w:val="19"/>
                <w:szCs w:val="19"/>
              </w:rPr>
              <w:t xml:space="preserve"> </w:t>
            </w:r>
            <w:proofErr w:type="spellStart"/>
            <w:r>
              <w:rPr>
                <w:sz w:val="19"/>
                <w:szCs w:val="19"/>
              </w:rPr>
              <w:t>Iranzi</w:t>
            </w:r>
            <w:proofErr w:type="spellEnd"/>
          </w:p>
        </w:tc>
        <w:tc>
          <w:tcPr>
            <w:tcW w:w="2600" w:type="dxa"/>
            <w:tcMar>
              <w:top w:w="40" w:type="dxa"/>
              <w:left w:w="90" w:type="dxa"/>
              <w:bottom w:w="40" w:type="dxa"/>
              <w:right w:w="90" w:type="dxa"/>
            </w:tcMar>
            <w:vAlign w:val="center"/>
          </w:tcPr>
          <w:p w:rsidR="00BB1B6B" w:rsidRDefault="004C37F6">
            <w:r>
              <w:rPr>
                <w:sz w:val="19"/>
                <w:szCs w:val="19"/>
              </w:rPr>
              <w:t>Slides &amp; Frontend</w:t>
            </w:r>
          </w:p>
        </w:tc>
        <w:tc>
          <w:tcPr>
            <w:tcW w:w="4400" w:type="dxa"/>
            <w:tcMar>
              <w:top w:w="40" w:type="dxa"/>
              <w:left w:w="90" w:type="dxa"/>
              <w:bottom w:w="40" w:type="dxa"/>
              <w:right w:w="90" w:type="dxa"/>
            </w:tcMar>
            <w:vAlign w:val="center"/>
          </w:tcPr>
          <w:p w:rsidR="00BB1B6B" w:rsidRDefault="00B80C1E">
            <w:r>
              <w:rPr>
                <w:sz w:val="19"/>
                <w:szCs w:val="19"/>
              </w:rPr>
              <w:t xml:space="preserve">Frontend support and </w:t>
            </w:r>
            <w:proofErr w:type="spellStart"/>
            <w:r>
              <w:rPr>
                <w:sz w:val="19"/>
                <w:szCs w:val="19"/>
              </w:rPr>
              <w:t>prepard</w:t>
            </w:r>
            <w:proofErr w:type="spellEnd"/>
            <w:r w:rsidR="004C37F6">
              <w:rPr>
                <w:sz w:val="19"/>
                <w:szCs w:val="19"/>
              </w:rPr>
              <w:t xml:space="preserve"> the presentation slides.</w:t>
            </w:r>
          </w:p>
        </w:tc>
      </w:tr>
    </w:tbl>
    <w:p w:rsidR="00BB1B6B" w:rsidRDefault="00BB1B6B">
      <w:pPr>
        <w:spacing w:after="110" w:line="254" w:lineRule="auto"/>
      </w:pPr>
    </w:p>
    <w:sectPr w:rsidR="00BB1B6B">
      <w:pgSz w:w="11906" w:h="16838"/>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3E27FF"/>
    <w:multiLevelType w:val="hybridMultilevel"/>
    <w:tmpl w:val="2A5C6BEC"/>
    <w:lvl w:ilvl="0" w:tplc="DFA444A2">
      <w:start w:val="1"/>
      <w:numFmt w:val="bullet"/>
      <w:lvlText w:val="●"/>
      <w:lvlJc w:val="left"/>
      <w:pPr>
        <w:ind w:left="720" w:hanging="360"/>
      </w:pPr>
    </w:lvl>
    <w:lvl w:ilvl="1" w:tplc="559829A8">
      <w:start w:val="1"/>
      <w:numFmt w:val="bullet"/>
      <w:lvlText w:val="○"/>
      <w:lvlJc w:val="left"/>
      <w:pPr>
        <w:ind w:left="1440" w:hanging="360"/>
      </w:pPr>
    </w:lvl>
    <w:lvl w:ilvl="2" w:tplc="94DADDFE">
      <w:start w:val="1"/>
      <w:numFmt w:val="bullet"/>
      <w:lvlText w:val="■"/>
      <w:lvlJc w:val="left"/>
      <w:pPr>
        <w:ind w:left="2160" w:hanging="360"/>
      </w:pPr>
    </w:lvl>
    <w:lvl w:ilvl="3" w:tplc="1A7EA1AE">
      <w:start w:val="1"/>
      <w:numFmt w:val="bullet"/>
      <w:lvlText w:val="●"/>
      <w:lvlJc w:val="left"/>
      <w:pPr>
        <w:ind w:left="2880" w:hanging="360"/>
      </w:pPr>
    </w:lvl>
    <w:lvl w:ilvl="4" w:tplc="0214FBB0">
      <w:start w:val="1"/>
      <w:numFmt w:val="bullet"/>
      <w:lvlText w:val="○"/>
      <w:lvlJc w:val="left"/>
      <w:pPr>
        <w:ind w:left="3600" w:hanging="360"/>
      </w:pPr>
    </w:lvl>
    <w:lvl w:ilvl="5" w:tplc="192875D0">
      <w:start w:val="1"/>
      <w:numFmt w:val="bullet"/>
      <w:lvlText w:val="■"/>
      <w:lvlJc w:val="left"/>
      <w:pPr>
        <w:ind w:left="4320" w:hanging="360"/>
      </w:pPr>
    </w:lvl>
    <w:lvl w:ilvl="6" w:tplc="425C5616">
      <w:start w:val="1"/>
      <w:numFmt w:val="bullet"/>
      <w:lvlText w:val="●"/>
      <w:lvlJc w:val="left"/>
      <w:pPr>
        <w:ind w:left="5040" w:hanging="360"/>
      </w:pPr>
    </w:lvl>
    <w:lvl w:ilvl="7" w:tplc="F4F05DCC">
      <w:start w:val="1"/>
      <w:numFmt w:val="bullet"/>
      <w:lvlText w:val="●"/>
      <w:lvlJc w:val="left"/>
      <w:pPr>
        <w:ind w:left="5760" w:hanging="360"/>
      </w:pPr>
    </w:lvl>
    <w:lvl w:ilvl="8" w:tplc="B352FF5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B6B"/>
    <w:rsid w:val="004C37F6"/>
    <w:rsid w:val="00B80C1E"/>
    <w:rsid w:val="00BB1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D4EA"/>
  <w15:docId w15:val="{4D0D84C9-A6EC-48F9-8CE5-8F5B9B223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664</TotalTime>
  <Pages>2</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surfarce</cp:lastModifiedBy>
  <cp:revision>10</cp:revision>
  <dcterms:created xsi:type="dcterms:W3CDTF">2026-07-06T22:06:00Z</dcterms:created>
  <dcterms:modified xsi:type="dcterms:W3CDTF">2026-07-07T09:12:00Z</dcterms:modified>
</cp:coreProperties>
</file>