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6480"/>
        <w:gridCol w:w="216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[LOGO CIAD]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color w:val="002060"/>
                <w:sz w:val="32"/>
              </w:rPr>
              <w:t>Boletín Técnico Semanal - BioMonitor</w:t>
              <w:br/>
            </w:r>
            <w:r>
              <w:rPr>
                <w:sz w:val="24"/>
              </w:rPr>
              <w:t>Centro de Investigación en Alimentación y Desarrollo</w:t>
              <w:br/>
              <w:t>Proyecto EJE's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[LOGO EJE'S]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Período reportado: Del {fecha_inicio} al {fecha_fin}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t>Fecha de generación: {fecha_hoy}</w:t>
            </w:r>
          </w:p>
        </w:tc>
      </w:tr>
    </w:tbl>
    <w:p>
      <w:r>
        <w:t>__________________________________________________________________________________________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/>
          <w:p>
            <w:r>
              <w:rPr>
                <w:b/>
                <w:sz w:val="24"/>
              </w:rPr>
              <w:t>INTRODUCCIÓN</w:t>
            </w:r>
          </w:p>
          <w:p>
            <w:pPr>
              <w:jc w:val="both"/>
            </w:pPr>
            <w:r>
              <w:t>El monitoreo regular de los parámetros fisicoquímicos del agua y el suelo es fundamental para garantizar la salud de los ecosistemas productivos y la eficiencia del sistema acuapónico o biofloc. Este boletín semanal sintetiza los datos recolectados manualmente en el sistema BioMonitor, proporcionando información clave para la toma de decisiones técnicas por parte de los investigadores y productores.</w:t>
            </w:r>
          </w:p>
          <w:p>
            <w:r>
              <w:rPr>
                <w:b/>
                <w:sz w:val="24"/>
              </w:rPr>
              <w:t>ACTIVIDADES</w:t>
            </w:r>
          </w:p>
          <w:p>
            <w:pPr>
              <w:jc w:val="both"/>
            </w:pPr>
            <w:r>
              <w:t>Durante esta semana, se han capturado y procesado un total de {registros} mediciones manuales en los puntos de monitoreo designados. Se utilizaron equipos de campo calibrados para la medición de pH, temperatura, conductividad eléctrica (CE) y salinidad. Los datos se han estandarizado y promediado para proporcionar una visión general del comportamiento del sistema durante el período reportado.</w:t>
            </w:r>
          </w:p>
          <w:p>
            <w:r>
              <w:rPr>
                <w:b/>
                <w:sz w:val="24"/>
              </w:rPr>
              <w:t>RESULTADOS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c>
                <w:tcPr>
                  <w:tcW w:type="dxa" w:w="1350"/>
                </w:tcPr>
                <w:p>
                  <w:r>
                    <w:t>Parámetro</w:t>
                  </w:r>
                </w:p>
              </w:tc>
              <w:tc>
                <w:tcPr>
                  <w:tcW w:type="dxa" w:w="1350"/>
                </w:tcPr>
                <w:p>
                  <w:r>
                    <w:t>Promedio</w:t>
                  </w:r>
                </w:p>
              </w:tc>
              <w:tc>
                <w:tcPr>
                  <w:tcW w:type="dxa" w:w="1350"/>
                </w:tcPr>
                <w:p>
                  <w:r>
                    <w:t>Máximo</w:t>
                  </w:r>
                </w:p>
              </w:tc>
              <w:tc>
                <w:tcPr>
                  <w:tcW w:type="dxa" w:w="1350"/>
                </w:tcPr>
                <w:p>
                  <w:r>
                    <w:t>Mínimo</w:t>
                  </w:r>
                </w:p>
              </w:tc>
            </w:tr>
            <w:tr>
              <w:tc>
                <w:tcPr>
                  <w:tcW w:type="dxa" w:w="1350"/>
                </w:tcPr>
                <w:p>
                  <w:r>
                    <w:t>pH</w:t>
                  </w:r>
                </w:p>
              </w:tc>
              <w:tc>
                <w:tcPr>
                  <w:tcW w:type="dxa" w:w="1350"/>
                </w:tcPr>
                <w:p>
                  <w:r>
                    <w:t>{ph_promedio}</w:t>
                  </w:r>
                </w:p>
              </w:tc>
              <w:tc>
                <w:tcPr>
                  <w:tcW w:type="dxa" w:w="1350"/>
                </w:tcPr>
                <w:p>
                  <w:r>
                    <w:t>{ph_max}</w:t>
                  </w:r>
                </w:p>
              </w:tc>
              <w:tc>
                <w:tcPr>
                  <w:tcW w:type="dxa" w:w="1350"/>
                </w:tcPr>
                <w:p>
                  <w:r>
                    <w:t>{ph_min}</w:t>
                  </w:r>
                </w:p>
              </w:tc>
            </w:tr>
            <w:tr>
              <w:tc>
                <w:tcPr>
                  <w:tcW w:type="dxa" w:w="1350"/>
                </w:tcPr>
                <w:p>
                  <w:r>
                    <w:t>Temp (°C)</w:t>
                  </w:r>
                </w:p>
              </w:tc>
              <w:tc>
                <w:tcPr>
                  <w:tcW w:type="dxa" w:w="1350"/>
                </w:tcPr>
                <w:p>
                  <w:r>
                    <w:t>{tc_promedio}</w:t>
                  </w:r>
                </w:p>
              </w:tc>
              <w:tc>
                <w:tcPr>
                  <w:tcW w:type="dxa" w:w="1350"/>
                </w:tcPr>
                <w:p>
                  <w:r>
                    <w:t>{tc_max}</w:t>
                  </w:r>
                </w:p>
              </w:tc>
              <w:tc>
                <w:tcPr>
                  <w:tcW w:type="dxa" w:w="1350"/>
                </w:tcPr>
                <w:p>
                  <w:r>
                    <w:t>{tc_min}</w:t>
                  </w:r>
                </w:p>
              </w:tc>
            </w:tr>
            <w:tr>
              <w:tc>
                <w:tcPr>
                  <w:tcW w:type="dxa" w:w="1350"/>
                </w:tcPr>
                <w:p>
                  <w:r>
                    <w:t>Cond (µS)</w:t>
                  </w:r>
                </w:p>
              </w:tc>
              <w:tc>
                <w:tcPr>
                  <w:tcW w:type="dxa" w:w="1350"/>
                </w:tcPr>
                <w:p>
                  <w:r>
                    <w:t>{cd_promedio}</w:t>
                  </w:r>
                </w:p>
              </w:tc>
              <w:tc>
                <w:tcPr>
                  <w:tcW w:type="dxa" w:w="1350"/>
                </w:tcPr>
                <w:p>
                  <w:r>
                    <w:t>{cd_max}</w:t>
                  </w:r>
                </w:p>
              </w:tc>
              <w:tc>
                <w:tcPr>
                  <w:tcW w:type="dxa" w:w="1350"/>
                </w:tcPr>
                <w:p>
                  <w:r>
                    <w:t>{cd_min}</w:t>
                  </w:r>
                </w:p>
              </w:tc>
            </w:tr>
            <w:tr>
              <w:tc>
                <w:tcPr>
                  <w:tcW w:type="dxa" w:w="1350"/>
                </w:tcPr>
                <w:p>
                  <w:r>
                    <w:t>Sal (ppm)</w:t>
                  </w:r>
                </w:p>
              </w:tc>
              <w:tc>
                <w:tcPr>
                  <w:tcW w:type="dxa" w:w="1350"/>
                </w:tcPr>
                <w:p>
                  <w:r>
                    <w:t>{sal_promedio}</w:t>
                  </w:r>
                </w:p>
              </w:tc>
              <w:tc>
                <w:tcPr>
                  <w:tcW w:type="dxa" w:w="1350"/>
                </w:tcPr>
                <w:p>
                  <w:r>
                    <w:t>{sal_max}</w:t>
                  </w:r>
                </w:p>
              </w:tc>
              <w:tc>
                <w:tcPr>
                  <w:tcW w:type="dxa" w:w="1350"/>
                </w:tcPr>
                <w:p>
                  <w:r>
                    <w:t>{sal_min}</w:t>
                  </w:r>
                </w:p>
              </w:tc>
            </w:tr>
          </w:tbl>
          <w:p/>
        </w:tc>
        <w:tc>
          <w:tcPr>
            <w:tcW w:type="dxa" w:w="5400"/>
          </w:tcPr>
          <w:p/>
          <w:p>
            <w:pPr>
              <w:jc w:val="both"/>
            </w:pPr>
            <w:r>
              <w:t>Los datos se han estandarizado y promediado para proporcionar una visión general del comportamiento del sistema durante el período reportado.</w:t>
            </w:r>
          </w:p>
          <w:p>
            <w:pPr>
              <w:spacing w:before="200"/>
              <w:jc w:val="center"/>
            </w:pPr>
            <w:r>
              <w:rPr>
                <w:sz w:val="20"/>
              </w:rPr>
              <w:br/>
              <w:br/>
              <w:br/>
              <w:br/>
              <w:t>[INSERTAR GRÁFICA SEMANAL AQUÍ]</w:t>
              <w:br/>
              <w:br/>
              <w:br/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t>[ESPACIO PARA GRÁFICA SEMANAL DEL DASHBOARD]</w:t>
                  </w:r>
                </w:p>
              </w:tc>
            </w:tr>
          </w:tbl>
          <w:p/>
          <w:p>
            <w:r>
              <w:rPr>
                <w:b/>
              </w:rPr>
              <w:br/>
              <w:t>AGRADECIMIENTOS</w:t>
            </w:r>
          </w:p>
          <w:p>
            <w:r>
              <w:t>Este proyecto de monitoreo BioMonitor ha sido posible gracias al apoyo y colaboración conjunta del Centro de Investigación en Alimentación y Desarrollo (CIAD) y el Proyecto EJE's. Agradecemos a todo el equipo técnico e investigación involucrado por su compromiso.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[LOGO CIAD]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Contacto:</w:t>
              <w:br/>
              <w:t>{nombre_contacto}</w:t>
              <w:br/>
              <w:t>{email_contacto}</w:t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t>[LOGO EJE'S]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