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7C65" w14:textId="4056219A" w:rsidR="00512F40" w:rsidRPr="003A1A2E" w:rsidRDefault="00191A0E" w:rsidP="00191A0E">
      <w:pPr>
        <w:autoSpaceDE w:val="0"/>
        <w:autoSpaceDN w:val="0"/>
        <w:adjustRightInd w:val="0"/>
        <w:spacing w:line="480" w:lineRule="auto"/>
        <w:ind w:right="-240"/>
        <w:jc w:val="both"/>
        <w:rPr>
          <w:b/>
          <w:bCs/>
          <w:sz w:val="28"/>
          <w:szCs w:val="28"/>
        </w:rPr>
      </w:pPr>
      <w:bookmarkStart w:id="0" w:name="_Hlk90195234"/>
      <w:bookmarkEnd w:id="0"/>
      <w:r w:rsidRPr="003A1A2E">
        <w:rPr>
          <w:b/>
          <w:bCs/>
          <w:sz w:val="28"/>
          <w:szCs w:val="28"/>
        </w:rPr>
        <w:t xml:space="preserve">Is </w:t>
      </w:r>
      <w:r w:rsidR="00277359" w:rsidRPr="003A1A2E">
        <w:rPr>
          <w:b/>
          <w:bCs/>
          <w:sz w:val="28"/>
          <w:szCs w:val="28"/>
        </w:rPr>
        <w:t>s</w:t>
      </w:r>
      <w:r w:rsidRPr="003A1A2E">
        <w:rPr>
          <w:b/>
          <w:bCs/>
          <w:sz w:val="28"/>
          <w:szCs w:val="28"/>
        </w:rPr>
        <w:t>oleus</w:t>
      </w:r>
      <w:r w:rsidR="001A521B" w:rsidRPr="003A1A2E">
        <w:rPr>
          <w:b/>
          <w:bCs/>
          <w:sz w:val="28"/>
          <w:szCs w:val="28"/>
        </w:rPr>
        <w:t xml:space="preserve"> intrinsic</w:t>
      </w:r>
      <w:r w:rsidRPr="003A1A2E">
        <w:rPr>
          <w:b/>
          <w:bCs/>
          <w:sz w:val="28"/>
          <w:szCs w:val="28"/>
        </w:rPr>
        <w:t xml:space="preserve"> motor neurone excitability </w:t>
      </w:r>
      <w:r w:rsidR="0078158F" w:rsidRPr="003A1A2E">
        <w:rPr>
          <w:b/>
          <w:bCs/>
          <w:sz w:val="28"/>
          <w:szCs w:val="28"/>
        </w:rPr>
        <w:t xml:space="preserve">altered </w:t>
      </w:r>
      <w:r w:rsidRPr="003A1A2E">
        <w:rPr>
          <w:b/>
          <w:bCs/>
          <w:sz w:val="28"/>
          <w:szCs w:val="28"/>
        </w:rPr>
        <w:t>in runners with</w:t>
      </w:r>
      <w:r w:rsidR="004270CE" w:rsidRPr="003A1A2E">
        <w:rPr>
          <w:b/>
          <w:bCs/>
          <w:sz w:val="28"/>
          <w:szCs w:val="28"/>
        </w:rPr>
        <w:t xml:space="preserve"> </w:t>
      </w:r>
      <w:r w:rsidRPr="003A1A2E">
        <w:rPr>
          <w:b/>
          <w:bCs/>
          <w:sz w:val="28"/>
          <w:szCs w:val="28"/>
        </w:rPr>
        <w:t>mid-portion Achilles tendinopathy</w:t>
      </w:r>
      <w:r w:rsidR="00512F40" w:rsidRPr="003A1A2E">
        <w:rPr>
          <w:b/>
          <w:bCs/>
          <w:sz w:val="28"/>
          <w:szCs w:val="28"/>
        </w:rPr>
        <w:t>?</w:t>
      </w:r>
    </w:p>
    <w:p w14:paraId="0F86A9E4" w14:textId="77777777" w:rsidR="00942EAC" w:rsidRPr="003A1A2E" w:rsidRDefault="00942EAC" w:rsidP="00E875F7">
      <w:pPr>
        <w:autoSpaceDE w:val="0"/>
        <w:autoSpaceDN w:val="0"/>
        <w:adjustRightInd w:val="0"/>
        <w:spacing w:line="480" w:lineRule="auto"/>
        <w:ind w:right="-240"/>
        <w:jc w:val="both"/>
      </w:pPr>
    </w:p>
    <w:p w14:paraId="0FD0801B" w14:textId="1FDF3740" w:rsidR="00A23785" w:rsidRPr="003A1A2E" w:rsidRDefault="00A23785" w:rsidP="00E875F7">
      <w:pPr>
        <w:autoSpaceDE w:val="0"/>
        <w:autoSpaceDN w:val="0"/>
        <w:adjustRightInd w:val="0"/>
        <w:spacing w:line="480" w:lineRule="auto"/>
        <w:ind w:right="-240"/>
        <w:rPr>
          <w:b/>
          <w:bCs/>
        </w:rPr>
      </w:pPr>
      <w:r w:rsidRPr="003A1A2E">
        <w:rPr>
          <w:b/>
          <w:bCs/>
        </w:rPr>
        <w:t>Gabriel L. Fernandes</w:t>
      </w:r>
      <w:r w:rsidR="00161708" w:rsidRPr="003A1A2E">
        <w:rPr>
          <w:vertAlign w:val="superscript"/>
        </w:rPr>
        <w:t>*</w:t>
      </w:r>
      <w:r w:rsidR="000A2C11" w:rsidRPr="003A1A2E">
        <w:rPr>
          <w:b/>
          <w:bCs/>
        </w:rPr>
        <w:t>, PT</w:t>
      </w:r>
      <w:r w:rsidRPr="003A1A2E">
        <w:rPr>
          <w:b/>
          <w:bCs/>
        </w:rPr>
        <w:t>; Lucas B. R. Orssatto</w:t>
      </w:r>
      <w:r w:rsidR="000A2C11" w:rsidRPr="003A1A2E">
        <w:rPr>
          <w:b/>
          <w:bCs/>
        </w:rPr>
        <w:t>, PhD</w:t>
      </w:r>
      <w:r w:rsidRPr="003A1A2E">
        <w:rPr>
          <w:b/>
          <w:bCs/>
        </w:rPr>
        <w:t>;</w:t>
      </w:r>
      <w:r w:rsidR="00161708" w:rsidRPr="003A1A2E">
        <w:rPr>
          <w:rFonts w:eastAsia="Arial Unicode MS"/>
          <w:bdr w:val="nil"/>
        </w:rPr>
        <w:t xml:space="preserve"> </w:t>
      </w:r>
      <w:r w:rsidRPr="003A1A2E">
        <w:rPr>
          <w:b/>
          <w:bCs/>
        </w:rPr>
        <w:t>Anthony J. Shield</w:t>
      </w:r>
      <w:r w:rsidR="000A2C11" w:rsidRPr="003A1A2E">
        <w:rPr>
          <w:b/>
          <w:bCs/>
        </w:rPr>
        <w:t>, A/Prof</w:t>
      </w:r>
      <w:r w:rsidRPr="003A1A2E">
        <w:rPr>
          <w:b/>
          <w:bCs/>
        </w:rPr>
        <w:t>; Gabriel S. Trajano</w:t>
      </w:r>
      <w:r w:rsidR="000A2C11" w:rsidRPr="003A1A2E">
        <w:rPr>
          <w:b/>
          <w:bCs/>
        </w:rPr>
        <w:t>, A/Prof</w:t>
      </w:r>
    </w:p>
    <w:p w14:paraId="4CCF4401" w14:textId="77777777" w:rsidR="00A23785" w:rsidRPr="003A1A2E" w:rsidRDefault="00A23785" w:rsidP="00E875F7">
      <w:pPr>
        <w:autoSpaceDE w:val="0"/>
        <w:autoSpaceDN w:val="0"/>
        <w:adjustRightInd w:val="0"/>
        <w:spacing w:line="480" w:lineRule="auto"/>
        <w:ind w:right="-240"/>
      </w:pPr>
    </w:p>
    <w:p w14:paraId="4670BD0B" w14:textId="21DB8864" w:rsidR="00A23785" w:rsidRPr="003A1A2E" w:rsidRDefault="00A23785" w:rsidP="00E875F7">
      <w:pPr>
        <w:autoSpaceDE w:val="0"/>
        <w:autoSpaceDN w:val="0"/>
        <w:adjustRightInd w:val="0"/>
        <w:spacing w:line="480" w:lineRule="auto"/>
        <w:ind w:right="-240"/>
        <w:rPr>
          <w:sz w:val="22"/>
          <w:szCs w:val="22"/>
        </w:rPr>
      </w:pPr>
      <w:r w:rsidRPr="003A1A2E">
        <w:rPr>
          <w:sz w:val="22"/>
          <w:szCs w:val="22"/>
        </w:rPr>
        <w:t>School of Exercise and Nutrition Sciences, Faculty of Health, Queensland University of Technology (QUT), Brisbane, Australia.</w:t>
      </w:r>
    </w:p>
    <w:p w14:paraId="6E11314D" w14:textId="77777777" w:rsidR="00A23785" w:rsidRPr="003A1A2E" w:rsidRDefault="00A23785" w:rsidP="00161708">
      <w:pPr>
        <w:autoSpaceDE w:val="0"/>
        <w:autoSpaceDN w:val="0"/>
        <w:adjustRightInd w:val="0"/>
        <w:spacing w:line="480" w:lineRule="auto"/>
        <w:rPr>
          <w:sz w:val="22"/>
          <w:szCs w:val="22"/>
        </w:rPr>
      </w:pPr>
    </w:p>
    <w:p w14:paraId="0D88B14A" w14:textId="57B7B849" w:rsidR="00161708" w:rsidRPr="003A1A2E" w:rsidRDefault="00161708" w:rsidP="00161708">
      <w:pPr>
        <w:autoSpaceDE w:val="0"/>
        <w:autoSpaceDN w:val="0"/>
        <w:adjustRightInd w:val="0"/>
        <w:spacing w:line="480" w:lineRule="auto"/>
        <w:rPr>
          <w:rStyle w:val="Hyperlink"/>
          <w:sz w:val="22"/>
          <w:szCs w:val="22"/>
          <w:u w:val="none"/>
        </w:rPr>
      </w:pPr>
      <w:r w:rsidRPr="003A1A2E">
        <w:rPr>
          <w:sz w:val="22"/>
          <w:szCs w:val="22"/>
        </w:rPr>
        <w:t xml:space="preserve">* </w:t>
      </w:r>
      <w:r w:rsidR="00A23785" w:rsidRPr="003A1A2E">
        <w:rPr>
          <w:sz w:val="22"/>
          <w:szCs w:val="22"/>
        </w:rPr>
        <w:t>Corresponding author: Gabriel L. Fernandes</w:t>
      </w:r>
      <w:r w:rsidRPr="003A1A2E">
        <w:rPr>
          <w:sz w:val="22"/>
          <w:szCs w:val="22"/>
        </w:rPr>
        <w:t>; email:</w:t>
      </w:r>
      <w:r w:rsidR="00A23785" w:rsidRPr="003A1A2E">
        <w:rPr>
          <w:sz w:val="22"/>
          <w:szCs w:val="22"/>
        </w:rPr>
        <w:t xml:space="preserve"> </w:t>
      </w:r>
      <w:hyperlink r:id="rId8" w:history="1">
        <w:r w:rsidR="00A23785" w:rsidRPr="003A1A2E">
          <w:rPr>
            <w:rStyle w:val="Hyperlink"/>
            <w:sz w:val="22"/>
            <w:szCs w:val="22"/>
          </w:rPr>
          <w:t>gabriel.fernandes@hdr.qut.edu.au</w:t>
        </w:r>
      </w:hyperlink>
      <w:r w:rsidRPr="003A1A2E">
        <w:rPr>
          <w:sz w:val="22"/>
          <w:szCs w:val="22"/>
        </w:rPr>
        <w:t xml:space="preserve"> </w:t>
      </w:r>
    </w:p>
    <w:p w14:paraId="3F32589E" w14:textId="0C447056" w:rsidR="00A23785" w:rsidRPr="003A1A2E" w:rsidRDefault="00000000" w:rsidP="00161708">
      <w:pPr>
        <w:autoSpaceDE w:val="0"/>
        <w:autoSpaceDN w:val="0"/>
        <w:adjustRightInd w:val="0"/>
        <w:spacing w:line="480" w:lineRule="auto"/>
        <w:rPr>
          <w:sz w:val="22"/>
          <w:szCs w:val="22"/>
        </w:rPr>
      </w:pPr>
      <w:hyperlink r:id="rId9" w:history="1">
        <w:r w:rsidR="00161708" w:rsidRPr="003A1A2E">
          <w:rPr>
            <w:rStyle w:val="Hyperlink"/>
            <w:sz w:val="22"/>
            <w:szCs w:val="22"/>
          </w:rPr>
          <w:t>https://orcid.org/0000-0002-1941-3900</w:t>
        </w:r>
      </w:hyperlink>
      <w:r w:rsidR="00161708" w:rsidRPr="003A1A2E">
        <w:rPr>
          <w:rStyle w:val="orcid-id-https"/>
          <w:sz w:val="22"/>
          <w:szCs w:val="22"/>
        </w:rPr>
        <w:t xml:space="preserve">. </w:t>
      </w:r>
      <w:r w:rsidR="00161708" w:rsidRPr="003A1A2E">
        <w:rPr>
          <w:sz w:val="22"/>
          <w:szCs w:val="22"/>
        </w:rPr>
        <w:t>School of Exercise and Nutrition Sciences, Faculty of Health, Queensland University of Technology (QUT), Brisbane, Australia</w:t>
      </w:r>
      <w:r w:rsidR="00A23785" w:rsidRPr="003A1A2E">
        <w:rPr>
          <w:sz w:val="22"/>
          <w:szCs w:val="22"/>
        </w:rPr>
        <w:t xml:space="preserve">. </w:t>
      </w:r>
    </w:p>
    <w:p w14:paraId="097E7E91" w14:textId="77777777" w:rsidR="00A23785" w:rsidRPr="003A1A2E" w:rsidRDefault="00A23785" w:rsidP="00E875F7">
      <w:pPr>
        <w:pBdr>
          <w:top w:val="nil"/>
          <w:left w:val="nil"/>
          <w:bottom w:val="nil"/>
          <w:right w:val="nil"/>
          <w:between w:val="nil"/>
          <w:bar w:val="nil"/>
        </w:pBdr>
        <w:spacing w:line="480" w:lineRule="auto"/>
        <w:rPr>
          <w:u w:color="000000"/>
          <w:bdr w:val="nil"/>
        </w:rPr>
      </w:pPr>
    </w:p>
    <w:p w14:paraId="54CA39FF" w14:textId="77777777" w:rsidR="00A23785" w:rsidRPr="003A1A2E" w:rsidRDefault="00A23785" w:rsidP="00E875F7">
      <w:pPr>
        <w:pBdr>
          <w:top w:val="nil"/>
          <w:left w:val="nil"/>
          <w:bottom w:val="nil"/>
          <w:right w:val="nil"/>
          <w:between w:val="nil"/>
          <w:bar w:val="nil"/>
        </w:pBdr>
        <w:spacing w:line="480" w:lineRule="auto"/>
        <w:rPr>
          <w:u w:color="000000"/>
          <w:bdr w:val="nil"/>
        </w:rPr>
      </w:pPr>
    </w:p>
    <w:p w14:paraId="6D1FC3C0" w14:textId="77777777" w:rsidR="00A23785" w:rsidRPr="003A1A2E" w:rsidRDefault="00A23785" w:rsidP="00E875F7">
      <w:pPr>
        <w:pBdr>
          <w:top w:val="nil"/>
          <w:left w:val="nil"/>
          <w:bottom w:val="nil"/>
          <w:right w:val="nil"/>
          <w:between w:val="nil"/>
          <w:bar w:val="nil"/>
        </w:pBdr>
        <w:spacing w:line="480" w:lineRule="auto"/>
        <w:rPr>
          <w:u w:color="000000"/>
          <w:bdr w:val="nil"/>
        </w:rPr>
      </w:pPr>
    </w:p>
    <w:p w14:paraId="31CE8D93" w14:textId="06359D87" w:rsidR="00A23785" w:rsidRPr="003A1A2E" w:rsidRDefault="00A23785" w:rsidP="00E875F7">
      <w:pPr>
        <w:pBdr>
          <w:top w:val="nil"/>
          <w:left w:val="nil"/>
          <w:bottom w:val="nil"/>
          <w:right w:val="nil"/>
          <w:between w:val="nil"/>
          <w:bar w:val="nil"/>
        </w:pBdr>
        <w:spacing w:line="480" w:lineRule="auto"/>
        <w:rPr>
          <w:rStyle w:val="Strong"/>
          <w:u w:val="single"/>
        </w:rPr>
      </w:pPr>
    </w:p>
    <w:p w14:paraId="51E8F93E" w14:textId="1E0E35DB" w:rsidR="00A23785" w:rsidRPr="003A1A2E" w:rsidRDefault="00A23785" w:rsidP="00E875F7">
      <w:pPr>
        <w:pBdr>
          <w:top w:val="nil"/>
          <w:left w:val="nil"/>
          <w:bottom w:val="nil"/>
          <w:right w:val="nil"/>
          <w:between w:val="nil"/>
          <w:bar w:val="nil"/>
        </w:pBdr>
        <w:spacing w:line="480" w:lineRule="auto"/>
        <w:rPr>
          <w:rStyle w:val="Strong"/>
          <w:u w:val="single"/>
        </w:rPr>
      </w:pPr>
    </w:p>
    <w:p w14:paraId="2234CCEE" w14:textId="4DA06169" w:rsidR="00D764EE" w:rsidRPr="003A1A2E" w:rsidRDefault="00D764EE" w:rsidP="00E875F7">
      <w:pPr>
        <w:pBdr>
          <w:top w:val="nil"/>
          <w:left w:val="nil"/>
          <w:bottom w:val="nil"/>
          <w:right w:val="nil"/>
          <w:between w:val="nil"/>
          <w:bar w:val="nil"/>
        </w:pBdr>
        <w:spacing w:line="480" w:lineRule="auto"/>
        <w:rPr>
          <w:rStyle w:val="Strong"/>
          <w:u w:val="single"/>
        </w:rPr>
      </w:pPr>
    </w:p>
    <w:p w14:paraId="1CC5DDC7" w14:textId="7C8FBF0E" w:rsidR="00D764EE" w:rsidRPr="003A1A2E" w:rsidRDefault="00D764EE" w:rsidP="00E875F7">
      <w:pPr>
        <w:pBdr>
          <w:top w:val="nil"/>
          <w:left w:val="nil"/>
          <w:bottom w:val="nil"/>
          <w:right w:val="nil"/>
          <w:between w:val="nil"/>
          <w:bar w:val="nil"/>
        </w:pBdr>
        <w:spacing w:line="480" w:lineRule="auto"/>
        <w:rPr>
          <w:rStyle w:val="Strong"/>
          <w:u w:val="single"/>
        </w:rPr>
      </w:pPr>
    </w:p>
    <w:p w14:paraId="31A1674F" w14:textId="316CCEF3" w:rsidR="00D764EE" w:rsidRPr="003A1A2E" w:rsidRDefault="00D764EE" w:rsidP="00E875F7">
      <w:pPr>
        <w:pBdr>
          <w:top w:val="nil"/>
          <w:left w:val="nil"/>
          <w:bottom w:val="nil"/>
          <w:right w:val="nil"/>
          <w:between w:val="nil"/>
          <w:bar w:val="nil"/>
        </w:pBdr>
        <w:spacing w:line="480" w:lineRule="auto"/>
        <w:rPr>
          <w:rStyle w:val="Strong"/>
          <w:u w:val="single"/>
        </w:rPr>
      </w:pPr>
    </w:p>
    <w:p w14:paraId="364C05D0" w14:textId="4F9CF560" w:rsidR="00D764EE" w:rsidRPr="003A1A2E" w:rsidRDefault="00D764EE" w:rsidP="00E875F7">
      <w:pPr>
        <w:pBdr>
          <w:top w:val="nil"/>
          <w:left w:val="nil"/>
          <w:bottom w:val="nil"/>
          <w:right w:val="nil"/>
          <w:between w:val="nil"/>
          <w:bar w:val="nil"/>
        </w:pBdr>
        <w:spacing w:line="480" w:lineRule="auto"/>
        <w:rPr>
          <w:rStyle w:val="Strong"/>
          <w:u w:val="single"/>
        </w:rPr>
      </w:pPr>
    </w:p>
    <w:p w14:paraId="537E3E8A" w14:textId="3F4BCABE" w:rsidR="00762794" w:rsidRPr="003A1A2E" w:rsidRDefault="00762794" w:rsidP="00E875F7">
      <w:pPr>
        <w:pBdr>
          <w:top w:val="nil"/>
          <w:left w:val="nil"/>
          <w:bottom w:val="nil"/>
          <w:right w:val="nil"/>
          <w:between w:val="nil"/>
          <w:bar w:val="nil"/>
        </w:pBdr>
        <w:spacing w:line="480" w:lineRule="auto"/>
        <w:rPr>
          <w:rStyle w:val="Strong"/>
          <w:u w:val="single"/>
        </w:rPr>
      </w:pPr>
    </w:p>
    <w:p w14:paraId="59ADA1C1" w14:textId="167C22E3" w:rsidR="00762794" w:rsidRPr="003A1A2E" w:rsidRDefault="00762794" w:rsidP="00E875F7">
      <w:pPr>
        <w:pBdr>
          <w:top w:val="nil"/>
          <w:left w:val="nil"/>
          <w:bottom w:val="nil"/>
          <w:right w:val="nil"/>
          <w:between w:val="nil"/>
          <w:bar w:val="nil"/>
        </w:pBdr>
        <w:spacing w:line="480" w:lineRule="auto"/>
        <w:rPr>
          <w:rStyle w:val="Strong"/>
          <w:u w:val="single"/>
        </w:rPr>
      </w:pPr>
    </w:p>
    <w:p w14:paraId="33531623" w14:textId="77777777" w:rsidR="00762794" w:rsidRPr="003A1A2E" w:rsidRDefault="00762794" w:rsidP="00E875F7">
      <w:pPr>
        <w:pBdr>
          <w:top w:val="nil"/>
          <w:left w:val="nil"/>
          <w:bottom w:val="nil"/>
          <w:right w:val="nil"/>
          <w:between w:val="nil"/>
          <w:bar w:val="nil"/>
        </w:pBdr>
        <w:spacing w:line="480" w:lineRule="auto"/>
        <w:rPr>
          <w:rStyle w:val="Strong"/>
          <w:u w:val="single"/>
        </w:rPr>
      </w:pPr>
    </w:p>
    <w:p w14:paraId="1766D650" w14:textId="77777777" w:rsidR="00D764EE" w:rsidRPr="003A1A2E" w:rsidRDefault="00D764EE" w:rsidP="00E875F7">
      <w:pPr>
        <w:pBdr>
          <w:top w:val="nil"/>
          <w:left w:val="nil"/>
          <w:bottom w:val="nil"/>
          <w:right w:val="nil"/>
          <w:between w:val="nil"/>
          <w:bar w:val="nil"/>
        </w:pBdr>
        <w:spacing w:line="480" w:lineRule="auto"/>
        <w:rPr>
          <w:rStyle w:val="Strong"/>
          <w:u w:val="single"/>
        </w:rPr>
      </w:pPr>
    </w:p>
    <w:p w14:paraId="3F43B389" w14:textId="600FC1C5" w:rsidR="0004360D" w:rsidRPr="003A1A2E" w:rsidRDefault="0004360D" w:rsidP="00E875F7">
      <w:pPr>
        <w:pBdr>
          <w:top w:val="nil"/>
          <w:left w:val="nil"/>
          <w:bottom w:val="nil"/>
          <w:right w:val="nil"/>
          <w:between w:val="nil"/>
          <w:bar w:val="nil"/>
        </w:pBdr>
        <w:spacing w:line="480" w:lineRule="auto"/>
        <w:rPr>
          <w:rStyle w:val="Strong"/>
          <w:u w:val="single"/>
        </w:rPr>
      </w:pPr>
    </w:p>
    <w:p w14:paraId="16775700" w14:textId="27176D63" w:rsidR="00A23785" w:rsidRPr="003A1A2E" w:rsidRDefault="00A23785" w:rsidP="00E875F7">
      <w:pPr>
        <w:pStyle w:val="BodyA"/>
        <w:tabs>
          <w:tab w:val="left" w:pos="2816"/>
        </w:tabs>
        <w:spacing w:after="0" w:line="360" w:lineRule="auto"/>
        <w:ind w:firstLine="0"/>
        <w:rPr>
          <w:rFonts w:ascii="Times New Roman" w:eastAsia="Times New Roman" w:hAnsi="Times New Roman" w:cs="Times New Roman"/>
          <w:b/>
          <w:bCs/>
          <w:color w:val="auto"/>
          <w:sz w:val="24"/>
          <w:szCs w:val="24"/>
          <w:lang w:val="en-AU"/>
        </w:rPr>
      </w:pPr>
      <w:r w:rsidRPr="003A1A2E">
        <w:rPr>
          <w:rFonts w:ascii="Times New Roman" w:eastAsia="Times New Roman" w:hAnsi="Times New Roman" w:cs="Times New Roman"/>
          <w:b/>
          <w:bCs/>
          <w:color w:val="auto"/>
          <w:sz w:val="24"/>
          <w:szCs w:val="24"/>
          <w:lang w:val="en-AU"/>
        </w:rPr>
        <w:t>Abstract</w:t>
      </w:r>
      <w:r w:rsidR="004242C8" w:rsidRPr="003A1A2E">
        <w:rPr>
          <w:rFonts w:ascii="Times New Roman" w:eastAsia="Times New Roman" w:hAnsi="Times New Roman" w:cs="Times New Roman"/>
          <w:b/>
          <w:bCs/>
          <w:color w:val="auto"/>
          <w:sz w:val="24"/>
          <w:szCs w:val="24"/>
          <w:lang w:val="en-AU"/>
        </w:rPr>
        <w:t xml:space="preserve"> </w:t>
      </w:r>
      <w:r w:rsidR="004242C8" w:rsidRPr="003A1A2E">
        <w:rPr>
          <w:rFonts w:ascii="Times New Roman" w:eastAsia="Times New Roman" w:hAnsi="Times New Roman" w:cs="Times New Roman"/>
          <w:color w:val="auto"/>
          <w:sz w:val="24"/>
          <w:szCs w:val="24"/>
          <w:lang w:val="en-AU"/>
        </w:rPr>
        <w:t>(</w:t>
      </w:r>
      <w:r w:rsidR="00C93081" w:rsidRPr="003A1A2E">
        <w:rPr>
          <w:rFonts w:ascii="Times New Roman" w:eastAsia="Times New Roman" w:hAnsi="Times New Roman" w:cs="Times New Roman"/>
          <w:color w:val="auto"/>
          <w:sz w:val="24"/>
          <w:szCs w:val="24"/>
          <w:lang w:val="en-AU"/>
        </w:rPr>
        <w:t>2</w:t>
      </w:r>
      <w:r w:rsidR="004B6AC2">
        <w:rPr>
          <w:rFonts w:ascii="Times New Roman" w:eastAsia="Times New Roman" w:hAnsi="Times New Roman" w:cs="Times New Roman"/>
          <w:color w:val="auto"/>
          <w:sz w:val="24"/>
          <w:szCs w:val="24"/>
          <w:lang w:val="en-AU"/>
        </w:rPr>
        <w:t>9</w:t>
      </w:r>
      <w:r w:rsidR="009E57DC">
        <w:rPr>
          <w:rFonts w:ascii="Times New Roman" w:eastAsia="Times New Roman" w:hAnsi="Times New Roman" w:cs="Times New Roman"/>
          <w:color w:val="auto"/>
          <w:sz w:val="24"/>
          <w:szCs w:val="24"/>
          <w:lang w:val="en-AU"/>
        </w:rPr>
        <w:t>5</w:t>
      </w:r>
      <w:r w:rsidR="002A4689" w:rsidRPr="003A1A2E">
        <w:rPr>
          <w:rFonts w:ascii="Times New Roman" w:eastAsia="Times New Roman" w:hAnsi="Times New Roman" w:cs="Times New Roman"/>
          <w:color w:val="auto"/>
          <w:sz w:val="24"/>
          <w:szCs w:val="24"/>
          <w:lang w:val="en-AU"/>
        </w:rPr>
        <w:t xml:space="preserve"> </w:t>
      </w:r>
      <w:r w:rsidR="004242C8" w:rsidRPr="003A1A2E">
        <w:rPr>
          <w:rFonts w:ascii="Times New Roman" w:eastAsia="Times New Roman" w:hAnsi="Times New Roman" w:cs="Times New Roman"/>
          <w:color w:val="auto"/>
          <w:sz w:val="24"/>
          <w:szCs w:val="24"/>
          <w:lang w:val="en-AU"/>
        </w:rPr>
        <w:t>words)</w:t>
      </w:r>
    </w:p>
    <w:p w14:paraId="3193D4F0" w14:textId="2811E8B3" w:rsidR="001768C6" w:rsidRPr="003A1A2E" w:rsidRDefault="001768C6" w:rsidP="001768C6">
      <w:pPr>
        <w:pStyle w:val="BodyA"/>
        <w:tabs>
          <w:tab w:val="left" w:pos="2816"/>
        </w:tabs>
        <w:spacing w:after="0" w:line="360" w:lineRule="auto"/>
        <w:ind w:firstLine="0"/>
        <w:rPr>
          <w:rFonts w:ascii="Times New Roman" w:hAnsi="Times New Roman" w:cs="Times New Roman"/>
          <w:color w:val="auto"/>
          <w:sz w:val="24"/>
          <w:szCs w:val="24"/>
          <w:lang w:val="en-AU"/>
        </w:rPr>
      </w:pPr>
      <w:r w:rsidRPr="003A1A2E">
        <w:rPr>
          <w:rFonts w:ascii="Times New Roman" w:hAnsi="Times New Roman" w:cs="Times New Roman"/>
          <w:b/>
          <w:bCs/>
          <w:color w:val="auto"/>
          <w:sz w:val="24"/>
          <w:szCs w:val="24"/>
          <w:lang w:val="en-AU"/>
        </w:rPr>
        <w:t>Objective</w:t>
      </w:r>
      <w:r w:rsidRPr="003A1A2E">
        <w:rPr>
          <w:rFonts w:ascii="Times New Roman" w:hAnsi="Times New Roman" w:cs="Times New Roman"/>
          <w:color w:val="auto"/>
          <w:sz w:val="24"/>
          <w:szCs w:val="24"/>
          <w:lang w:val="en-AU"/>
        </w:rPr>
        <w:t>: Soleus weakness is suggested to be a significant contributor Achilles tendinopathy (AT) in runners</w:t>
      </w:r>
      <w:r>
        <w:rPr>
          <w:rFonts w:ascii="Times New Roman" w:hAnsi="Times New Roman" w:cs="Times New Roman"/>
          <w:color w:val="auto"/>
          <w:sz w:val="24"/>
          <w:szCs w:val="24"/>
          <w:lang w:val="en-AU"/>
        </w:rPr>
        <w:t>.</w:t>
      </w:r>
      <w:r w:rsidRPr="003A1A2E">
        <w:rPr>
          <w:rFonts w:ascii="Times New Roman" w:hAnsi="Times New Roman" w:cs="Times New Roman"/>
          <w:color w:val="auto"/>
          <w:sz w:val="24"/>
          <w:szCs w:val="24"/>
          <w:lang w:val="en-AU"/>
        </w:rPr>
        <w:t xml:space="preserve"> Muscle force is </w:t>
      </w:r>
      <w:r w:rsidR="003A5D60">
        <w:rPr>
          <w:rFonts w:ascii="Times New Roman" w:hAnsi="Times New Roman" w:cs="Times New Roman"/>
          <w:color w:val="auto"/>
          <w:sz w:val="24"/>
          <w:szCs w:val="24"/>
          <w:lang w:val="en-AU"/>
        </w:rPr>
        <w:t>influenced by</w:t>
      </w:r>
      <w:r w:rsidRPr="003A1A2E">
        <w:rPr>
          <w:rFonts w:ascii="Times New Roman" w:hAnsi="Times New Roman" w:cs="Times New Roman"/>
          <w:color w:val="auto"/>
          <w:sz w:val="24"/>
          <w:szCs w:val="24"/>
          <w:lang w:val="en-AU"/>
        </w:rPr>
        <w:t xml:space="preserve"> the ability of motor units to discharge at high frequencies. Intrinsic motor neurone excitability contributes to </w:t>
      </w:r>
      <w:r>
        <w:rPr>
          <w:rFonts w:ascii="Times New Roman" w:hAnsi="Times New Roman" w:cs="Times New Roman"/>
          <w:color w:val="auto"/>
          <w:sz w:val="24"/>
          <w:szCs w:val="24"/>
          <w:lang w:val="en-AU"/>
        </w:rPr>
        <w:t>motor units</w:t>
      </w:r>
      <w:r w:rsidRPr="003A1A2E">
        <w:rPr>
          <w:rFonts w:ascii="Times New Roman" w:hAnsi="Times New Roman" w:cs="Times New Roman"/>
          <w:color w:val="auto"/>
          <w:sz w:val="24"/>
          <w:szCs w:val="24"/>
          <w:lang w:val="en-AU"/>
        </w:rPr>
        <w:t xml:space="preserve"> discharge rate and consequently, force production. Therefore, a reduction in intrinsic motor </w:t>
      </w:r>
      <w:r w:rsidRPr="0040579F">
        <w:rPr>
          <w:rFonts w:ascii="Times New Roman" w:hAnsi="Times New Roman" w:cs="Times New Roman"/>
          <w:color w:val="auto"/>
          <w:sz w:val="24"/>
          <w:szCs w:val="24"/>
          <w:lang w:val="en-AU"/>
        </w:rPr>
        <w:t xml:space="preserve">neurone excitability could be an important factor contributing to soleus weakness in AT. </w:t>
      </w:r>
      <w:r w:rsidRPr="0040579F">
        <w:rPr>
          <w:rFonts w:ascii="Times New Roman" w:hAnsi="Times New Roman" w:cs="Times New Roman"/>
          <w:sz w:val="24"/>
          <w:szCs w:val="24"/>
        </w:rPr>
        <w:t>Persistent inward currents (PICs) are essential for normal muscle function and a reduction of the motor neurone intrinsic excitability (e.g. PICs amplitude).</w:t>
      </w:r>
      <w:r w:rsidR="00D64AF2">
        <w:rPr>
          <w:rFonts w:ascii="Times New Roman" w:hAnsi="Times New Roman" w:cs="Times New Roman"/>
          <w:sz w:val="24"/>
          <w:szCs w:val="24"/>
        </w:rPr>
        <w:t xml:space="preserve"> </w:t>
      </w:r>
      <w:r w:rsidRPr="0040579F">
        <w:rPr>
          <w:rFonts w:ascii="Times New Roman" w:hAnsi="Times New Roman" w:cs="Times New Roman"/>
          <w:color w:val="auto"/>
          <w:sz w:val="24"/>
          <w:szCs w:val="24"/>
          <w:lang w:val="en-AU"/>
        </w:rPr>
        <w:t xml:space="preserve">This study aimed to </w:t>
      </w:r>
      <w:r w:rsidRPr="0040579F">
        <w:rPr>
          <w:rFonts w:ascii="Times New Roman" w:hAnsi="Times New Roman" w:cs="Times New Roman"/>
          <w:sz w:val="24"/>
          <w:szCs w:val="24"/>
        </w:rPr>
        <w:t xml:space="preserve">investigate the motor neurone intrinsic excitability properties of soleus, by comparing the estimates of PICs </w:t>
      </w:r>
      <w:r>
        <w:rPr>
          <w:rFonts w:ascii="Times New Roman" w:hAnsi="Times New Roman" w:cs="Times New Roman"/>
          <w:sz w:val="24"/>
          <w:szCs w:val="24"/>
        </w:rPr>
        <w:t>(</w:t>
      </w:r>
      <w:r w:rsidRPr="0040579F">
        <w:rPr>
          <w:rFonts w:ascii="Times New Roman" w:hAnsi="Times New Roman" w:cs="Times New Roman"/>
          <w:color w:val="auto"/>
          <w:sz w:val="24"/>
          <w:szCs w:val="24"/>
          <w:lang w:val="en-AU"/>
        </w:rPr>
        <w:t>ΔF</w:t>
      </w:r>
      <w:r w:rsidR="00D64AF2">
        <w:rPr>
          <w:rFonts w:ascii="Times New Roman" w:hAnsi="Times New Roman" w:cs="Times New Roman"/>
          <w:sz w:val="24"/>
          <w:szCs w:val="24"/>
        </w:rPr>
        <w:t>s</w:t>
      </w:r>
      <w:r>
        <w:rPr>
          <w:rFonts w:ascii="Times New Roman" w:hAnsi="Times New Roman" w:cs="Times New Roman"/>
          <w:sz w:val="24"/>
          <w:szCs w:val="24"/>
        </w:rPr>
        <w:t>)</w:t>
      </w:r>
      <w:r w:rsidRPr="0040579F">
        <w:rPr>
          <w:rFonts w:ascii="Times New Roman" w:hAnsi="Times New Roman" w:cs="Times New Roman"/>
          <w:sz w:val="24"/>
          <w:szCs w:val="24"/>
        </w:rPr>
        <w:t xml:space="preserve"> and</w:t>
      </w:r>
      <w:r w:rsidRPr="003A1A2E">
        <w:rPr>
          <w:rFonts w:ascii="Times New Roman" w:hAnsi="Times New Roman" w:cs="Times New Roman"/>
          <w:sz w:val="24"/>
          <w:szCs w:val="24"/>
        </w:rPr>
        <w:t xml:space="preserve"> discharge rates of soleus between runners with and without mid-portion AT</w:t>
      </w:r>
      <w:r>
        <w:rPr>
          <w:rFonts w:ascii="Times New Roman" w:hAnsi="Times New Roman" w:cs="Times New Roman"/>
          <w:sz w:val="24"/>
          <w:szCs w:val="24"/>
        </w:rPr>
        <w:t>.</w:t>
      </w:r>
      <w:r w:rsidRPr="003A1A2E">
        <w:rPr>
          <w:rFonts w:ascii="Times New Roman" w:hAnsi="Times New Roman" w:cs="Times New Roman"/>
          <w:color w:val="auto"/>
          <w:sz w:val="24"/>
          <w:szCs w:val="24"/>
          <w:lang w:val="en-AU"/>
        </w:rPr>
        <w:t xml:space="preserve"> </w:t>
      </w:r>
    </w:p>
    <w:p w14:paraId="0F5CCFEF" w14:textId="77777777" w:rsidR="001768C6" w:rsidRPr="003A1A2E" w:rsidRDefault="001768C6" w:rsidP="001768C6">
      <w:pPr>
        <w:pStyle w:val="BodyA"/>
        <w:tabs>
          <w:tab w:val="left" w:pos="2816"/>
        </w:tabs>
        <w:spacing w:after="0" w:line="360" w:lineRule="auto"/>
        <w:ind w:firstLine="0"/>
        <w:rPr>
          <w:rFonts w:ascii="Times New Roman" w:hAnsi="Times New Roman" w:cs="Times New Roman"/>
          <w:color w:val="auto"/>
          <w:sz w:val="24"/>
          <w:szCs w:val="24"/>
          <w:lang w:val="en-AU"/>
        </w:rPr>
      </w:pPr>
      <w:r w:rsidRPr="003A1A2E">
        <w:rPr>
          <w:rFonts w:ascii="Times New Roman" w:hAnsi="Times New Roman" w:cs="Times New Roman"/>
          <w:b/>
          <w:bCs/>
          <w:color w:val="auto"/>
          <w:sz w:val="24"/>
          <w:szCs w:val="24"/>
          <w:lang w:val="en-AU"/>
        </w:rPr>
        <w:t>Methods:</w:t>
      </w:r>
      <w:r w:rsidRPr="003A1A2E">
        <w:rPr>
          <w:rFonts w:ascii="Times New Roman" w:hAnsi="Times New Roman" w:cs="Times New Roman"/>
          <w:color w:val="auto"/>
          <w:sz w:val="24"/>
          <w:szCs w:val="24"/>
          <w:lang w:val="en-AU"/>
        </w:rPr>
        <w:t xml:space="preserve"> </w:t>
      </w:r>
      <w:r>
        <w:rPr>
          <w:rFonts w:ascii="Times New Roman" w:hAnsi="Times New Roman" w:cs="Times New Roman"/>
          <w:color w:val="auto"/>
          <w:sz w:val="24"/>
          <w:szCs w:val="24"/>
          <w:lang w:val="en-AU"/>
        </w:rPr>
        <w:t>This was an observational study in which we</w:t>
      </w:r>
      <w:r w:rsidRPr="003A1A2E">
        <w:rPr>
          <w:rFonts w:ascii="Times New Roman" w:hAnsi="Times New Roman" w:cs="Times New Roman"/>
          <w:color w:val="auto"/>
          <w:sz w:val="24"/>
          <w:szCs w:val="24"/>
          <w:lang w:val="en-AU"/>
        </w:rPr>
        <w:t xml:space="preserve"> compared the delta frequency (ΔF) of </w:t>
      </w:r>
      <w:r w:rsidRPr="003A1A2E">
        <w:rPr>
          <w:rFonts w:ascii="Times New Roman" w:hAnsi="Times New Roman" w:cs="Times New Roman"/>
          <w:iCs/>
          <w:color w:val="auto"/>
          <w:sz w:val="24"/>
          <w:szCs w:val="24"/>
          <w:lang w:val="en-AU"/>
        </w:rPr>
        <w:t>soleus</w:t>
      </w:r>
      <w:r w:rsidRPr="003A1A2E">
        <w:rPr>
          <w:rFonts w:ascii="Times New Roman" w:hAnsi="Times New Roman" w:cs="Times New Roman"/>
          <w:color w:val="auto"/>
          <w:sz w:val="24"/>
          <w:szCs w:val="24"/>
          <w:lang w:val="en-AU"/>
        </w:rPr>
        <w:t xml:space="preserve"> of runners with (n=11) and without AT (n=12). ΔF estimates the contribution of persistent inward currents to motor neurones self-sustained firing during voluntary contractions and was calculated using the paired-motor unit technique from ramp-shaped isometric plantar flexor contractions of 20% maximal torque. The discharge rates of </w:t>
      </w:r>
      <w:r w:rsidRPr="003A1A2E">
        <w:rPr>
          <w:rFonts w:ascii="Times New Roman" w:hAnsi="Times New Roman" w:cs="Times New Roman"/>
          <w:iCs/>
          <w:color w:val="auto"/>
          <w:sz w:val="24"/>
          <w:szCs w:val="24"/>
          <w:lang w:val="en-AU"/>
        </w:rPr>
        <w:t>soleus</w:t>
      </w:r>
      <w:r w:rsidRPr="003A1A2E">
        <w:rPr>
          <w:rFonts w:ascii="Times New Roman" w:hAnsi="Times New Roman" w:cs="Times New Roman"/>
          <w:color w:val="auto"/>
          <w:sz w:val="24"/>
          <w:szCs w:val="24"/>
          <w:lang w:val="en-AU"/>
        </w:rPr>
        <w:t xml:space="preserve"> motor units were assessed using high-density surface electromyography. </w:t>
      </w:r>
      <w:bookmarkStart w:id="1" w:name="_Hlk74227054"/>
    </w:p>
    <w:p w14:paraId="76A1C802" w14:textId="77777777" w:rsidR="001768C6" w:rsidRPr="003A1A2E" w:rsidRDefault="001768C6" w:rsidP="001768C6">
      <w:pPr>
        <w:pStyle w:val="BodyA"/>
        <w:tabs>
          <w:tab w:val="left" w:pos="2816"/>
        </w:tabs>
        <w:spacing w:after="0" w:line="360" w:lineRule="auto"/>
        <w:ind w:firstLine="0"/>
        <w:rPr>
          <w:rFonts w:ascii="Times New Roman" w:hAnsi="Times New Roman" w:cs="Times New Roman"/>
          <w:color w:val="auto"/>
          <w:sz w:val="24"/>
          <w:szCs w:val="24"/>
          <w:lang w:val="en-AU"/>
        </w:rPr>
      </w:pPr>
      <w:r w:rsidRPr="003A1A2E">
        <w:rPr>
          <w:rFonts w:ascii="Times New Roman" w:hAnsi="Times New Roman" w:cs="Times New Roman"/>
          <w:b/>
          <w:bCs/>
          <w:color w:val="auto"/>
          <w:sz w:val="24"/>
          <w:szCs w:val="24"/>
          <w:lang w:val="en-AU"/>
        </w:rPr>
        <w:t>Results:</w:t>
      </w:r>
      <w:r w:rsidRPr="003A1A2E">
        <w:rPr>
          <w:rFonts w:ascii="Times New Roman" w:hAnsi="Times New Roman" w:cs="Times New Roman"/>
          <w:color w:val="auto"/>
          <w:sz w:val="24"/>
          <w:szCs w:val="24"/>
          <w:lang w:val="en-AU"/>
        </w:rPr>
        <w:t xml:space="preserve"> </w:t>
      </w:r>
      <w:r>
        <w:rPr>
          <w:rFonts w:ascii="Times New Roman" w:hAnsi="Times New Roman" w:cs="Times New Roman"/>
          <w:color w:val="auto"/>
          <w:sz w:val="24"/>
          <w:szCs w:val="24"/>
          <w:lang w:val="en-AU"/>
        </w:rPr>
        <w:t>We found</w:t>
      </w:r>
      <w:r w:rsidRPr="003A1A2E">
        <w:rPr>
          <w:rFonts w:ascii="Times New Roman" w:hAnsi="Times New Roman" w:cs="Times New Roman"/>
          <w:color w:val="auto"/>
          <w:sz w:val="24"/>
          <w:szCs w:val="24"/>
          <w:lang w:val="en-AU"/>
        </w:rPr>
        <w:t xml:space="preserve"> no differences in </w:t>
      </w:r>
      <w:r w:rsidRPr="003A1A2E">
        <w:rPr>
          <w:rFonts w:ascii="Times New Roman" w:hAnsi="Times New Roman" w:cs="Times New Roman"/>
          <w:iCs/>
          <w:color w:val="auto"/>
          <w:sz w:val="24"/>
          <w:szCs w:val="24"/>
          <w:lang w:val="en-AU"/>
        </w:rPr>
        <w:t>soleus</w:t>
      </w:r>
      <w:r w:rsidRPr="003A1A2E">
        <w:rPr>
          <w:rFonts w:ascii="Times New Roman" w:hAnsi="Times New Roman" w:cs="Times New Roman"/>
          <w:color w:val="auto"/>
          <w:sz w:val="24"/>
          <w:szCs w:val="24"/>
          <w:lang w:val="en-AU"/>
        </w:rPr>
        <w:t xml:space="preserve"> ΔF (mean difference = -0.05 pps; 95%CI -1.6 to 1.5; p=0.940)</w:t>
      </w:r>
      <w:r>
        <w:rPr>
          <w:rFonts w:ascii="Times New Roman" w:hAnsi="Times New Roman" w:cs="Times New Roman"/>
          <w:color w:val="auto"/>
          <w:sz w:val="24"/>
          <w:szCs w:val="24"/>
          <w:lang w:val="en-AU"/>
        </w:rPr>
        <w:t>,</w:t>
      </w:r>
      <w:r w:rsidRPr="003A1A2E">
        <w:rPr>
          <w:rFonts w:ascii="Times New Roman" w:hAnsi="Times New Roman" w:cs="Times New Roman"/>
          <w:color w:val="auto"/>
          <w:sz w:val="24"/>
          <w:szCs w:val="24"/>
          <w:lang w:val="en-AU"/>
        </w:rPr>
        <w:t xml:space="preserve"> peak discharge rates (-0.16pps; 95%CI -1.7 to 1.3, p=0.826)</w:t>
      </w:r>
      <w:r>
        <w:rPr>
          <w:rFonts w:ascii="Times New Roman" w:hAnsi="Times New Roman" w:cs="Times New Roman"/>
          <w:color w:val="auto"/>
          <w:sz w:val="24"/>
          <w:szCs w:val="24"/>
          <w:lang w:val="en-AU"/>
        </w:rPr>
        <w:t>,</w:t>
      </w:r>
      <w:r w:rsidRPr="003A1A2E">
        <w:rPr>
          <w:rFonts w:ascii="Times New Roman" w:hAnsi="Times New Roman" w:cs="Times New Roman"/>
          <w:color w:val="auto"/>
          <w:sz w:val="24"/>
          <w:szCs w:val="24"/>
          <w:lang w:val="en-AU"/>
        </w:rPr>
        <w:t xml:space="preserve"> or recruitment threshold (-1.54%; 95%CI -3.5 to 0.5; p=0.1</w:t>
      </w:r>
      <w:bookmarkEnd w:id="1"/>
      <w:r w:rsidRPr="003A1A2E">
        <w:rPr>
          <w:rFonts w:ascii="Times New Roman" w:hAnsi="Times New Roman" w:cs="Times New Roman"/>
          <w:color w:val="auto"/>
          <w:sz w:val="24"/>
          <w:szCs w:val="24"/>
          <w:lang w:val="en-AU"/>
        </w:rPr>
        <w:t xml:space="preserve">11) between groups. </w:t>
      </w:r>
    </w:p>
    <w:p w14:paraId="5EC8BF43" w14:textId="2D17B960" w:rsidR="00A23785" w:rsidRDefault="001768C6" w:rsidP="001768C6">
      <w:pPr>
        <w:pStyle w:val="BodyA"/>
        <w:tabs>
          <w:tab w:val="left" w:pos="2816"/>
        </w:tabs>
        <w:spacing w:after="0" w:line="360" w:lineRule="auto"/>
        <w:ind w:firstLine="0"/>
        <w:rPr>
          <w:rFonts w:ascii="Times New Roman" w:hAnsi="Times New Roman" w:cs="Times New Roman"/>
          <w:color w:val="auto"/>
          <w:sz w:val="24"/>
          <w:szCs w:val="24"/>
          <w:lang w:val="en-AU"/>
        </w:rPr>
      </w:pPr>
      <w:r w:rsidRPr="003A1A2E">
        <w:rPr>
          <w:rFonts w:ascii="Times New Roman" w:hAnsi="Times New Roman" w:cs="Times New Roman"/>
          <w:b/>
          <w:bCs/>
          <w:color w:val="auto"/>
          <w:sz w:val="24"/>
          <w:szCs w:val="24"/>
          <w:lang w:val="en-AU"/>
        </w:rPr>
        <w:t>Conclusion:</w:t>
      </w:r>
      <w:r w:rsidRPr="003A1A2E">
        <w:rPr>
          <w:rFonts w:ascii="Times New Roman" w:hAnsi="Times New Roman" w:cs="Times New Roman"/>
          <w:color w:val="auto"/>
          <w:sz w:val="24"/>
          <w:szCs w:val="24"/>
          <w:lang w:val="en-AU"/>
        </w:rPr>
        <w:t xml:space="preserve"> This study demonstrates no differences in </w:t>
      </w:r>
      <w:r w:rsidRPr="003A1A2E">
        <w:rPr>
          <w:rFonts w:ascii="Times New Roman" w:hAnsi="Times New Roman" w:cs="Times New Roman"/>
          <w:iCs/>
          <w:color w:val="auto"/>
          <w:sz w:val="24"/>
          <w:szCs w:val="24"/>
          <w:lang w:val="en-AU"/>
        </w:rPr>
        <w:t>soleus</w:t>
      </w:r>
      <w:r w:rsidRPr="003A1A2E">
        <w:rPr>
          <w:rFonts w:ascii="Times New Roman" w:hAnsi="Times New Roman" w:cs="Times New Roman"/>
          <w:color w:val="auto"/>
          <w:sz w:val="24"/>
          <w:szCs w:val="24"/>
          <w:lang w:val="en-AU"/>
        </w:rPr>
        <w:t xml:space="preserve"> intrinsic motor neurone excitability between runners with or without Achilles tendinopathy. Thus, </w:t>
      </w:r>
      <w:r>
        <w:rPr>
          <w:rFonts w:ascii="Times New Roman" w:hAnsi="Times New Roman" w:cs="Times New Roman"/>
          <w:color w:val="auto"/>
          <w:sz w:val="24"/>
          <w:szCs w:val="24"/>
          <w:lang w:val="en-AU"/>
        </w:rPr>
        <w:t xml:space="preserve">intrinsic motor neurone excitability might not be a responsible mechanism or </w:t>
      </w:r>
      <w:r w:rsidRPr="003A1A2E">
        <w:rPr>
          <w:rFonts w:ascii="Times New Roman" w:hAnsi="Times New Roman" w:cs="Times New Roman"/>
          <w:color w:val="auto"/>
          <w:sz w:val="24"/>
          <w:szCs w:val="24"/>
          <w:lang w:val="en-AU"/>
        </w:rPr>
        <w:t xml:space="preserve">soleus might not be the main muscle contributing to the plantar flexor weakness reported in AT. </w:t>
      </w:r>
      <w:r>
        <w:rPr>
          <w:rFonts w:ascii="Times New Roman" w:hAnsi="Times New Roman" w:cs="Times New Roman"/>
          <w:color w:val="auto"/>
          <w:sz w:val="24"/>
          <w:szCs w:val="24"/>
          <w:lang w:val="en-AU"/>
        </w:rPr>
        <w:t>Other neurophysiological mechanisms and t</w:t>
      </w:r>
      <w:r w:rsidRPr="003A1A2E">
        <w:rPr>
          <w:rFonts w:ascii="Times New Roman" w:hAnsi="Times New Roman" w:cs="Times New Roman"/>
          <w:color w:val="auto"/>
          <w:sz w:val="24"/>
          <w:szCs w:val="24"/>
          <w:lang w:val="en-AU"/>
        </w:rPr>
        <w:t xml:space="preserve">he individual contribution of </w:t>
      </w:r>
      <w:r w:rsidR="000E6857">
        <w:rPr>
          <w:rFonts w:ascii="Times New Roman" w:hAnsi="Times New Roman" w:cs="Times New Roman"/>
          <w:color w:val="auto"/>
          <w:sz w:val="24"/>
          <w:szCs w:val="24"/>
          <w:lang w:val="en-AU"/>
        </w:rPr>
        <w:t xml:space="preserve">lateral and medial </w:t>
      </w:r>
      <w:r w:rsidRPr="003A1A2E">
        <w:rPr>
          <w:rFonts w:ascii="Times New Roman" w:hAnsi="Times New Roman" w:cs="Times New Roman"/>
          <w:color w:val="auto"/>
          <w:sz w:val="24"/>
          <w:szCs w:val="24"/>
          <w:lang w:val="en-AU"/>
        </w:rPr>
        <w:t>gastrocnemius in this plantar flexor weakness should be explored in future studies.</w:t>
      </w:r>
    </w:p>
    <w:p w14:paraId="6C8CCDEC" w14:textId="77777777" w:rsidR="001768C6" w:rsidRPr="003A1A2E" w:rsidRDefault="001768C6" w:rsidP="001768C6">
      <w:pPr>
        <w:pStyle w:val="BodyA"/>
        <w:tabs>
          <w:tab w:val="left" w:pos="2816"/>
        </w:tabs>
        <w:spacing w:after="0" w:line="360" w:lineRule="auto"/>
        <w:ind w:firstLine="0"/>
        <w:rPr>
          <w:rFonts w:ascii="Times New Roman" w:hAnsi="Times New Roman" w:cs="Times New Roman"/>
          <w:color w:val="auto"/>
          <w:lang w:val="en-AU"/>
        </w:rPr>
      </w:pPr>
    </w:p>
    <w:p w14:paraId="7E91EB31" w14:textId="77777777" w:rsidR="00A23785" w:rsidRPr="003A1A2E" w:rsidRDefault="00A23785" w:rsidP="00E875F7">
      <w:pPr>
        <w:pStyle w:val="BodyA"/>
        <w:tabs>
          <w:tab w:val="left" w:pos="2816"/>
        </w:tabs>
        <w:spacing w:after="0" w:line="360" w:lineRule="auto"/>
        <w:ind w:firstLine="0"/>
        <w:rPr>
          <w:rFonts w:ascii="Times New Roman" w:hAnsi="Times New Roman" w:cs="Times New Roman"/>
          <w:b/>
          <w:bCs/>
          <w:color w:val="auto"/>
          <w:sz w:val="24"/>
          <w:szCs w:val="24"/>
          <w:lang w:val="en-AU"/>
        </w:rPr>
      </w:pPr>
      <w:r w:rsidRPr="003A1A2E">
        <w:rPr>
          <w:rFonts w:ascii="Times New Roman" w:hAnsi="Times New Roman" w:cs="Times New Roman"/>
          <w:b/>
          <w:bCs/>
          <w:color w:val="auto"/>
          <w:sz w:val="24"/>
          <w:szCs w:val="24"/>
          <w:lang w:val="en-AU"/>
        </w:rPr>
        <w:t>Keywords</w:t>
      </w:r>
    </w:p>
    <w:p w14:paraId="507AE5D0" w14:textId="77777777" w:rsidR="001768C6" w:rsidRPr="003A1A2E" w:rsidRDefault="001768C6" w:rsidP="001768C6">
      <w:pPr>
        <w:pStyle w:val="BodyA"/>
        <w:tabs>
          <w:tab w:val="left" w:pos="2816"/>
        </w:tabs>
        <w:spacing w:after="0" w:line="360" w:lineRule="auto"/>
        <w:ind w:firstLine="0"/>
        <w:rPr>
          <w:rFonts w:ascii="Times New Roman" w:hAnsi="Times New Roman" w:cs="Times New Roman"/>
          <w:b/>
          <w:bCs/>
          <w:color w:val="auto"/>
          <w:sz w:val="24"/>
          <w:szCs w:val="24"/>
          <w:lang w:val="en-AU"/>
        </w:rPr>
      </w:pPr>
      <w:r w:rsidRPr="003A1A2E">
        <w:rPr>
          <w:rFonts w:ascii="Times New Roman" w:hAnsi="Times New Roman" w:cs="Times New Roman"/>
          <w:color w:val="auto"/>
          <w:sz w:val="24"/>
          <w:szCs w:val="24"/>
          <w:lang w:val="en-AU"/>
        </w:rPr>
        <w:t xml:space="preserve">Achilles tendon; running; motor unit; </w:t>
      </w:r>
      <w:r>
        <w:rPr>
          <w:rFonts w:ascii="Times New Roman" w:hAnsi="Times New Roman" w:cs="Times New Roman"/>
          <w:color w:val="auto"/>
          <w:sz w:val="24"/>
          <w:szCs w:val="24"/>
          <w:lang w:val="en-AU"/>
        </w:rPr>
        <w:t>inhibitory circuits</w:t>
      </w:r>
      <w:r w:rsidRPr="003A1A2E">
        <w:rPr>
          <w:rFonts w:ascii="Times New Roman" w:hAnsi="Times New Roman" w:cs="Times New Roman"/>
          <w:color w:val="auto"/>
          <w:sz w:val="24"/>
          <w:szCs w:val="24"/>
          <w:lang w:val="en-AU"/>
        </w:rPr>
        <w:t>; persistent inward current; triceps surae</w:t>
      </w:r>
    </w:p>
    <w:p w14:paraId="6671D475" w14:textId="0B016348" w:rsidR="00A23785" w:rsidRDefault="00A23785" w:rsidP="00E875F7">
      <w:pPr>
        <w:pStyle w:val="BodyA"/>
        <w:tabs>
          <w:tab w:val="left" w:pos="2816"/>
        </w:tabs>
        <w:spacing w:after="0"/>
        <w:ind w:firstLine="0"/>
        <w:rPr>
          <w:rFonts w:ascii="Times New Roman" w:hAnsi="Times New Roman" w:cs="Times New Roman"/>
          <w:b/>
          <w:bCs/>
          <w:color w:val="auto"/>
          <w:sz w:val="24"/>
          <w:szCs w:val="24"/>
          <w:lang w:val="en-AU"/>
        </w:rPr>
      </w:pPr>
    </w:p>
    <w:p w14:paraId="4F4A7C93" w14:textId="73491100" w:rsidR="000E6857" w:rsidRDefault="000E6857" w:rsidP="00E875F7">
      <w:pPr>
        <w:pStyle w:val="BodyA"/>
        <w:tabs>
          <w:tab w:val="left" w:pos="2816"/>
        </w:tabs>
        <w:spacing w:after="0"/>
        <w:ind w:firstLine="0"/>
        <w:rPr>
          <w:rFonts w:ascii="Times New Roman" w:hAnsi="Times New Roman" w:cs="Times New Roman"/>
          <w:b/>
          <w:bCs/>
          <w:color w:val="auto"/>
          <w:sz w:val="24"/>
          <w:szCs w:val="24"/>
          <w:lang w:val="en-AU"/>
        </w:rPr>
      </w:pPr>
      <w:r>
        <w:rPr>
          <w:rFonts w:ascii="Times New Roman" w:hAnsi="Times New Roman" w:cs="Times New Roman"/>
          <w:b/>
          <w:bCs/>
          <w:color w:val="auto"/>
          <w:sz w:val="24"/>
          <w:szCs w:val="24"/>
          <w:lang w:val="en-AU"/>
        </w:rPr>
        <w:t>Impact statement:</w:t>
      </w:r>
    </w:p>
    <w:p w14:paraId="551E10F4" w14:textId="7EFDC3B3" w:rsidR="000E6857" w:rsidRDefault="000E6857" w:rsidP="00E875F7">
      <w:pPr>
        <w:pStyle w:val="BodyA"/>
        <w:tabs>
          <w:tab w:val="left" w:pos="2816"/>
        </w:tabs>
        <w:spacing w:after="0"/>
        <w:ind w:firstLine="0"/>
        <w:rPr>
          <w:rFonts w:ascii="Times New Roman" w:hAnsi="Times New Roman" w:cs="Times New Roman"/>
          <w:color w:val="auto"/>
          <w:sz w:val="24"/>
          <w:szCs w:val="24"/>
          <w:lang w:val="en-AU"/>
        </w:rPr>
      </w:pPr>
      <w:r>
        <w:rPr>
          <w:rFonts w:ascii="Times New Roman" w:hAnsi="Times New Roman" w:cs="Times New Roman"/>
          <w:color w:val="auto"/>
          <w:sz w:val="24"/>
          <w:szCs w:val="24"/>
          <w:lang w:val="en-AU"/>
        </w:rPr>
        <w:lastRenderedPageBreak/>
        <w:t xml:space="preserve">The clinical significance </w:t>
      </w:r>
      <w:r>
        <w:rPr>
          <w:rFonts w:ascii="Times New Roman" w:hAnsi="Times New Roman" w:cs="Times New Roman"/>
          <w:color w:val="auto"/>
          <w:sz w:val="24"/>
          <w:szCs w:val="24"/>
          <w:lang w:val="en-AU"/>
        </w:rPr>
        <w:t xml:space="preserve">of this study is that Soleus might not be the main muscle affected in runners with AT. Other muscles such as the lateral and/or medial gastrocnemius could be influencing deficits in plantar flexor performance. Rehabilitation strategies focusing on Soleus only might not be ideal to assist runners with AT. </w:t>
      </w:r>
    </w:p>
    <w:p w14:paraId="68499DA4" w14:textId="77777777" w:rsidR="000E6857" w:rsidRPr="003A1A2E" w:rsidRDefault="000E6857" w:rsidP="00E875F7">
      <w:pPr>
        <w:pStyle w:val="BodyA"/>
        <w:tabs>
          <w:tab w:val="left" w:pos="2816"/>
        </w:tabs>
        <w:spacing w:after="0"/>
        <w:ind w:firstLine="0"/>
        <w:rPr>
          <w:rFonts w:ascii="Times New Roman" w:hAnsi="Times New Roman" w:cs="Times New Roman"/>
          <w:b/>
          <w:bCs/>
          <w:color w:val="auto"/>
          <w:sz w:val="24"/>
          <w:szCs w:val="24"/>
          <w:lang w:val="en-AU"/>
        </w:rPr>
      </w:pPr>
    </w:p>
    <w:p w14:paraId="37F06CDD" w14:textId="0F577509" w:rsidR="00A23785" w:rsidRPr="003A1A2E" w:rsidRDefault="00363BBE" w:rsidP="00BE795C">
      <w:pPr>
        <w:autoSpaceDE w:val="0"/>
        <w:autoSpaceDN w:val="0"/>
        <w:adjustRightInd w:val="0"/>
        <w:spacing w:line="480" w:lineRule="auto"/>
        <w:jc w:val="both"/>
        <w:rPr>
          <w:rFonts w:eastAsia="Arial Unicode MS"/>
        </w:rPr>
      </w:pPr>
      <w:r>
        <w:rPr>
          <w:rFonts w:eastAsia="Arial Unicode MS"/>
        </w:rPr>
        <w:t>Word count excluding abstract, tables and figures: 3</w:t>
      </w:r>
      <w:r w:rsidR="003737EA">
        <w:rPr>
          <w:rFonts w:eastAsia="Arial Unicode MS"/>
        </w:rPr>
        <w:t>1</w:t>
      </w:r>
      <w:r w:rsidR="000E6857">
        <w:rPr>
          <w:rFonts w:eastAsia="Arial Unicode MS"/>
        </w:rPr>
        <w:t>83</w:t>
      </w:r>
    </w:p>
    <w:p w14:paraId="1D8D2464" w14:textId="69B08A09" w:rsidR="00A23785" w:rsidRPr="003A1A2E" w:rsidRDefault="00A23785" w:rsidP="00E875F7">
      <w:pPr>
        <w:pStyle w:val="ListParagraph"/>
        <w:autoSpaceDE w:val="0"/>
        <w:autoSpaceDN w:val="0"/>
        <w:adjustRightInd w:val="0"/>
        <w:spacing w:after="0" w:line="480" w:lineRule="auto"/>
        <w:jc w:val="both"/>
        <w:rPr>
          <w:rFonts w:ascii="Times New Roman" w:eastAsia="Arial Unicode MS" w:hAnsi="Times New Roman" w:cs="Times New Roman"/>
          <w:color w:val="auto"/>
          <w:sz w:val="24"/>
          <w:szCs w:val="24"/>
          <w:lang w:val="en-AU"/>
        </w:rPr>
      </w:pPr>
    </w:p>
    <w:p w14:paraId="59315DCC" w14:textId="513174E1" w:rsidR="00504A0D" w:rsidRPr="003A1A2E" w:rsidRDefault="00200677" w:rsidP="00504A0D">
      <w:pPr>
        <w:pBdr>
          <w:top w:val="nil"/>
          <w:left w:val="nil"/>
          <w:bottom w:val="nil"/>
          <w:right w:val="nil"/>
          <w:between w:val="nil"/>
          <w:bar w:val="nil"/>
        </w:pBdr>
        <w:spacing w:line="480" w:lineRule="auto"/>
        <w:rPr>
          <w:b/>
          <w:bCs/>
        </w:rPr>
      </w:pPr>
      <w:bookmarkStart w:id="2" w:name="_Hlk69838212"/>
      <w:r w:rsidRPr="003A1A2E">
        <w:rPr>
          <w:b/>
          <w:bCs/>
        </w:rPr>
        <w:br w:type="page"/>
      </w:r>
      <w:r w:rsidR="00E875F7" w:rsidRPr="003A1A2E">
        <w:rPr>
          <w:b/>
          <w:bCs/>
        </w:rPr>
        <w:lastRenderedPageBreak/>
        <w:t xml:space="preserve">1. </w:t>
      </w:r>
      <w:r w:rsidR="00EC4627" w:rsidRPr="003A1A2E">
        <w:rPr>
          <w:b/>
          <w:bCs/>
        </w:rPr>
        <w:t xml:space="preserve">Introduction </w:t>
      </w:r>
      <w:r w:rsidR="005C6D38" w:rsidRPr="003A1A2E">
        <w:rPr>
          <w:b/>
          <w:bCs/>
        </w:rPr>
        <w:t xml:space="preserve"> </w:t>
      </w:r>
    </w:p>
    <w:p w14:paraId="74C36D5E" w14:textId="503BC0D6" w:rsidR="006C4079" w:rsidRPr="003A1A2E" w:rsidRDefault="00A23785" w:rsidP="00E52119">
      <w:pPr>
        <w:autoSpaceDE w:val="0"/>
        <w:autoSpaceDN w:val="0"/>
        <w:adjustRightInd w:val="0"/>
        <w:spacing w:line="480" w:lineRule="auto"/>
        <w:ind w:firstLine="720"/>
        <w:jc w:val="both"/>
      </w:pPr>
      <w:bookmarkStart w:id="3" w:name="_Hlk102399623"/>
      <w:r w:rsidRPr="003A1A2E">
        <w:t xml:space="preserve">Achilles tendinopathy (AT) is </w:t>
      </w:r>
      <w:r w:rsidR="004507B9" w:rsidRPr="003A1A2E">
        <w:t xml:space="preserve">painful condition </w:t>
      </w:r>
      <w:r w:rsidR="00ED6D66" w:rsidRPr="003A1A2E">
        <w:t>affecting the Achilles tendon. It of</w:t>
      </w:r>
      <w:r w:rsidR="004507B9" w:rsidRPr="003A1A2E">
        <w:t>ten become</w:t>
      </w:r>
      <w:r w:rsidR="006D41C2" w:rsidRPr="003A1A2E">
        <w:t>s</w:t>
      </w:r>
      <w:r w:rsidR="004507B9" w:rsidRPr="003A1A2E">
        <w:t xml:space="preserve"> chronic, and has a great affect in muscle tendon function</w:t>
      </w:r>
      <w:r w:rsidR="004507B9" w:rsidRPr="003A1A2E">
        <w:fldChar w:fldCharType="begin" w:fldLock="1"/>
      </w:r>
      <w:r w:rsidR="00ED6D66" w:rsidRPr="003A1A2E">
        <w:instrText>ADDIN CSL_CITATION {"citationItems":[{"id":"ITEM-1","itemData":{"DOI":"10.1007/s40279-013-0096-z","ISSN":"01121642","PMID":"24027089","abstract":"Tendon pain remains an enigma. Many clinical features are consistent with tissue disruption - the pain is localised, persistent and specifically associated with tendon loading, whereas others are not - investigations do not always match symptoms and painless tendons can be catastrophically degenerated. As such, the question 'what causes a tendon to be painful?' remains unanswered. Without a proper understanding of the mechanism behind tendon pain, it is no surprise that treatments are often ineffective. Tendon pain certainly serves to protect the area - this is a defining characteristic of pain - and there is often a plausible nociceptive contributor. However, the problem of tendon pain is that the relation between pain and evidence of tissue disruption is variable. The investigation into mechanisms for tendon pain should extend beyond local tissue changes and include peripheral and central mechanisms of nociception modulation. This review integrates recent discoveries in diverse fields such as histology, physiology and neuroscience with clinical insight to present a current state of the art in tendon pain. New hypotheses for this condition are proposed, which focus on the potential role of tenocytes, mechanosensitive and chemosensitive receptors, the role of ion channels in nociception and pain and central mechanisms associated with load and threat monitoring. © 2013 Springer International Publishing Switzerland.","author":[{"dropping-particle":"","family":"Rio","given":"Ebonie","non-dropping-particle":"","parse-names":false,"suffix":""},{"dropping-particle":"","family":"Moseley","given":"Lorimer","non-dropping-particle":"","parse-names":false,"suffix":""},{"dropping-particle":"","family":"Purdam","given":"Craig","non-dropping-particle":"","parse-names":false,"suffix":""},{"dropping-particle":"","family":"Samiric","given":"Tom","non-dropping-particle":"","parse-names":false,"suffix":""},{"dropping-particle":"","family":"Kidgell","given":"Dawson","non-dropping-particle":"","parse-names":false,"suffix":""},{"dropping-particle":"","family":"Pearce","given":"Alan J.","non-dropping-particle":"","parse-names":false,"suffix":""},{"dropping-particle":"","family":"Jaberzadeh","given":"Shapour","non-dropping-particle":"","parse-names":false,"suffix":""},{"dropping-particle":"","family":"Cook","given":"Jill","non-dropping-particle":"","parse-names":false,"suffix":""}],"container-title":"Sports Medicine","id":"ITEM-1","issue":"1","issued":{"date-parts":[["2014"]]},"page":"9-23","title":"The pain of tendinopathy: Physiological or pathophysiological?","type":"article-journal","volume":"44"},"uris":["http://www.mendeley.com/documents/?uuid=671f946f-bbfe-4a66-a8aa-85776d4c1427"]}],"mendeley":{"formattedCitation":"&lt;sup&gt;1&lt;/sup&gt;","plainTextFormattedCitation":"1","previouslyFormattedCitation":"&lt;sup&gt;1&lt;/sup&gt;"},"properties":{"noteIndex":0},"schema":"https://github.com/citation-style-language/schema/raw/master/csl-citation.json"}</w:instrText>
      </w:r>
      <w:r w:rsidR="004507B9" w:rsidRPr="003A1A2E">
        <w:fldChar w:fldCharType="separate"/>
      </w:r>
      <w:r w:rsidR="00ED6D66" w:rsidRPr="003A1A2E">
        <w:rPr>
          <w:noProof/>
          <w:vertAlign w:val="superscript"/>
        </w:rPr>
        <w:t>1</w:t>
      </w:r>
      <w:r w:rsidR="004507B9" w:rsidRPr="003A1A2E">
        <w:fldChar w:fldCharType="end"/>
      </w:r>
      <w:r w:rsidR="00ED6D66" w:rsidRPr="003A1A2E">
        <w:t xml:space="preserve">. </w:t>
      </w:r>
      <w:bookmarkStart w:id="4" w:name="_Hlk102399691"/>
      <w:bookmarkEnd w:id="3"/>
      <w:r w:rsidR="00ED6D66" w:rsidRPr="003A1A2E">
        <w:t xml:space="preserve">AT is an overloading injury </w:t>
      </w:r>
      <w:r w:rsidRPr="003A1A2E">
        <w:t xml:space="preserve">and although its aetiology is multifactorial, </w:t>
      </w:r>
      <w:r w:rsidR="009466DA" w:rsidRPr="003A1A2E">
        <w:t>deficits in muscle performance</w:t>
      </w:r>
      <w:r w:rsidR="006E6339" w:rsidRPr="003A1A2E">
        <w:t xml:space="preserve"> </w:t>
      </w:r>
      <w:r w:rsidR="003A5D60">
        <w:t>are</w:t>
      </w:r>
      <w:r w:rsidR="003A5D60" w:rsidRPr="003A1A2E">
        <w:t xml:space="preserve"> </w:t>
      </w:r>
      <w:r w:rsidR="00C502B6" w:rsidRPr="003A1A2E">
        <w:t>suggested to be</w:t>
      </w:r>
      <w:r w:rsidR="006E6339" w:rsidRPr="003A1A2E">
        <w:t xml:space="preserve"> </w:t>
      </w:r>
      <w:r w:rsidR="00A54CF0" w:rsidRPr="003A1A2E">
        <w:t>key factor</w:t>
      </w:r>
      <w:r w:rsidR="003A5D60">
        <w:t>s</w:t>
      </w:r>
      <w:r w:rsidR="00F81833" w:rsidRPr="003A1A2E">
        <w:fldChar w:fldCharType="begin" w:fldLock="1"/>
      </w:r>
      <w:r w:rsidR="00ED6D66" w:rsidRPr="003A1A2E">
        <w:instrText>ADDIN CSL_CITATION {"citationItems":[{"id":"ITEM-1","itemData":{"DOI":"10.1016/j.ptsp.2019.03.002","ISSN":"18731600","PMID":"30884279","abstract":"Objectives: Determine how the strength and endurance of the plantar flexors are affected by Achilles tendinopathy and whether one muscle is more affected than another. Design: Case control study. Setting: University Laboratory. Participants: 39 Runners with mid-portion Achilles tendinopathy and 38 healthy runners participated in this study. Main outcome measures: Isokinetic dynamometry was completed bilaterally in two knee positions on all subjects to assess the torque and endurance capacity of the plantar flexors. Results: Subjects with Achilles tendinopathy were statistically weaker (by 26.1Nm Concentric 90°/sec, 14,8Nm Concentric 225°/sec and 55.5Nm Eccentric 90°/sec for knee extended testing and 17.3Nm, 10.1Nm and 52.3Nm for the flexed knee respectively) than healthy controls at all isokinetic test speeds and contraction modes irrespective of knee position (p value = &lt;0.001). The endurance capacity of the plantar flexors was significantly reduced (Total work done 613.5Nm less) in subjects with Achilles tendinopathy when compared to the healthy controls (p value = &lt;0.001). Conclusions: Achilles tendinopathy is associated with large deficits in plantar flexor torque and endurance. The deficits are bilateral in nature and appear to be explained by a greater loss of the soleus force generating capacity rather than the gastrocnemius.","author":[{"dropping-particle":"","family":"O'Neill","given":"Seth","non-dropping-particle":"","parse-names":false,"suffix":""},{"dropping-particle":"","family":"Barry","given":"Simon","non-dropping-particle":"","parse-names":false,"suffix":""},{"dropping-particle":"","family":"Watson","given":"Paul","non-dropping-particle":"","parse-names":false,"suffix":""}],"container-title":"Physical Therapy in Sport","id":"ITEM-1","issued":{"date-parts":[["2019"]]},"page":"69-76","publisher":"Elsevier Ltd","title":"Plantarflexor strength and endurance deficits associated with mid-portion Achilles tendinopathy: The role of soleus","type":"article-journal","volume":"37"},"uris":["http://www.mendeley.com/documents/?uuid=39aa78e9-0163-498d-8c93-359b0cbff29a"]},{"id":"ITEM-2","itemData":{"DOI":"10.1177/0363546505279918","ISSN":"03635465","PMID":"16260469","abstract":"Background: Although Achilles tendon overuse injuries occur commonly, our understanding of the pathologic changes and the factors that predispose athletes to them is limited. Purpose: To identify measurable intrinsic risk factors for Achilles tendon overuse injuries. Study Design: Cohort study (prognosis); Level of evidence, 2. Methods: Sixty-nine male officer cadets followed the same 6-week basic military training. Before this training, each subject was evaluated for anthropometrical characteristics, isokinetic ankle muscle strength, ankle joint range of motion, Achilles tendon stiffness, explosive strength, and leisure and sports activity. During military training, Achilles tendon overuse injuries were registered and diagnosed by the same medical doctor. To identify the intrinsic risk factors, a multivariate analysis with the use of stepwise logistic regression was performed. The sensitivity, specificity, and cutoff values of the risk factors were evaluated by receiver operating characteristic curve analysis. Results: Ten of the 69 male recruits (14.5%) sustained an Achilles tendon overuse injury diagnosed on the basis of medical history and clinical examination. Analysis revealed that male recruits with lower plantar flexor strength and increased dorsiflexion excursion were at a greater risk of Achilles tendon overuse injury. The cutoff value of the plantar flexor strength at 85% sensitivity was 50.0 N·m, with a 4.5% specificity; the cutoff value of the dorsiflexion range of motion at 85% sensitivity was 9.0°, with 24.2% specificity. Conclusions: The strength of the plantar flexors and amount of dorsiflexion excursion were identified as significant predictors of an Achilles tendon overuse injury. A plantar flexor strength lower than 50.0 N·m and dorsiflexion range of motion higher than 9.0° were possible thresholds for developing an Achilles tendon overuse injury. © 2006 American Orthopaedic Society for Sports Medicine.","author":[{"dropping-particle":"","family":"Mahieu","given":"Nele N.","non-dropping-particle":"","parse-names":false,"suffix":""},{"dropping-particle":"","family":"Witvrouw","given":"Erik","non-dropping-particle":"","parse-names":false,"suffix":""},{"dropping-particle":"","family":"Stevens","given":"Veerle","non-dropping-particle":"","parse-names":false,"suffix":""},{"dropping-particle":"","family":"Tiggelen","given":"Damien","non-dropping-particle":"Van","parse-names":false,"suffix":""},{"dropping-particle":"","family":"Roget","given":"Philippe","non-dropping-particle":"","parse-names":false,"suffix":""}],"container-title":"American Journal of Sports Medicine","id":"ITEM-2","issue":"2","issued":{"date-parts":[["2006"]]},"page":"226-235","title":"Intrinsic risk factors for the development of Achilles tendon overuse injury: A prospective study","type":"article-journal","volume":"34"},"uris":["http://www.mendeley.com/documents/?uuid=3974208f-7f27-4d8b-8369-9a1c66188904"]}],"mendeley":{"formattedCitation":"&lt;sup&gt;2,3&lt;/sup&gt;","plainTextFormattedCitation":"2,3","previouslyFormattedCitation":"&lt;sup&gt;2,3&lt;/sup&gt;"},"properties":{"noteIndex":0},"schema":"https://github.com/citation-style-language/schema/raw/master/csl-citation.json"}</w:instrText>
      </w:r>
      <w:r w:rsidR="00F81833" w:rsidRPr="003A1A2E">
        <w:fldChar w:fldCharType="separate"/>
      </w:r>
      <w:r w:rsidR="00ED6D66" w:rsidRPr="003A1A2E">
        <w:rPr>
          <w:noProof/>
          <w:vertAlign w:val="superscript"/>
        </w:rPr>
        <w:t>2,3</w:t>
      </w:r>
      <w:r w:rsidR="00F81833" w:rsidRPr="003A1A2E">
        <w:fldChar w:fldCharType="end"/>
      </w:r>
      <w:r w:rsidR="0011697C" w:rsidRPr="003A1A2E">
        <w:t>,</w:t>
      </w:r>
      <w:r w:rsidR="00FE326A" w:rsidRPr="003A1A2E">
        <w:t xml:space="preserve"> which seem to be </w:t>
      </w:r>
      <w:r w:rsidR="00112347" w:rsidRPr="003A1A2E">
        <w:t xml:space="preserve">maintained </w:t>
      </w:r>
      <w:r w:rsidR="00843D1E" w:rsidRPr="003A1A2E">
        <w:t>long</w:t>
      </w:r>
      <w:r w:rsidR="00FE326A" w:rsidRPr="003A1A2E">
        <w:t xml:space="preserve"> </w:t>
      </w:r>
      <w:r w:rsidR="00112347" w:rsidRPr="003A1A2E">
        <w:t>after symptomatic recovery</w:t>
      </w:r>
      <w:r w:rsidR="00F81833" w:rsidRPr="003A1A2E">
        <w:fldChar w:fldCharType="begin" w:fldLock="1"/>
      </w:r>
      <w:r w:rsidR="00ED6D66" w:rsidRPr="003A1A2E">
        <w:instrText>ADDIN CSL_CITATION {"citationItems":[{"id":"ITEM-1","itemData":{"DOI":"10.1136/bjsm.2006.033464","ISSN":"03063674","PMID":"17261555","abstract":"Objective: To assess the relationship between muscle-tendon function and symptoms in patients with Achilles tendinopathy using a validated test battery. Design: A prospective non-randomised trial. Setting: Orthopaedic Department, Sahlgrenska University Hospital, Sweden. Patients: 37 patients with a clinical diagnosis of Achilles tendinopathy in the midportion of the tendon, with symptoms for &gt;2 months, were evaluated at the initiation of the study and after 1 year. Intervention: The patients were treated using a rehabilitation programme, under the supervision of a physical therapist, for 6 months. Main outcome measurements: The patients were evaluated using the Swedish version of the Victorian Institute of Sports Assessment - Achilles questionnaire (VISA-A-S) for symptoms, and a test battery for evaluation of the lower leg muscle-tendon function. Results: There were significant improvements in the VISA-A-S score (p&lt;0.00, n = 37) and the test battery (p&lt;0.02, n = 19) at the 1-year follow-up. The VISA-A-S questionnaire had an effect size of 2.1 and the test battery had an effect size of 0.73. A low correlation (r = 0.178, p&gt;0.05) was found between the VISA-A-S score and the test battery. A high correlation (r = 0.611, p&lt;0.05) was found between the drop counter movement jump and the VISA-A-S score. All other tests in the test battery had low correlations (r = -0.305 to 0.155, p&gt;0.05) with the VISA-A-S score. Only 25% (4/16) of the patients who had full symptomatic recovery had achieved full recovery of muscle-tendon function as measured by the test battery. Conclusion: Full symptomatic recovery in patients with Achilles tendinopathy does not ensure full recovery of muscle-tendon function. The VISA-A-S questionnaire and the test battery are sensitive to clinically relevant changes with treatment and can be recommended for use in both the clinic and research.","author":[{"dropping-particle":"","family":"Silbernagel","given":"Karin Grävare","non-dropping-particle":"","parse-names":false,"suffix":""},{"dropping-particle":"","family":"Thomeé","given":"Roland","non-dropping-particle":"","parse-names":false,"suffix":""},{"dropping-particle":"","family":"Eriksson","given":"Bengt I.","non-dropping-particle":"","parse-names":false,"suffix":""},{"dropping-particle":"","family":"Karlsson","given":"Jon","non-dropping-particle":"","parse-names":false,"suffix":""}],"container-title":"British Journal of Sports Medicine","id":"ITEM-1","issue":"4","issued":{"date-parts":[["2007"]]},"page":"276-280","title":"Full symptomatic recovery does not ensure full recovery of muscle-tendon function in patients with Achilles tendinopathy","type":"article-journal","volume":"41"},"uris":["http://www.mendeley.com/documents/?uuid=dced6911-84f9-4475-80f5-46ca347d9b33"]}],"mendeley":{"formattedCitation":"&lt;sup&gt;4&lt;/sup&gt;","plainTextFormattedCitation":"4","previouslyFormattedCitation":"&lt;sup&gt;4&lt;/sup&gt;"},"properties":{"noteIndex":0},"schema":"https://github.com/citation-style-language/schema/raw/master/csl-citation.json"}</w:instrText>
      </w:r>
      <w:r w:rsidR="00F81833" w:rsidRPr="003A1A2E">
        <w:fldChar w:fldCharType="separate"/>
      </w:r>
      <w:r w:rsidR="00ED6D66" w:rsidRPr="003A1A2E">
        <w:rPr>
          <w:noProof/>
          <w:vertAlign w:val="superscript"/>
        </w:rPr>
        <w:t>4</w:t>
      </w:r>
      <w:r w:rsidR="00F81833" w:rsidRPr="003A1A2E">
        <w:fldChar w:fldCharType="end"/>
      </w:r>
      <w:r w:rsidR="00A54CF0" w:rsidRPr="003A1A2E">
        <w:t xml:space="preserve">. </w:t>
      </w:r>
      <w:bookmarkEnd w:id="4"/>
      <w:r w:rsidR="00122460" w:rsidRPr="003A1A2E">
        <w:t xml:space="preserve"> Some evidence</w:t>
      </w:r>
      <w:r w:rsidR="00BF01CB" w:rsidRPr="003A1A2E">
        <w:t xml:space="preserve"> </w:t>
      </w:r>
      <w:r w:rsidR="00D00EE0" w:rsidRPr="003A1A2E">
        <w:t>suggest</w:t>
      </w:r>
      <w:r w:rsidR="009437BA">
        <w:t>s</w:t>
      </w:r>
      <w:r w:rsidR="00D00EE0" w:rsidRPr="003A1A2E">
        <w:t xml:space="preserve"> th</w:t>
      </w:r>
      <w:r w:rsidR="00BF01CB" w:rsidRPr="003A1A2E">
        <w:t>at</w:t>
      </w:r>
      <w:r w:rsidR="00D00EE0" w:rsidRPr="003A1A2E">
        <w:t xml:space="preserve"> </w:t>
      </w:r>
      <w:r w:rsidR="0011111E" w:rsidRPr="003A1A2E">
        <w:rPr>
          <w:iCs/>
        </w:rPr>
        <w:t>soleus</w:t>
      </w:r>
      <w:r w:rsidR="0011111E" w:rsidRPr="003A1A2E">
        <w:t xml:space="preserve"> </w:t>
      </w:r>
      <w:r w:rsidR="00BF01CB" w:rsidRPr="003A1A2E">
        <w:t xml:space="preserve">dysfunction </w:t>
      </w:r>
      <w:r w:rsidR="009437BA">
        <w:t>is</w:t>
      </w:r>
      <w:r w:rsidR="00BF01CB" w:rsidRPr="003A1A2E">
        <w:t xml:space="preserve"> the main factor </w:t>
      </w:r>
      <w:r w:rsidR="00D00EE0" w:rsidRPr="003A1A2E">
        <w:t>in</w:t>
      </w:r>
      <w:r w:rsidR="009077AA" w:rsidRPr="003A1A2E">
        <w:t>fluencing</w:t>
      </w:r>
      <w:r w:rsidR="00D00EE0" w:rsidRPr="003A1A2E">
        <w:t xml:space="preserve"> the strength and endurance deficits observed in runners with AT</w:t>
      </w:r>
      <w:r w:rsidR="00D00EE0" w:rsidRPr="003A1A2E">
        <w:fldChar w:fldCharType="begin" w:fldLock="1"/>
      </w:r>
      <w:r w:rsidR="00ED6D66" w:rsidRPr="003A1A2E">
        <w:instrText>ADDIN CSL_CITATION {"citationItems":[{"id":"ITEM-1","itemData":{"DOI":"10.1016/j.ptsp.2019.03.002","ISSN":"18731600","PMID":"30884279","abstract":"Objectives: Determine how the strength and endurance of the plantar flexors are affected by Achilles tendinopathy and whether one muscle is more affected than another. Design: Case control study. Setting: University Laboratory. Participants: 39 Runners with mid-portion Achilles tendinopathy and 38 healthy runners participated in this study. Main outcome measures: Isokinetic dynamometry was completed bilaterally in two knee positions on all subjects to assess the torque and endurance capacity of the plantar flexors. Results: Subjects with Achilles tendinopathy were statistically weaker (by 26.1Nm Concentric 90°/sec, 14,8Nm Concentric 225°/sec and 55.5Nm Eccentric 90°/sec for knee extended testing and 17.3Nm, 10.1Nm and 52.3Nm for the flexed knee respectively) than healthy controls at all isokinetic test speeds and contraction modes irrespective of knee position (p value = &lt;0.001). The endurance capacity of the plantar flexors was significantly reduced (Total work done 613.5Nm less) in subjects with Achilles tendinopathy when compared to the healthy controls (p value = &lt;0.001). Conclusions: Achilles tendinopathy is associated with large deficits in plantar flexor torque and endurance. The deficits are bilateral in nature and appear to be explained by a greater loss of the soleus force generating capacity rather than the gastrocnemius.","author":[{"dropping-particle":"","family":"O'Neill","given":"Seth","non-dropping-particle":"","parse-names":false,"suffix":""},{"dropping-particle":"","family":"Barry","given":"Simon","non-dropping-particle":"","parse-names":false,"suffix":""},{"dropping-particle":"","family":"Watson","given":"Paul","non-dropping-particle":"","parse-names":false,"suffix":""}],"container-title":"Physical Therapy in Sport","id":"ITEM-1","issued":{"date-parts":[["2019"]]},"page":"69-76","publisher":"Elsevier Ltd","title":"Plantarflexor strength and endurance deficits associated with mid-portion Achilles tendinopathy: The role of soleus","type":"article-journal","volume":"37"},"uris":["http://www.mendeley.com/documents/?uuid=39aa78e9-0163-498d-8c93-359b0cbff29a"]}],"mendeley":{"formattedCitation":"&lt;sup&gt;2&lt;/sup&gt;","plainTextFormattedCitation":"2","previouslyFormattedCitation":"&lt;sup&gt;2&lt;/sup&gt;"},"properties":{"noteIndex":0},"schema":"https://github.com/citation-style-language/schema/raw/master/csl-citation.json"}</w:instrText>
      </w:r>
      <w:r w:rsidR="00D00EE0" w:rsidRPr="003A1A2E">
        <w:fldChar w:fldCharType="separate"/>
      </w:r>
      <w:r w:rsidR="00ED6D66" w:rsidRPr="003A1A2E">
        <w:rPr>
          <w:noProof/>
          <w:vertAlign w:val="superscript"/>
        </w:rPr>
        <w:t>2</w:t>
      </w:r>
      <w:r w:rsidR="00D00EE0" w:rsidRPr="003A1A2E">
        <w:fldChar w:fldCharType="end"/>
      </w:r>
      <w:r w:rsidR="006F4FAC" w:rsidRPr="003A1A2E">
        <w:t xml:space="preserve">. </w:t>
      </w:r>
      <w:r w:rsidR="00122460" w:rsidRPr="003A1A2E">
        <w:t>Selective weakness</w:t>
      </w:r>
      <w:r w:rsidR="00273762" w:rsidRPr="003A1A2E">
        <w:t xml:space="preserve"> or </w:t>
      </w:r>
      <w:r w:rsidR="00B35A51" w:rsidRPr="003A1A2E">
        <w:t>altered muscle coordination</w:t>
      </w:r>
      <w:r w:rsidR="00273762" w:rsidRPr="003A1A2E">
        <w:t>,</w:t>
      </w:r>
      <w:r w:rsidR="00B35A51" w:rsidRPr="003A1A2E">
        <w:t xml:space="preserve"> may </w:t>
      </w:r>
      <w:r w:rsidR="00273762" w:rsidRPr="003A1A2E">
        <w:t>create</w:t>
      </w:r>
      <w:r w:rsidR="00B35A51" w:rsidRPr="003A1A2E">
        <w:t xml:space="preserve"> unequal </w:t>
      </w:r>
      <w:r w:rsidR="009437BA" w:rsidRPr="003A1A2E">
        <w:t>Achilles tendon</w:t>
      </w:r>
      <w:r w:rsidR="009437BA" w:rsidRPr="003A1A2E">
        <w:fldChar w:fldCharType="begin" w:fldLock="1"/>
      </w:r>
      <w:r w:rsidR="009437BA" w:rsidRPr="003A1A2E">
        <w:instrText>ADDIN CSL_CITATION {"citationItems":[{"id":"ITEM-1","itemData":{"DOI":"10.1249/JES.0000000000000122","ISBN":"0000000000000","ISSN":"15383008","PMID":"28704220","abstract":"The present article examines the hypothesis that each individual has unique muscle coordination strategies (or signatures) that will have specific mechanical effects on their musculoskeletal system. As such, some strategies would make some people more at risk of developing musculoskeletal disorders than others. Identification of individual coordination strategies might provide insight into the development of musculoskeletal disorders.","author":[{"dropping-particle":"","family":"Hug","given":"François","non-dropping-particle":"","parse-names":false,"suffix":""},{"dropping-particle":"","family":"Tucker","given":"Kylie","non-dropping-particle":"","parse-names":false,"suffix":""}],"container-title":"Exercise and Sport Sciences Reviews","id":"ITEM-1","issue":"4","issued":{"date-parts":[["2017"]]},"page":"201-208","title":"Muscle Coordination and the Development of Musculoskeletal Disorders","type":"article-journal","volume":"45"},"uris":["http://www.mendeley.com/documents/?uuid=17947af5-77c9-4a21-92da-4a56465fe2df"]}],"mendeley":{"formattedCitation":"&lt;sup&gt;5&lt;/sup&gt;","plainTextFormattedCitation":"5","previouslyFormattedCitation":"&lt;sup&gt;5&lt;/sup&gt;"},"properties":{"noteIndex":0},"schema":"https://github.com/citation-style-language/schema/raw/master/csl-citation.json"}</w:instrText>
      </w:r>
      <w:r w:rsidR="009437BA" w:rsidRPr="003A1A2E">
        <w:fldChar w:fldCharType="separate"/>
      </w:r>
      <w:r w:rsidR="009437BA" w:rsidRPr="003A1A2E">
        <w:rPr>
          <w:noProof/>
          <w:vertAlign w:val="superscript"/>
        </w:rPr>
        <w:t>5</w:t>
      </w:r>
      <w:r w:rsidR="009437BA" w:rsidRPr="003A1A2E">
        <w:fldChar w:fldCharType="end"/>
      </w:r>
      <w:r w:rsidR="009437BA" w:rsidRPr="003A1A2E">
        <w:t xml:space="preserve"> </w:t>
      </w:r>
      <w:r w:rsidR="00B35A51" w:rsidRPr="003A1A2E">
        <w:t xml:space="preserve">loading </w:t>
      </w:r>
      <w:r w:rsidR="00122460" w:rsidRPr="003A1A2E">
        <w:t>and possibly contribute to tendon pain and pathology, and the development of chronic AT</w:t>
      </w:r>
      <w:r w:rsidR="00122460" w:rsidRPr="003A1A2E">
        <w:fldChar w:fldCharType="begin" w:fldLock="1"/>
      </w:r>
      <w:r w:rsidR="00273762" w:rsidRPr="003A1A2E">
        <w:instrText>ADDIN CSL_CITATION {"citationItems":[{"id":"ITEM-1","itemData":{"DOI":"10.1136/bjsm.2008.051193","ISSN":"03063674","PMID":"18812414","abstract":"Overuse tendinopathy is problematic to manage clinically. People of different ages with tendons under diverse loads present with varying degrees of pain, irritability, and capacity to function. Recovery is similarly variable; some tendons recover with simple interventions, some remain resistant to all treatments. The pathology of tendinopathy has been described as degenerative or failed healing. Neither of these descriptions fully explains the heterogeneity of presentation. This review proposes, and provides evidence for, a continuum of pathology. This model of pathology allows rational placement of treatments along the continuum. A new model of tendinopathy and thoughtful treatment implementation may improve outcomes for those with tendinopathy. This model is presented for evaluation by clinicians and researchers.","author":[{"dropping-particle":"","family":"Cook","given":"J. L.","non-dropping-particle":"","parse-names":false,"suffix":""},{"dropping-particle":"","family":"Purdam","given":"C. R.","non-dropping-particle":"","parse-names":false,"suffix":""}],"container-title":"British Journal of Sports Medicine","id":"ITEM-1","issue":"6","issued":{"date-parts":[["2009"]]},"page":"409-416","title":"Is tendon pathology a continuum? A pathology model to explain the clinical presentation of load-induced tendinopathy","type":"article-journal","volume":"43"},"uris":["http://www.mendeley.com/documents/?uuid=b8fbc9ca-efda-4ade-8ff6-a10d0f30f52b"]}],"mendeley":{"formattedCitation":"&lt;sup&gt;6&lt;/sup&gt;","plainTextFormattedCitation":"6","previouslyFormattedCitation":"&lt;sup&gt;6&lt;/sup&gt;"},"properties":{"noteIndex":0},"schema":"https://github.com/citation-style-language/schema/raw/master/csl-citation.json"}</w:instrText>
      </w:r>
      <w:r w:rsidR="00122460" w:rsidRPr="003A1A2E">
        <w:fldChar w:fldCharType="separate"/>
      </w:r>
      <w:r w:rsidR="00273762" w:rsidRPr="003A1A2E">
        <w:rPr>
          <w:noProof/>
          <w:vertAlign w:val="superscript"/>
        </w:rPr>
        <w:t>6</w:t>
      </w:r>
      <w:r w:rsidR="00122460" w:rsidRPr="003A1A2E">
        <w:fldChar w:fldCharType="end"/>
      </w:r>
      <w:r w:rsidR="00122460" w:rsidRPr="003A1A2E">
        <w:t>.</w:t>
      </w:r>
      <w:r w:rsidR="00273762" w:rsidRPr="003A1A2E">
        <w:t xml:space="preserve"> </w:t>
      </w:r>
      <w:r w:rsidR="00D723FD" w:rsidRPr="003A1A2E">
        <w:t>From</w:t>
      </w:r>
      <w:r w:rsidR="005E0222" w:rsidRPr="003A1A2E">
        <w:t xml:space="preserve"> a neurophysiological perspective, t</w:t>
      </w:r>
      <w:r w:rsidR="00CE1262" w:rsidRPr="003A1A2E">
        <w:t>he force exerted by a muscle depends</w:t>
      </w:r>
      <w:r w:rsidR="00DA0760" w:rsidRPr="003A1A2E">
        <w:t>, partly,</w:t>
      </w:r>
      <w:r w:rsidR="00CE1262" w:rsidRPr="003A1A2E">
        <w:t xml:space="preserve"> on the recruitment and discharge rates of motor units</w:t>
      </w:r>
      <w:r w:rsidR="008149CF" w:rsidRPr="003A1A2E">
        <w:fldChar w:fldCharType="begin" w:fldLock="1"/>
      </w:r>
      <w:r w:rsidR="00273762" w:rsidRPr="003A1A2E">
        <w:instrText>ADDIN CSL_CITATION {"citationItems":[{"id":"ITEM-1","itemData":{"DOI":"10.1101/cshperspect.a029702","ISSN":"21571422","PMID":"28348173","abstract":"The force exerted by a muscle during a voluntary contraction depends on the number of motor units recruited for the action and the rates at which they discharge action potentials (rate coding). Over most of the operating range of a muscle, the nervous system controls muscle force by varying both motor unit recruitment and rate coding. Except at relatively low forces, however, the control of muscle force depends primarily on rate coding, especially during fast contractions. This review provides five examples of how the modulation of rate coding influences the force exerted by muscle during voluntary actions. The five examples comprise fast contractions, lengthening and shortening contractions, steady isometric contractions, fatiguing contractions, and contractions performed after a change in the daily level of physical activity.","author":[{"dropping-particle":"","family":"Enoka","given":"Roger M.","non-dropping-particle":"","parse-names":false,"suffix":""},{"dropping-particle":"","family":"Duchateau","given":"Jacques","non-dropping-particle":"","parse-names":false,"suffix":""}],"container-title":"Cold Spring Harbor Perspectives in Medicine","id":"ITEM-1","issue":"10","issued":{"date-parts":[["2017"]]},"page":"1-12","title":"Rate coding and the control of muscle force","type":"article-journal","volume":"7"},"uris":["http://www.mendeley.com/documents/?uuid=f22dae55-4296-405b-adad-975037bd2469"]}],"mendeley":{"formattedCitation":"&lt;sup&gt;7&lt;/sup&gt;","plainTextFormattedCitation":"7","previouslyFormattedCitation":"&lt;sup&gt;7&lt;/sup&gt;"},"properties":{"noteIndex":0},"schema":"https://github.com/citation-style-language/schema/raw/master/csl-citation.json"}</w:instrText>
      </w:r>
      <w:r w:rsidR="008149CF" w:rsidRPr="003A1A2E">
        <w:fldChar w:fldCharType="separate"/>
      </w:r>
      <w:r w:rsidR="00273762" w:rsidRPr="003A1A2E">
        <w:rPr>
          <w:noProof/>
          <w:vertAlign w:val="superscript"/>
        </w:rPr>
        <w:t>7</w:t>
      </w:r>
      <w:r w:rsidR="008149CF" w:rsidRPr="003A1A2E">
        <w:fldChar w:fldCharType="end"/>
      </w:r>
      <w:r w:rsidR="00BF01CB" w:rsidRPr="003A1A2E">
        <w:t xml:space="preserve">. Thus, </w:t>
      </w:r>
      <w:r w:rsidR="005E0222" w:rsidRPr="003A1A2E">
        <w:t>deficits in strength could be a result of</w:t>
      </w:r>
      <w:r w:rsidR="00286A6F" w:rsidRPr="003A1A2E">
        <w:t xml:space="preserve"> a</w:t>
      </w:r>
      <w:r w:rsidR="005E0222" w:rsidRPr="003A1A2E">
        <w:t xml:space="preserve"> reduced ability to</w:t>
      </w:r>
      <w:r w:rsidR="006F4FAC" w:rsidRPr="003A1A2E">
        <w:t xml:space="preserve"> recruit motor unit</w:t>
      </w:r>
      <w:r w:rsidR="004E0FE2" w:rsidRPr="003A1A2E">
        <w:t>s</w:t>
      </w:r>
      <w:r w:rsidR="006F4FAC" w:rsidRPr="003A1A2E">
        <w:t xml:space="preserve"> and</w:t>
      </w:r>
      <w:r w:rsidR="005E0222" w:rsidRPr="003A1A2E">
        <w:t>/or</w:t>
      </w:r>
      <w:r w:rsidR="006F4FAC" w:rsidRPr="003A1A2E">
        <w:t xml:space="preserve"> </w:t>
      </w:r>
      <w:r w:rsidR="005E0222" w:rsidRPr="003A1A2E">
        <w:t xml:space="preserve">to </w:t>
      </w:r>
      <w:r w:rsidR="006F4FAC" w:rsidRPr="003A1A2E">
        <w:t xml:space="preserve">increase </w:t>
      </w:r>
      <w:r w:rsidR="005E0222" w:rsidRPr="003A1A2E">
        <w:t xml:space="preserve">the rate </w:t>
      </w:r>
      <w:r w:rsidR="00DA0760" w:rsidRPr="003A1A2E">
        <w:t xml:space="preserve">at </w:t>
      </w:r>
      <w:r w:rsidR="005E0222" w:rsidRPr="003A1A2E">
        <w:t>which moto</w:t>
      </w:r>
      <w:r w:rsidR="001A042D" w:rsidRPr="003A1A2E">
        <w:t xml:space="preserve">r </w:t>
      </w:r>
      <w:r w:rsidR="005E0222" w:rsidRPr="003A1A2E">
        <w:t>neuron</w:t>
      </w:r>
      <w:r w:rsidR="00C86A20" w:rsidRPr="003A1A2E">
        <w:t>e</w:t>
      </w:r>
      <w:r w:rsidR="00DA0760" w:rsidRPr="003A1A2E">
        <w:t>s</w:t>
      </w:r>
      <w:r w:rsidR="00BF01CB" w:rsidRPr="003A1A2E">
        <w:t xml:space="preserve"> discharg</w:t>
      </w:r>
      <w:r w:rsidR="005E0222" w:rsidRPr="003A1A2E">
        <w:t>e</w:t>
      </w:r>
      <w:r w:rsidR="006F4FAC" w:rsidRPr="003A1A2E">
        <w:fldChar w:fldCharType="begin" w:fldLock="1"/>
      </w:r>
      <w:r w:rsidR="00273762" w:rsidRPr="003A1A2E">
        <w:instrText>ADDIN CSL_CITATION {"citationItems":[{"id":"ITEM-1","itemData":{"DOI":"10.1101/cshperspect.a029702","ISSN":"21571422","PMID":"28348173","abstract":"The force exerted by a muscle during a voluntary contraction depends on the number of motor units recruited for the action and the rates at which they discharge action potentials (rate coding). Over most of the operating range of a muscle, the nervous system controls muscle force by varying both motor unit recruitment and rate coding. Except at relatively low forces, however, the control of muscle force depends primarily on rate coding, especially during fast contractions. This review provides five examples of how the modulation of rate coding influences the force exerted by muscle during voluntary actions. The five examples comprise fast contractions, lengthening and shortening contractions, steady isometric contractions, fatiguing contractions, and contractions performed after a change in the daily level of physical activity.","author":[{"dropping-particle":"","family":"Enoka","given":"Roger M.","non-dropping-particle":"","parse-names":false,"suffix":""},{"dropping-particle":"","family":"Duchateau","given":"Jacques","non-dropping-particle":"","parse-names":false,"suffix":""}],"container-title":"Cold Spring Harbor Perspectives in Medicine","id":"ITEM-1","issue":"10","issued":{"date-parts":[["2017"]]},"page":"1-12","title":"Rate coding and the control of muscle force","type":"article-journal","volume":"7"},"uris":["http://www.mendeley.com/documents/?uuid=f22dae55-4296-405b-adad-975037bd2469"]}],"mendeley":{"formattedCitation":"&lt;sup&gt;7&lt;/sup&gt;","plainTextFormattedCitation":"7","previouslyFormattedCitation":"&lt;sup&gt;7&lt;/sup&gt;"},"properties":{"noteIndex":0},"schema":"https://github.com/citation-style-language/schema/raw/master/csl-citation.json"}</w:instrText>
      </w:r>
      <w:r w:rsidR="006F4FAC" w:rsidRPr="003A1A2E">
        <w:fldChar w:fldCharType="separate"/>
      </w:r>
      <w:r w:rsidR="00273762" w:rsidRPr="003A1A2E">
        <w:rPr>
          <w:noProof/>
          <w:vertAlign w:val="superscript"/>
        </w:rPr>
        <w:t>7</w:t>
      </w:r>
      <w:r w:rsidR="006F4FAC" w:rsidRPr="003A1A2E">
        <w:fldChar w:fldCharType="end"/>
      </w:r>
      <w:r w:rsidR="006C4079" w:rsidRPr="003A1A2E">
        <w:t>.</w:t>
      </w:r>
    </w:p>
    <w:p w14:paraId="56A51736" w14:textId="7466DC55" w:rsidR="00122460" w:rsidRPr="003A1A2E" w:rsidRDefault="00B23CEC" w:rsidP="00122460">
      <w:pPr>
        <w:autoSpaceDE w:val="0"/>
        <w:autoSpaceDN w:val="0"/>
        <w:adjustRightInd w:val="0"/>
        <w:spacing w:line="480" w:lineRule="auto"/>
        <w:ind w:firstLine="720"/>
        <w:jc w:val="both"/>
      </w:pPr>
      <w:r w:rsidRPr="003A1A2E">
        <w:t>M</w:t>
      </w:r>
      <w:r w:rsidR="00153B4E" w:rsidRPr="003A1A2E">
        <w:t>oto</w:t>
      </w:r>
      <w:r w:rsidR="00A34BB8" w:rsidRPr="003A1A2E">
        <w:t xml:space="preserve">r </w:t>
      </w:r>
      <w:r w:rsidR="00153B4E" w:rsidRPr="003A1A2E">
        <w:t>neuron</w:t>
      </w:r>
      <w:r w:rsidR="00C86A20" w:rsidRPr="003A1A2E">
        <w:t>e</w:t>
      </w:r>
      <w:r w:rsidRPr="003A1A2E">
        <w:t>s</w:t>
      </w:r>
      <w:r w:rsidR="00153B4E" w:rsidRPr="003A1A2E">
        <w:t xml:space="preserve"> </w:t>
      </w:r>
      <w:r w:rsidRPr="003A1A2E">
        <w:t>are</w:t>
      </w:r>
      <w:r w:rsidR="00153B4E" w:rsidRPr="003A1A2E">
        <w:t xml:space="preserve"> responsible for integrating and amplifying excitatory synaptic input</w:t>
      </w:r>
      <w:r w:rsidR="00DD235E" w:rsidRPr="003A1A2E">
        <w:t xml:space="preserve"> from descending pathways and afferent fibres</w:t>
      </w:r>
      <w:r w:rsidR="00153B4E" w:rsidRPr="003A1A2E">
        <w:t xml:space="preserve"> into an appropriate motor output</w:t>
      </w:r>
      <w:r w:rsidR="008149CF" w:rsidRPr="003A1A2E">
        <w:fldChar w:fldCharType="begin" w:fldLock="1"/>
      </w:r>
      <w:r w:rsidR="00273762" w:rsidRPr="003A1A2E">
        <w:instrText>ADDIN CSL_CITATION {"citationItems":[{"id":"ITEM-1","itemData":{"DOI":"10.1007/s11357-021-00478-z","ISBN":"0123456789","ISSN":"2509-2715","author":[{"dropping-particle":"","family":"Orssatto","given":"Lucas B. R.","non-dropping-particle":"","parse-names":false,"suffix":""},{"dropping-particle":"","family":"Borg","given":"David N.","non-dropping-particle":"","parse-names":false,"suffix":""},{"dropping-particle":"","family":"Blazevich","given":"Anthony J.","non-dropping-particle":"","parse-names":false,"suffix":""},{"dropping-particle":"","family":"Sakugawa","given":"Raphael L.","non-dropping-particle":"","parse-names":false,"suffix":""},{"dropping-particle":"","family":"Shield","given":"Anthony J.","non-dropping-particle":"","parse-names":false,"suffix":""},{"dropping-particle":"","family":"Trajano","given":"Gabriel S.","non-dropping-particle":"","parse-names":false,"suffix":""}],"container-title":"GeroScience","id":"ITEM-1","issued":{"date-parts":[["2021"]]},"page":"2719-2735","title":"Intrinsic motoneuron excitability is reduced in soleus and tibialis anterior of older adults","type":"article-journal"},"uris":["http://www.mendeley.com/documents/?uuid=58f040f7-7484-488d-b342-ba997ebfe23c"]}],"mendeley":{"formattedCitation":"&lt;sup&gt;8&lt;/sup&gt;","plainTextFormattedCitation":"8","previouslyFormattedCitation":"&lt;sup&gt;8&lt;/sup&gt;"},"properties":{"noteIndex":0},"schema":"https://github.com/citation-style-language/schema/raw/master/csl-citation.json"}</w:instrText>
      </w:r>
      <w:r w:rsidR="008149CF" w:rsidRPr="003A1A2E">
        <w:fldChar w:fldCharType="separate"/>
      </w:r>
      <w:r w:rsidR="00273762" w:rsidRPr="003A1A2E">
        <w:rPr>
          <w:noProof/>
          <w:vertAlign w:val="superscript"/>
        </w:rPr>
        <w:t>8</w:t>
      </w:r>
      <w:r w:rsidR="008149CF" w:rsidRPr="003A1A2E">
        <w:fldChar w:fldCharType="end"/>
      </w:r>
      <w:r w:rsidR="004E0FE2" w:rsidRPr="003A1A2E">
        <w:t>.</w:t>
      </w:r>
      <w:r w:rsidR="00153B4E" w:rsidRPr="003A1A2E" w:rsidDel="005E0222">
        <w:t xml:space="preserve"> </w:t>
      </w:r>
      <w:r w:rsidR="000C141A" w:rsidRPr="003A1A2E">
        <w:t>Persistent inward current</w:t>
      </w:r>
      <w:r w:rsidR="00C165CF" w:rsidRPr="003A1A2E">
        <w:t>s</w:t>
      </w:r>
      <w:r w:rsidR="000C141A" w:rsidRPr="003A1A2E">
        <w:t xml:space="preserve"> (PIC</w:t>
      </w:r>
      <w:r w:rsidR="00C165CF" w:rsidRPr="003A1A2E">
        <w:t>s</w:t>
      </w:r>
      <w:r w:rsidR="00DD235E" w:rsidRPr="003A1A2E">
        <w:t>)</w:t>
      </w:r>
      <w:r w:rsidR="00301F85" w:rsidRPr="003A1A2E">
        <w:t xml:space="preserve"> </w:t>
      </w:r>
      <w:r w:rsidR="00C165CF" w:rsidRPr="003A1A2E">
        <w:t xml:space="preserve">are </w:t>
      </w:r>
      <w:r w:rsidR="005C1D9F" w:rsidRPr="003A1A2E">
        <w:t>an</w:t>
      </w:r>
      <w:r w:rsidR="00732297" w:rsidRPr="003A1A2E">
        <w:t xml:space="preserve"> </w:t>
      </w:r>
      <w:r w:rsidR="000C141A" w:rsidRPr="003A1A2E">
        <w:t>intrinsic propert</w:t>
      </w:r>
      <w:r w:rsidR="00EA1F0D" w:rsidRPr="003A1A2E">
        <w:t>y</w:t>
      </w:r>
      <w:r w:rsidR="000C141A" w:rsidRPr="003A1A2E">
        <w:t xml:space="preserve"> </w:t>
      </w:r>
      <w:r w:rsidR="00812898" w:rsidRPr="003A1A2E">
        <w:t xml:space="preserve">of </w:t>
      </w:r>
      <w:r w:rsidR="008363FB" w:rsidRPr="003A1A2E">
        <w:t xml:space="preserve">the motor neurone </w:t>
      </w:r>
      <w:r w:rsidR="000C141A" w:rsidRPr="003A1A2E">
        <w:t xml:space="preserve">that </w:t>
      </w:r>
      <w:r w:rsidR="00DD235E" w:rsidRPr="003A1A2E">
        <w:t>amplif</w:t>
      </w:r>
      <w:r w:rsidR="00677F3C" w:rsidRPr="003A1A2E">
        <w:t>y</w:t>
      </w:r>
      <w:r w:rsidR="00DD235E" w:rsidRPr="003A1A2E">
        <w:t xml:space="preserve"> and prolong</w:t>
      </w:r>
      <w:r w:rsidR="00EA1F0D" w:rsidRPr="003A1A2E">
        <w:t xml:space="preserve"> </w:t>
      </w:r>
      <w:r w:rsidR="00DD235E" w:rsidRPr="003A1A2E">
        <w:t>synaptic input</w:t>
      </w:r>
      <w:r w:rsidR="0002299F" w:rsidRPr="003A1A2E">
        <w:fldChar w:fldCharType="begin" w:fldLock="1"/>
      </w:r>
      <w:r w:rsidR="00273762" w:rsidRPr="003A1A2E">
        <w:instrText>ADDIN CSL_CITATION {"citationItems":[{"id":"ITEM-1","itemData":{"DOI":"10.1152/physiol.00026.2019","ISSN":"15489221","PMID":"31799904","abstract":"All movements are generated by the activation of motoneurons, and hence their input-output properties define the final step in processing of all motor commands. A major challenge to understanding this transformation has been the striking nonlinear behavior of motoneurons conferred by the activation of persistent inward currents (PICs) mediated by their voltage-gated Na+ and Ca2+ channels. In this review, we focus on the contribution that these PICs make to motoneuronal discharge and how the nonlinearities they engender impede the construction of a comprehensive model of motor control.","author":[{"dropping-particle":"","family":"Binder","given":"Marc D.","non-dropping-particle":"","parse-names":false,"suffix":""},{"dropping-particle":"","family":"Powers","given":"Randall K.","non-dropping-particle":"","parse-names":false,"suffix":""},{"dropping-particle":"","family":"Heckman","given":"C. J.","non-dropping-particle":"","parse-names":false,"suffix":""}],"container-title":"Physiology (Bethesda, Md.)","id":"ITEM-1","issue":"1","issued":{"date-parts":[["2020"]]},"page":"31-39","title":"Nonlinear Input-Output Functions of Motoneurons","type":"article-journal","volume":"35"},"uris":["http://www.mendeley.com/documents/?uuid=2c98583c-1d1b-470a-8813-6217cd747380"]}],"mendeley":{"formattedCitation":"&lt;sup&gt;9&lt;/sup&gt;","plainTextFormattedCitation":"9","previouslyFormattedCitation":"&lt;sup&gt;9&lt;/sup&gt;"},"properties":{"noteIndex":0},"schema":"https://github.com/citation-style-language/schema/raw/master/csl-citation.json"}</w:instrText>
      </w:r>
      <w:r w:rsidR="0002299F" w:rsidRPr="003A1A2E">
        <w:fldChar w:fldCharType="separate"/>
      </w:r>
      <w:r w:rsidR="00273762" w:rsidRPr="003A1A2E">
        <w:rPr>
          <w:noProof/>
          <w:vertAlign w:val="superscript"/>
        </w:rPr>
        <w:t>9</w:t>
      </w:r>
      <w:r w:rsidR="0002299F" w:rsidRPr="003A1A2E">
        <w:fldChar w:fldCharType="end"/>
      </w:r>
      <w:r w:rsidR="00097E0D" w:rsidRPr="003A1A2E">
        <w:t>. PICs can</w:t>
      </w:r>
      <w:r w:rsidR="000C141A" w:rsidRPr="003A1A2E">
        <w:t xml:space="preserve"> </w:t>
      </w:r>
      <w:r w:rsidR="00732297" w:rsidRPr="003A1A2E">
        <w:t>amplify synaptic i</w:t>
      </w:r>
      <w:r w:rsidR="00EA1F0D" w:rsidRPr="003A1A2E">
        <w:t>n</w:t>
      </w:r>
      <w:r w:rsidR="00732297" w:rsidRPr="003A1A2E">
        <w:t>pu</w:t>
      </w:r>
      <w:r w:rsidR="00EA1F0D" w:rsidRPr="003A1A2E">
        <w:t>t</w:t>
      </w:r>
      <w:r w:rsidR="000C141A" w:rsidRPr="003A1A2E">
        <w:t xml:space="preserve"> </w:t>
      </w:r>
      <w:r w:rsidR="00732297" w:rsidRPr="003A1A2E">
        <w:t>5-fold</w:t>
      </w:r>
      <w:r w:rsidR="00097E0D" w:rsidRPr="003A1A2E">
        <w:t>, facilitating increase</w:t>
      </w:r>
      <w:r w:rsidR="00EA1F0D" w:rsidRPr="003A1A2E">
        <w:t>s</w:t>
      </w:r>
      <w:r w:rsidR="00097E0D" w:rsidRPr="003A1A2E">
        <w:t xml:space="preserve"> in moto</w:t>
      </w:r>
      <w:r w:rsidR="001A042D" w:rsidRPr="003A1A2E">
        <w:t xml:space="preserve">r </w:t>
      </w:r>
      <w:r w:rsidR="00097E0D" w:rsidRPr="003A1A2E">
        <w:t>neuron</w:t>
      </w:r>
      <w:r w:rsidR="00C86A20" w:rsidRPr="003A1A2E">
        <w:t>e</w:t>
      </w:r>
      <w:r w:rsidR="00097E0D" w:rsidRPr="003A1A2E">
        <w:t xml:space="preserve"> discharge rate</w:t>
      </w:r>
      <w:r w:rsidR="00B22DC3" w:rsidRPr="003A1A2E">
        <w:t>, and thus, force production</w:t>
      </w:r>
      <w:r w:rsidR="00F81833" w:rsidRPr="003A1A2E">
        <w:fldChar w:fldCharType="begin" w:fldLock="1"/>
      </w:r>
      <w:r w:rsidR="00B27A07">
        <w:instrText>ADDIN CSL_CITATION {"citationItems":[{"id":"ITEM-1","itemData":{"DOI":"10.1152/physiol.00026.2019","ISSN":"15489221","PMID":"31799904","abstract":"All movements are generated by the activation of motoneurons, and hence their input-output properties define the final step in processing of all motor commands. A major challenge to understanding this transformation has been the striking nonlinear behavior of motoneurons conferred by the activation of persistent inward currents (PICs) mediated by their voltage-gated Na+ and Ca2+ channels. In this review, we focus on the contribution that these PICs make to motoneuronal discharge and how the nonlinearities they engender impede the construction of a comprehensive model of motor control.","author":[{"dropping-particle":"","family":"Binder","given":"Marc D.","non-dropping-particle":"","parse-names":false,"suffix":""},{"dropping-particle":"","family":"Powers","given":"Randall K.","non-dropping-particle":"","parse-names":false,"suffix":""},{"dropping-particle":"","family":"Heckman","given":"C. J.","non-dropping-particle":"","parse-names":false,"suffix":""}],"container-title":"Physiology (Bethesda, Md.)","id":"ITEM-1","issue":"1","issued":{"date-parts":[["2020"]]},"page":"31-39","title":"Nonlinear Input-Output Functions of Motoneurons","type":"article-journal","volume":"35"},"uris":["http://www.mendeley.com/documents/?uuid=2c98583c-1d1b-470a-8813-6217cd747380"]},{"id":"ITEM-2","itemData":{"DOI":"10.1007/s11357-021-00478-z","ISBN":"0123456789","ISSN":"2509-2715","author":[{"dropping-particle":"","family":"Orssatto","given":"Lucas B. R.","non-dropping-particle":"","parse-names":false,"suffix":""},{"dropping-particle":"","family":"Borg","given":"David N.","non-dropping-particle":"","parse-names":false,"suffix":""},{"dropping-particle":"","family":"Blazevich","given":"Anthony J.","non-dropping-particle":"","parse-names":false,"suffix":""},{"dropping-particle":"","family":"Sakugawa","given":"Raphael L.","non-dropping-particle":"","parse-names":false,"suffix":""},{"dropping-particle":"","family":"Shield","given":"Anthony J.","non-dropping-particle":"","parse-names":false,"suffix":""},{"dropping-particle":"","family":"Trajano","given":"Gabriel S.","non-dropping-particle":"","parse-names":false,"suffix":""}],"container-title":"GeroScience","id":"ITEM-2","issued":{"date-parts":[["2021"]]},"page":"2719-2735","title":"Intrinsic motoneuron excitability is reduced in soleus and tibialis anterior of older adults","type":"article-journal"},"uris":["http://www.mendeley.com/documents/?uuid=58f040f7-7484-488d-b342-ba997ebfe23c"]},{"id":"ITEM-3","itemData":{"DOI":"10.1152/jn.00697.2020","ISSN":"15221598","PMID":"33788617","abstract":"This study tested whether estimates of persistent inward currents (PICs) in the human plantar flexors would increase with the level of voluntary drive. High-density surface electromyograms were collected from soleus and gastrocnemius medialis of 21 participants (29.2 ± 2.6 yr) during ramp-shaped isometric contractions to 10%, 20%, and 30% (torque rise and decline of 2%/s and 30-s duration) of each participant’s maximal torque. Motor units identified in all the contraction intensities were included in the paired-motor unit analysis to calculate delta frequency (DF) and estimate the PICs. DF is the difference in discharge rate of the control unit at the time of recruitment and derecruitment of the test unit. Increases in PICs were observed from 10% to 20% [D = 0.6 pulse per second (pps); P &lt; 0.001] and from 20% to 30% (D = 0.5 pps; P &lt; 0.001) in soleus and from 10% to 20% (D = 1.2 pps; P &lt; 0.001) but not from 20% to 30% (D = 0.09 pps; P = 0.724) in gastrocnemius medialis. Maximal discharge rate increased for soleus and gastrocnemius medialis from 10% to 20% [D = 1.75 pps (P &lt; 0.001) and D = 2.43 pps (P &lt; 0.001), respectively] and from 20% to 30% [D = 0.80 pps (P &lt; 0.017) and D = 0.92 pps (P = 0.002), respectively]. The repeated-measures correlation identified associations between DF and increases in maximal discharge rate for soleus (r = 0.64; P &lt; 0.001) and gastrocnemius medialis (r = 0.77; P &lt; 0.001). An increase in voluntary drive tends to increase PIC strength, which has key implications for the control of force but also for comparisons between muscles or studies when relative force levels might be different. Increases in voluntary descending drive amplify PICs in humans and provide an important spinal mechanism for motor unit discharging, and thus force output modulation. NEW &amp; NOTEWORTHY Animal experiments and computational models have shown that motor neurons can amplify the synaptic input they receive via persistent inward currents. Here we show in humans that this amplification varies proportionally to the magnitude of the voluntary drive to the muscle.","author":[{"dropping-particle":"","family":"Orssatto","given":"Lucas B.R. R","non-dropping-particle":"","parse-names":false,"suffix":""},{"dropping-particle":"","family":"Mackay","given":"Karen","non-dropping-particle":"","parse-names":false,"suffix":""},{"dropping-particle":"","family":"Shield","given":"Anthony J.","non-dropping-particle":"","parse-names":false,"suffix":""},{"dropping-particle":"","family":"Sakugawa","given":"Raphael L.","non-dropping-particle":"","parse-names":false,"suffix":""},{"dropping-particle":"","family":"Blazevich","given":"Anthony J.","non-dropping-particle":"","parse-names":false,"suffix":""},{"dropping-particle":"","family":"Trajano","given":"Gabriel S.","non-dropping-particle":"","parse-names":false,"suffix":""}],"container-title":"Journal of Neurophysiology","id":"ITEM-3","issue":"5","issued":{"date-parts":[["2021","3","31"]]},"note":"From Duplicate 2 (Estimates of persistent inward currents increase with the level of voluntary drive in low-threshold motor units of plantar flexor muscles - Orssatto, Lucas B R; Mackay, Karen; Shield, Anthony J; Sakugawa, Raphael L; Blazevich, Anthony J; Trajano, Gabriel S)\n\ndoi: 10.1152/jn.00697.2020","page":"1746-1754","publisher":"American Physiological Society","title":"Estimates of persistent inward currents increase with the level of voluntary drive in low-threshold motor units of plantar flexor muscles","type":"article-journal","volume":"125"},"uris":["http://www.mendeley.com/documents/?uuid=5a8d813c-4200-4557-a36e-3156e94be500"]}],"mendeley":{"formattedCitation":"&lt;sup&gt;8–10&lt;/sup&gt;","plainTextFormattedCitation":"8–10","previouslyFormattedCitation":"&lt;sup&gt;8–10&lt;/sup&gt;"},"properties":{"noteIndex":0},"schema":"https://github.com/citation-style-language/schema/raw/master/csl-citation.json"}</w:instrText>
      </w:r>
      <w:r w:rsidR="00F81833" w:rsidRPr="003A1A2E">
        <w:fldChar w:fldCharType="separate"/>
      </w:r>
      <w:r w:rsidR="00273762" w:rsidRPr="003A1A2E">
        <w:rPr>
          <w:noProof/>
          <w:vertAlign w:val="superscript"/>
        </w:rPr>
        <w:t>8–10</w:t>
      </w:r>
      <w:r w:rsidR="00F81833" w:rsidRPr="003A1A2E">
        <w:fldChar w:fldCharType="end"/>
      </w:r>
      <w:r w:rsidR="005C1D9F" w:rsidRPr="003A1A2E">
        <w:t xml:space="preserve">. </w:t>
      </w:r>
      <w:r w:rsidR="00013057" w:rsidRPr="003A1A2E">
        <w:t>T</w:t>
      </w:r>
      <w:r w:rsidR="00E572FE" w:rsidRPr="003A1A2E">
        <w:t>his amplification</w:t>
      </w:r>
      <w:r w:rsidR="003D262B" w:rsidRPr="003A1A2E">
        <w:t xml:space="preserve"> from PICs</w:t>
      </w:r>
      <w:r w:rsidR="00E572FE" w:rsidRPr="003A1A2E">
        <w:t xml:space="preserve"> </w:t>
      </w:r>
      <w:r w:rsidR="003D262B" w:rsidRPr="003A1A2E">
        <w:t>is</w:t>
      </w:r>
      <w:r w:rsidR="00E572FE" w:rsidRPr="003A1A2E">
        <w:t xml:space="preserve"> essential for normal m</w:t>
      </w:r>
      <w:r w:rsidR="0090794E" w:rsidRPr="003A1A2E">
        <w:t>uscle function</w:t>
      </w:r>
      <w:r w:rsidR="003D262B" w:rsidRPr="003A1A2E">
        <w:t>,</w:t>
      </w:r>
      <w:r w:rsidR="0090794E" w:rsidRPr="003A1A2E">
        <w:t xml:space="preserve"> </w:t>
      </w:r>
      <w:r w:rsidR="00B22DC3" w:rsidRPr="003A1A2E">
        <w:t>and a</w:t>
      </w:r>
      <w:r w:rsidR="00CF1142" w:rsidRPr="003A1A2E">
        <w:t xml:space="preserve"> reduction of</w:t>
      </w:r>
      <w:r w:rsidR="007C4138" w:rsidRPr="003A1A2E">
        <w:t xml:space="preserve"> </w:t>
      </w:r>
      <w:r w:rsidR="008363FB" w:rsidRPr="003A1A2E">
        <w:t xml:space="preserve">the </w:t>
      </w:r>
      <w:r w:rsidR="007C4138" w:rsidRPr="003A1A2E">
        <w:t>motor neurone intrinsic excitability</w:t>
      </w:r>
      <w:r w:rsidR="00CF1142" w:rsidRPr="003A1A2E">
        <w:t xml:space="preserve"> </w:t>
      </w:r>
      <w:r w:rsidR="007C4138" w:rsidRPr="003A1A2E">
        <w:t>(</w:t>
      </w:r>
      <w:r w:rsidR="00A27848" w:rsidRPr="003A1A2E">
        <w:t>e</w:t>
      </w:r>
      <w:r w:rsidR="00600BD0" w:rsidRPr="003A1A2E">
        <w:t>.</w:t>
      </w:r>
      <w:r w:rsidR="00A27848" w:rsidRPr="003A1A2E">
        <w:t xml:space="preserve">g. </w:t>
      </w:r>
      <w:r w:rsidR="00CF1142" w:rsidRPr="003A1A2E">
        <w:t>PICs amplitude</w:t>
      </w:r>
      <w:r w:rsidR="00A27848" w:rsidRPr="003A1A2E">
        <w:t>)</w:t>
      </w:r>
      <w:r w:rsidR="00CF1142" w:rsidRPr="003A1A2E">
        <w:t xml:space="preserve"> can significantly </w:t>
      </w:r>
      <w:r w:rsidR="008363FB" w:rsidRPr="003A1A2E">
        <w:t>reduce</w:t>
      </w:r>
      <w:r w:rsidR="00E572FE" w:rsidRPr="003A1A2E">
        <w:t xml:space="preserve"> </w:t>
      </w:r>
      <w:r w:rsidR="00CF1142" w:rsidRPr="003A1A2E">
        <w:t>muscle force</w:t>
      </w:r>
      <w:r w:rsidR="00B23159" w:rsidRPr="003A1A2E">
        <w:fldChar w:fldCharType="begin" w:fldLock="1"/>
      </w:r>
      <w:r w:rsidR="00273762" w:rsidRPr="003A1A2E">
        <w:instrText>ADDIN CSL_CITATION {"citationItems":[{"id":"ITEM-1","itemData":{"DOI":"10.1242/jeb.229922","ISSN":"0022-0949","abstract":"Prolonged (≥60 s) passive muscle stretching acutely reduces maximal force production at least partly through a suppression of efferent neural drive. The origin of this neural suppression has not been determined, however some evidence suggests that reductions in the amplitude of persistent inward currents (PICs) in the motoneurons may be important. The aim of the present study was to determine whether acute passive (static) muscle stretching affects PIC strength in gastrocnemius medialis (GM) and soleus (SOL) motor units. We calculated the difference in instantaneous discharge rates at recruitment and derecruitment (ΔF) for pairs of motor units in GM and SOL during triangular isometric plantar flexor contractions (20% maximum) both before and immediately after a 5-min control period and immediately after five 1-min passive plantar flexor stretches. After stretching there was a significant reduction in SOL ΔF (−25.6%; 95%CI=−45.1 to −9.1 %, p=0.002) but not GM ΔF. These data suggest passive muscle stretching can reduce the intrinsic excitability, via PICs, of SOL motor units. These findings (1) suggest that PIC strength might be reduced after passive stretching, (2) are consistent with previously-established post-stretch decreases in SOL but not GM EMG amplitudes during contraction, and (3) indicate that reductions in PIC strength could underpin the stretch-induced force loss.","author":[{"dropping-particle":"","family":"Trajano","given":"Gabriel S.","non-dropping-particle":"","parse-names":false,"suffix":""},{"dropping-particle":"","family":"Taylor","given":"Janet L.","non-dropping-particle":"","parse-names":false,"suffix":""},{"dropping-particle":"","family":"Orssatto","given":"Lucas B. R.","non-dropping-particle":"","parse-names":false,"suffix":""},{"dropping-particle":"","family":"McNulty","given":"Craig R.","non-dropping-particle":"","parse-names":false,"suffix":""},{"dropping-particle":"","family":"Blazevich","given":"Anthony J.","non-dropping-particle":"","parse-names":false,"suffix":""}],"container-title":"The Journal of Experimental Biology","id":"ITEM-1","issue":"61 7","issued":{"date-parts":[["2020"]]},"page":"jeb.229922","title":"Passive muscle stretching reduces estimates of persistent inward current strength in soleus motor units","type":"article-journal"},"uris":["http://www.mendeley.com/documents/?uuid=3163c4ac-e021-45a9-bf01-e45d47b3167c"]},{"id":"ITEM-2","itemData":{"DOI":"10.1002/mus.20261","ISSN":"0148639X","PMID":"15736297","abstract":"The dendrites of motoneurons are not, as once thought, passive conduits for synaptic inputs. Instead they have voltage-dependent channels that provide the capacity to generate a very strong persistent inward current (PIC). The amplitude of the PIC is proportional to the level of neuromodulatory input from the brainstem, which is mediated primarily by the monoamines serotonin and norepinephrine. During normal motor behavior, monoaminergic drive is likely to be moderately strong and the dendritic PIC generates many of the characteristic features of motor unit firing patterns. Most of the PIC activates at or below recruitment threshold and thus motor unit firing patterns exhibit a linear increase just above recruitment. The dendritic PIC allows motor unit derecruitment to occur at a lower input level than recruitment, thus providing sustained tonic firing with little or no synaptic input, especially in low-threshold units. However the dendritic PIC can be readily deactivated by synaptic inhibition. The overall amplification due to the dendritic PIC and other effects of monoamines on motoneurons greatly increases the input-output gain of the motor pool. Thus the brainstem neuromodulatory input provides a mechanism by which the excitability of motoneurons can be varied for different motor behaviors. This control system is lost in spinal cord injury but PICs nonetheless recover near-normal amplitudes in the months following the initial injury. The relationship of these findings to the cause of the spasticity syndrome developing after spinal cord injury is discussed.","author":[{"dropping-particle":"","family":"Heckman","given":"C. J.","non-dropping-particle":"","parse-names":false,"suffix":""},{"dropping-particle":"","family":"Gorassini","given":"Monica A.","non-dropping-particle":"","parse-names":false,"suffix":""},{"dropping-particle":"","family":"Bennett","given":"David J.","non-dropping-particle":"","parse-names":false,"suffix":""}],"container-title":"Muscle and Nerve","id":"ITEM-2","issue":"2","issued":{"date-parts":[["2005"]]},"page":"135-156","title":"Persistent inward currents in motoneuron dendrites: Implications for motor output","type":"article-journal","volume":"31"},"uris":["http://www.mendeley.com/documents/?uuid=7ca178aa-2502-45ee-a785-5f567bfdbc8e"]}],"mendeley":{"formattedCitation":"&lt;sup&gt;11,12&lt;/sup&gt;","plainTextFormattedCitation":"11,12","previouslyFormattedCitation":"&lt;sup&gt;11,12&lt;/sup&gt;"},"properties":{"noteIndex":0},"schema":"https://github.com/citation-style-language/schema/raw/master/csl-citation.json"}</w:instrText>
      </w:r>
      <w:r w:rsidR="00B23159" w:rsidRPr="003A1A2E">
        <w:fldChar w:fldCharType="separate"/>
      </w:r>
      <w:r w:rsidR="00273762" w:rsidRPr="003A1A2E">
        <w:rPr>
          <w:noProof/>
          <w:vertAlign w:val="superscript"/>
        </w:rPr>
        <w:t>11,12</w:t>
      </w:r>
      <w:r w:rsidR="00B23159" w:rsidRPr="003A1A2E">
        <w:fldChar w:fldCharType="end"/>
      </w:r>
      <w:r w:rsidR="00CF1142" w:rsidRPr="003A1A2E">
        <w:t xml:space="preserve">. </w:t>
      </w:r>
      <w:r w:rsidR="00122460" w:rsidRPr="003A1A2E">
        <w:t xml:space="preserve">PICs are  deactivated by localised inhibitory inputs </w:t>
      </w:r>
      <w:r w:rsidR="00E6492A" w:rsidRPr="003A1A2E">
        <w:t>(e.g. reciprocal</w:t>
      </w:r>
      <w:r w:rsidR="00E6492A" w:rsidRPr="003A1A2E">
        <w:fldChar w:fldCharType="begin" w:fldLock="1"/>
      </w:r>
      <w:r w:rsidR="00273762" w:rsidRPr="003A1A2E">
        <w:instrText>ADDIN CSL_CITATION {"citationItems":[{"id":"ITEM-1","itemData":{"DOI":"10.1152/jn.01253.2007","ISBN":"6176321972","ISSN":"15378276","PMID":"1000000221","abstract":"With the effectiveness of therapeutic agents ever decreasing and the increased incidence of multi-drug resistant pathogens, there is a clear need for administration of more potent, potentially more toxic, drugs. Alternatively, biopharmaceuticals may hold potential but require specialised protection from premature in vivo degradation. Thus, a paralleled need for specialised drug delivery systems has arisen. Although cell-mediated drug delivery is not a completely novel concept, the few applications described to date are not yet ready for in vivo application, for various reasons such as drug-induced carrier cell death, limited control over the site and timing of drug release and/or drug degradation by the host immune system. Here, we present our hypothesis for a new drug delivery system, which aims to negate these limitations. We propose transport of nanoparticle-encapsulated drugs inside autologous macrophages polarised to M1 phenotype for high mobility and treated to induce transient phagosome maturation arrest. In addition, we propose a significant shift of existing paradigms in the study of host-microbe interactions, in order to study microbial host immune evasion and dissemination patterns for their therapeutic utilisation in the context of drug delivery. We describe a system in which microbial strategies may be adopted to facilitate absolute control over drug delivery, and without sacrificing the host carrier cells. We provide a comprehensive summary of the lessons we can learn from microbes in the context of drug delivery and discuss their feasibility for in vivo therapeutic application. We then describe our proposed “synthetic microbe drug delivery system” in detail. In our opinion, this multidisciplinary approach may hold the solution to effective, controlled drug delivery.","author":[{"dropping-particle":"","family":"Hyngstrom, A. S., Johnson, M. D., &amp; Heckman","given":"C. J.","non-dropping-particle":"","parse-names":false,"suffix":""}],"container-title":"Journal of neurophysiology","id":"ITEM-1","issued":{"date-parts":[["2008"]]},"title":"Summation of Excitatory and Inhibitory Synaptic Inputs by Motoneurons With Highly Active Dendrites","type":"article-journal"},"uris":["http://www.mendeley.com/documents/?uuid=3384e0e3-631d-4d20-bbf8-5d16ef622994"]}],"mendeley":{"formattedCitation":"&lt;sup&gt;13&lt;/sup&gt;","plainTextFormattedCitation":"13","previouslyFormattedCitation":"&lt;sup&gt;13&lt;/sup&gt;"},"properties":{"noteIndex":0},"schema":"https://github.com/citation-style-language/schema/raw/master/csl-citation.json"}</w:instrText>
      </w:r>
      <w:r w:rsidR="00E6492A" w:rsidRPr="003A1A2E">
        <w:fldChar w:fldCharType="separate"/>
      </w:r>
      <w:r w:rsidR="00273762" w:rsidRPr="003A1A2E">
        <w:rPr>
          <w:noProof/>
          <w:vertAlign w:val="superscript"/>
        </w:rPr>
        <w:t>13</w:t>
      </w:r>
      <w:r w:rsidR="00E6492A" w:rsidRPr="003A1A2E">
        <w:fldChar w:fldCharType="end"/>
      </w:r>
      <w:r w:rsidR="00E6492A" w:rsidRPr="003A1A2E">
        <w:t xml:space="preserve"> and recurrent inhibition</w:t>
      </w:r>
      <w:r w:rsidR="00E6492A" w:rsidRPr="003A1A2E">
        <w:fldChar w:fldCharType="begin" w:fldLock="1"/>
      </w:r>
      <w:r w:rsidR="00273762" w:rsidRPr="003A1A2E">
        <w:instrText>ADDIN CSL_CITATION {"citationItems":[{"id":"ITEM-1","itemData":{"DOI":"10.1152/jn.00469.2013","ISSN":"15221598","PMID":"24523524","abstract":"Persistent inward current (PIC) plays an important role in setting the input-output gain of motoneurons. In humans, these currents are estimated by calculating the difference between synaptic input at motor unit recruitment and derecruitment (ΔF) derived from paired motor unit recordings. The primary objective of this study was to use the relationship between reciprocal inhibition (RI) and PIC to estimate the contribution of PIC relative to other motoneuron properties that result in nonlinear motor unit firing behavior. This study also assessed the contribution of other intrinsic properties (spike threshold accommodation and spike frequency adaptation) to ΔF estimates of PIC in human motor units by using ramps with varying rates of rise and duration. It was hypothesized that slower rates of ramp rise and longer ramp durations would inflate ΔF estimates of PIC, and RI and PIC values would only be correlated during the ramp with the fastest rate of rise and shortest duration when spike threshold accommodation and spike frequency adaptation is minimized. Fourteen university-aged participants took part in this study. Paired motor unit recordings were made from the right soleus muscle during ramp contractions of plantar flexors with three different rates of rise and durations. ΔF estimates of PIC increased with decreased rates of ramp rise (P &lt; 0.01) and increased ramp durations (P &lt; 0.01), most likely due to spike frequency adaptation. A correlation (r = 0.41; P &lt; 0.03) between ΔF and RI provides evidence that PIC is the primary contributor to ΔF in shorter ramps with faster rates of rise. © 2014 the American Physiological Society.","author":[{"dropping-particle":"","family":"Vandenberk","given":"Michael S.","non-dropping-particle":"","parse-names":false,"suffix":""},{"dropping-particle":"","family":"Kalmar","given":"Jayne M.","non-dropping-particle":"","parse-names":false,"suffix":""}],"container-title":"Journal of Neurophysiology","id":"ITEM-1","issue":"9","issued":{"date-parts":[["2014"]]},"page":"1877-1884","title":"An evaluation of paired motor unit estimates of persistent inward current in human motoneurons","type":"article-journal","volume":"111"},"uris":["http://www.mendeley.com/documents/?uuid=d1dd1fbc-e7d7-421d-905a-95522892e5c2"]}],"mendeley":{"formattedCitation":"&lt;sup&gt;14&lt;/sup&gt;","plainTextFormattedCitation":"14","previouslyFormattedCitation":"&lt;sup&gt;14&lt;/sup&gt;"},"properties":{"noteIndex":0},"schema":"https://github.com/citation-style-language/schema/raw/master/csl-citation.json"}</w:instrText>
      </w:r>
      <w:r w:rsidR="00E6492A" w:rsidRPr="003A1A2E">
        <w:fldChar w:fldCharType="separate"/>
      </w:r>
      <w:r w:rsidR="00273762" w:rsidRPr="003A1A2E">
        <w:rPr>
          <w:noProof/>
          <w:vertAlign w:val="superscript"/>
        </w:rPr>
        <w:t>14</w:t>
      </w:r>
      <w:r w:rsidR="00E6492A" w:rsidRPr="003A1A2E">
        <w:fldChar w:fldCharType="end"/>
      </w:r>
      <w:r w:rsidR="00E6492A" w:rsidRPr="003A1A2E">
        <w:t>) which</w:t>
      </w:r>
      <w:r w:rsidR="00163B61" w:rsidRPr="003A1A2E">
        <w:t xml:space="preserve"> </w:t>
      </w:r>
      <w:r w:rsidR="003D310B" w:rsidRPr="003A1A2E">
        <w:t>reduc</w:t>
      </w:r>
      <w:r w:rsidR="00E6492A" w:rsidRPr="003A1A2E">
        <w:t>e</w:t>
      </w:r>
      <w:r w:rsidR="003D310B" w:rsidRPr="003A1A2E">
        <w:t xml:space="preserve"> </w:t>
      </w:r>
      <w:r w:rsidR="00163B61" w:rsidRPr="003A1A2E">
        <w:t xml:space="preserve">motor neurone </w:t>
      </w:r>
      <w:r w:rsidR="003D310B" w:rsidRPr="003A1A2E">
        <w:t>excitability</w:t>
      </w:r>
      <w:r w:rsidR="000243A0" w:rsidRPr="003A1A2E">
        <w:t xml:space="preserve">. </w:t>
      </w:r>
      <w:r w:rsidR="000D2A54" w:rsidRPr="003A1A2E">
        <w:t xml:space="preserve">Interestingly, </w:t>
      </w:r>
      <w:r w:rsidR="00153FFD" w:rsidRPr="003A1A2E">
        <w:t>runners</w:t>
      </w:r>
      <w:r w:rsidR="002679D3" w:rsidRPr="003A1A2E">
        <w:t xml:space="preserve"> with AT have </w:t>
      </w:r>
      <w:r w:rsidR="00386CA0" w:rsidRPr="003A1A2E">
        <w:t>greater</w:t>
      </w:r>
      <w:r w:rsidR="00DD235E" w:rsidRPr="003A1A2E">
        <w:t xml:space="preserve"> levels of</w:t>
      </w:r>
      <w:r w:rsidR="006069B9" w:rsidRPr="003A1A2E">
        <w:t xml:space="preserve"> </w:t>
      </w:r>
      <w:r w:rsidR="00C049F6" w:rsidRPr="003A1A2E">
        <w:t>intracortical inhibition</w:t>
      </w:r>
      <w:r w:rsidR="00F802B2" w:rsidRPr="003A1A2E">
        <w:fldChar w:fldCharType="begin" w:fldLock="1"/>
      </w:r>
      <w:r w:rsidR="00273762" w:rsidRPr="003A1A2E">
        <w:instrText>ADDIN CSL_CITATION {"citationItems":[{"id":"ITEM-1","itemData":{"DOI":"10.1111/sms.14111","ISSN":"0905-7188","author":[{"dropping-particle":"","family":"Fernandes","given":"Gabriel L.","non-dropping-particle":"","parse-names":false,"suffix":""},{"dropping-particle":"","family":"Orssatto","given":"Lucas B. R.","non-dropping-particle":"","parse-names":false,"suffix":""},{"dropping-particle":"","family":"Shield","given":"Anthony J.","non-dropping-particle":"","parse-names":false,"suffix":""},{"dropping-particle":"","family":"Trajano","given":"Gabriel S.","non-dropping-particle":"","parse-names":false,"suffix":""}],"container-title":"Scandinavian Journal of Medicine &amp; Science in Sports","id":"ITEM-1","issued":{"date-parts":[["2021"]]},"page":"1-18","title":"Runners with mid‐portion Achilles tendinopathy have greater triceps surae intracortical inhibition than healthy controls","type":"article-journal"},"uris":["http://www.mendeley.com/documents/?uuid=985b014d-8ecf-4ccf-8f5c-2d891a3ac9cd"]}],"mendeley":{"formattedCitation":"&lt;sup&gt;15&lt;/sup&gt;","plainTextFormattedCitation":"15","previouslyFormattedCitation":"&lt;sup&gt;15&lt;/sup&gt;"},"properties":{"noteIndex":0},"schema":"https://github.com/citation-style-language/schema/raw/master/csl-citation.json"}</w:instrText>
      </w:r>
      <w:r w:rsidR="00F802B2" w:rsidRPr="003A1A2E">
        <w:fldChar w:fldCharType="separate"/>
      </w:r>
      <w:r w:rsidR="00273762" w:rsidRPr="003A1A2E">
        <w:rPr>
          <w:noProof/>
          <w:vertAlign w:val="superscript"/>
        </w:rPr>
        <w:t>15</w:t>
      </w:r>
      <w:r w:rsidR="00F802B2" w:rsidRPr="003A1A2E">
        <w:fldChar w:fldCharType="end"/>
      </w:r>
      <w:r w:rsidR="00122460" w:rsidRPr="003A1A2E">
        <w:t>. Also, the occurrence of pain in tendinopathies</w:t>
      </w:r>
      <w:r w:rsidR="00122460" w:rsidRPr="003A1A2E">
        <w:fldChar w:fldCharType="begin" w:fldLock="1"/>
      </w:r>
      <w:r w:rsidR="00273762" w:rsidRPr="003A1A2E">
        <w:instrText>ADDIN CSL_CITATION {"citationItems":[{"id":"ITEM-1","itemData":{"DOI":"10.1136/bjsports-2015-095422","ISSN":"14730480","PMID":"27127294","abstract":"The pathogenesis of tendinopathy and the primary biological change in the tendon that precipitates pathology have generated several pathoaetiological models in the literature. The continuum model of tendon pathology, proposed in 2009, synthesised clinical and laboratory-based research to guide treatment choices for the clinical presentations of tendinopathy. While the continuum has been cited extensively in the literature, its clinical utility has yet to be fully elucidated. The continuum model proposed a model for staging tendinopathy based on the changes and distribution of disorganisation within the tendon. However, classifying tendinopathy based on structure in what is primarily a pain condition has been challenged. The interplay between structure, pain and function is not yet fully understood, which has partly contributed to the complex clinical picture of tendinopathy. Here we revisit and assess the merit of the continuum model in the context of new evidence. We (1) summarise new evidence in tendinopathy research in the context of the continuum, (2) discuss tendon pain and the relevance of a model based on structure and (3) describe relevant clinical elements (pain, function and structure) to begin to build a better understanding of the condition. Our goal is that the continuum model may help guide targeted treatments and improved patient outcomes.","author":[{"dropping-particle":"","family":"Cook","given":"J. L.","non-dropping-particle":"","parse-names":false,"suffix":""},{"dropping-particle":"","family":"Rio","given":"E.","non-dropping-particle":"","parse-names":false,"suffix":""},{"dropping-particle":"","family":"Purdam","given":"C. R.","non-dropping-particle":"","parse-names":false,"suffix":""},{"dropping-particle":"","family":"Docking","given":"S. I.","non-dropping-particle":"","parse-names":false,"suffix":""}],"container-title":"British Journal of Sports Medicine","id":"ITEM-1","issue":"19","issued":{"date-parts":[["2016"]]},"page":"1187-1191","title":"Revisiting the continuum model of tendon pathology: What is its merit in clinical practice and research?","type":"article-journal","volume":"50"},"uris":["http://www.mendeley.com/documents/?uuid=b6f637ac-abc1-40fa-aa74-63c2bc323615"]}],"mendeley":{"formattedCitation":"&lt;sup&gt;16&lt;/sup&gt;","plainTextFormattedCitation":"16","previouslyFormattedCitation":"&lt;sup&gt;16&lt;/sup&gt;"},"properties":{"noteIndex":0},"schema":"https://github.com/citation-style-language/schema/raw/master/csl-citation.json"}</w:instrText>
      </w:r>
      <w:r w:rsidR="00122460" w:rsidRPr="003A1A2E">
        <w:fldChar w:fldCharType="separate"/>
      </w:r>
      <w:r w:rsidR="00273762" w:rsidRPr="003A1A2E">
        <w:rPr>
          <w:noProof/>
          <w:vertAlign w:val="superscript"/>
        </w:rPr>
        <w:t>16</w:t>
      </w:r>
      <w:r w:rsidR="00122460" w:rsidRPr="003A1A2E">
        <w:fldChar w:fldCharType="end"/>
      </w:r>
      <w:r w:rsidR="00122460" w:rsidRPr="003A1A2E">
        <w:t xml:space="preserve"> stimulates spinal inhibitory circuits, via descending inputs to the motor neurone pool, and</w:t>
      </w:r>
      <w:r w:rsidR="00CF037F" w:rsidRPr="003A1A2E">
        <w:t xml:space="preserve"> could</w:t>
      </w:r>
      <w:r w:rsidR="00122460" w:rsidRPr="003A1A2E">
        <w:t xml:space="preserve"> consequently </w:t>
      </w:r>
      <w:r w:rsidR="00CF037F" w:rsidRPr="003A1A2E">
        <w:t xml:space="preserve">inhibit </w:t>
      </w:r>
      <w:r w:rsidR="00122460" w:rsidRPr="003A1A2E">
        <w:t>PICs</w:t>
      </w:r>
      <w:r w:rsidR="00122460" w:rsidRPr="003A1A2E">
        <w:fldChar w:fldCharType="begin" w:fldLock="1"/>
      </w:r>
      <w:r w:rsidR="00B27A07">
        <w:instrText>ADDIN CSL_CITATION {"citationItems":[{"id":"ITEM-1","itemData":{"DOI":"10.1002/1097-4598(200008)23:8&lt;1219::AID-MUS10&gt;3.0.CO;2-A","ISSN":"0148639X","PMID":"10918259","abstract":"Electromyographic activity was recorded in the masseter muscle to investigate whether the firing characteristics of single motor units (SMUs) were affected by muscle pain. Capsaicin was injected into the masseter to induce pain. The interspike interval (ISI) and recruitment threshold of SMUs were measured while subjects performed isometric contractions at 5, 7.5, 10, 15, and 20% of maximum voluntary contraction. All subjects were able to maintain a stable isometric force during pain, but the mean ISI was significantly increased without changing the recruitment threshold. In all the experimental conditions, the firing frequency increased with increasing force, and SMUs recruited at low force fired at higher rates for all force levels. These results suggest that acute stimulation of nociceptive muscle afferents inhibits SMU activity without changing recruitment order in the homonymous muscle. (C) 2000 John Wiley and Sons, Inc.","author":[{"dropping-particle":"","family":"Sohn","given":"Min Kyun","non-dropping-particle":"","parse-names":false,"suffix":""},{"dropping-particle":"","family":"Graven-Nielsen","given":"Thomas","non-dropping-particle":"","parse-names":false,"suffix":""},{"dropping-particle":"","family":"Arendt-Nielsen","given":"Lars","non-dropping-particle":"","parse-names":false,"suffix":""},{"dropping-particle":"","family":"Svensson","given":"Peter","non-dropping-particle":"","parse-names":false,"suffix":""}],"container-title":"Muscle and Nerve","id":"ITEM-1","issue":"8","issued":{"date-parts":[["2000"]]},"page":"1219-1226","title":"Inhibition of motor unit firing during experimental muscle pain in humans","type":"article-journal","volume":"23"},"uris":["http://www.mendeley.com/documents/?uuid=a9110f92-3062-4eef-be33-2eb1955348a5","http://www.mendeley.com/documents/?uuid=8df31344-ef3e-45bf-a498-659e62793cc4"]},{"id":"ITEM-2","itemData":{"DOI":"10.1152/jn.00620.2003","ISSN":"00223077","PMID":"14614105","abstract":"The aim of this human study was to investigate the relationship between experimentally induced muscle pain intensity (i.e., amount of nociceptive activity) and motor unit (MU) firing decrease and MU conduction velocity (CV). In 12 healthy subjects, nociceptive afferents were stimulated in the right tibialis anterior muscle by three intramuscular injections of hypertonic saline (0.2, 0.5, and 0.9 ml) separated by 140 s. The subjects performed six isometric contractions (20 s long) at 10% of the maximal voluntary contraction during the experimental muscle pain. The same set of six contractions was performed without any infusion before the painful condition on the right leg. The procedure was repeated for the left leg with infusion of isotonic (non-painful) saline. Intramuscular and surface electromyographic (EMG) signals were collected to assess MU firing rate and CV. The firing rate of the active MUs [range: 7.4-14.8 pulses/s (pps)] did not change significantly in the three control conditions (without infusion for the right and left leg and with infusion of isotonic saline in the left leg). There was, on the contrary, a significant decrease (on average, mean ± SE, 1.03 ± 0.21 pps) of the firing rates during the painful condition. Moreover, MU firing rates were inversely significantly correlated with the subjective scores of pain intensity. Single MU CV was 3.88 ± 0.03 m/s (mean ± SE, over all the MUs) with no statistical difference among any condition, i.e., the injection of hypertonic saline did not alter the muscle fiber membrane properties of the observed MUs. Progressively increased muscle pain intensity causes a gradual decrease of MU firing rates. This decrease is not associated with a change in MU membrane properties, indirectly assessed by CV. This study demonstrates a central inhibitory motor control mechanism with an efficacy correlated to the nociceptive activity.","author":[{"dropping-particle":"","family":"Farina","given":"Dario","non-dropping-particle":"","parse-names":false,"suffix":""},{"dropping-particle":"","family":"Arendt-Nielsen","given":"Lars","non-dropping-particle":"","parse-names":false,"suffix":""},{"dropping-particle":"","family":"Merletti","given":"Roberto","non-dropping-particle":"","parse-names":false,"suffix":""},{"dropping-particle":"","family":"Graven-Nielsen","given":"Thomas","non-dropping-particle":"","parse-names":false,"suffix":""}],"container-title":"Journal of Neurophysiology","id":"ITEM-2","issue":"3","issued":{"date-parts":[["2004"]]},"page":"1250-1259","title":"Effect of Experimental Muscle Pain on Motor Unit Firing Rate and Conduction Velocity","type":"article-journal","volume":"91"},"uris":["http://www.mendeley.com/documents/?uuid=8fa3adca-3ba4-4ef6-b3f0-7b53560250f3"]}],"mendeley":{"formattedCitation":"&lt;sup&gt;17,18&lt;/sup&gt;","plainTextFormattedCitation":"17,18","previouslyFormattedCitation":"&lt;sup&gt;17,18&lt;/sup&gt;"},"properties":{"noteIndex":0},"schema":"https://github.com/citation-style-language/schema/raw/master/csl-citation.json"}</w:instrText>
      </w:r>
      <w:r w:rsidR="00122460" w:rsidRPr="003A1A2E">
        <w:fldChar w:fldCharType="separate"/>
      </w:r>
      <w:r w:rsidR="00273762" w:rsidRPr="003A1A2E">
        <w:rPr>
          <w:noProof/>
          <w:vertAlign w:val="superscript"/>
        </w:rPr>
        <w:t>17,18</w:t>
      </w:r>
      <w:r w:rsidR="00122460" w:rsidRPr="003A1A2E">
        <w:fldChar w:fldCharType="end"/>
      </w:r>
      <w:r w:rsidR="00122460" w:rsidRPr="003A1A2E">
        <w:t xml:space="preserve">. As PICs are essential for normal muscle function, </w:t>
      </w:r>
      <w:r w:rsidR="001A521B" w:rsidRPr="003A1A2E">
        <w:t xml:space="preserve">inhibition-induced PICs </w:t>
      </w:r>
      <w:r w:rsidR="00122460" w:rsidRPr="003A1A2E">
        <w:t>reduction in runners with AT could significantly reduce muscle function in this population</w:t>
      </w:r>
      <w:r w:rsidR="00122460" w:rsidRPr="003A1A2E">
        <w:fldChar w:fldCharType="begin" w:fldLock="1"/>
      </w:r>
      <w:r w:rsidR="00273762" w:rsidRPr="003A1A2E">
        <w:instrText>ADDIN CSL_CITATION {"citationItems":[{"id":"ITEM-1","itemData":{"DOI":"10.1242/jeb.229922","ISSN":"0022-0949","abstract":"Prolonged (≥60 s) passive muscle stretching acutely reduces maximal force production at least partly through a suppression of efferent neural drive. The origin of this neural suppression has not been determined, however some evidence suggests that reductions in the amplitude of persistent inward currents (PICs) in the motoneurons may be important. The aim of the present study was to determine whether acute passive (static) muscle stretching affects PIC strength in gastrocnemius medialis (GM) and soleus (SOL) motor units. We calculated the difference in instantaneous discharge rates at recruitment and derecruitment (ΔF) for pairs of motor units in GM and SOL during triangular isometric plantar flexor contractions (20% maximum) both before and immediately after a 5-min control period and immediately after five 1-min passive plantar flexor stretches. After stretching there was a significant reduction in SOL ΔF (−25.6%; 95%CI=−45.1 to −9.1 %, p=0.002) but not GM ΔF. These data suggest passive muscle stretching can reduce the intrinsic excitability, via PICs, of SOL motor units. These findings (1) suggest that PIC strength might be reduced after passive stretching, (2) are consistent with previously-established post-stretch decreases in SOL but not GM EMG amplitudes during contraction, and (3) indicate that reductions in PIC strength could underpin the stretch-induced force loss.","author":[{"dropping-particle":"","family":"Trajano","given":"Gabriel S.","non-dropping-particle":"","parse-names":false,"suffix":""},{"dropping-particle":"","family":"Taylor","given":"Janet L.","non-dropping-particle":"","parse-names":false,"suffix":""},{"dropping-particle":"","family":"Orssatto","given":"Lucas B. R.","non-dropping-particle":"","parse-names":false,"suffix":""},{"dropping-particle":"","family":"McNulty","given":"Craig R.","non-dropping-particle":"","parse-names":false,"suffix":""},{"dropping-particle":"","family":"Blazevich","given":"Anthony J.","non-dropping-particle":"","parse-names":false,"suffix":""}],"container-title":"The Journal of Experimental Biology","id":"ITEM-1","issue":"61 7","issued":{"date-parts":[["2020"]]},"page":"jeb.229922","title":"Passive muscle stretching reduces estimates of persistent inward current strength in soleus motor units","type":"article-journal"},"uris":["http://www.mendeley.com/documents/?uuid=3163c4ac-e021-45a9-bf01-e45d47b3167c","http://www.mendeley.com/documents/?uuid=b556649f-e93e-43d7-bf6d-16e098ebd419"]},{"id":"ITEM-2","itemData":{"DOI":"10.1002/mus.20261","ISSN":"0148639X","PMID":"15736297","abstract":"The dendrites of motoneurons are not, as once thought, passive conduits for synaptic inputs. Instead they have voltage-dependent channels that provide the capacity to generate a very strong persistent inward current (PIC). The amplitude of the PIC is proportional to the level of neuromodulatory input from the brainstem, which is mediated primarily by the monoamines serotonin and norepinephrine. During normal motor behavior, monoaminergic drive is likely to be moderately strong and the dendritic PIC generates many of the characteristic features of motor unit firing patterns. Most of the PIC activates at or below recruitment threshold and thus motor unit firing patterns exhibit a linear increase just above recruitment. The dendritic PIC allows motor unit derecruitment to occur at a lower input level than recruitment, thus providing sustained tonic firing with little or no synaptic input, especially in low-threshold units. However the dendritic PIC can be readily deactivated by synaptic inhibition. The overall amplification due to the dendritic PIC and other effects of monoamines on motoneurons greatly increases the input-output gain of the motor pool. Thus the brainstem neuromodulatory input provides a mechanism by which the excitability of motoneurons can be varied for different motor behaviors. This control system is lost in spinal cord injury but PICs nonetheless recover near-normal amplitudes in the months following the initial injury. The relationship of these findings to the cause of the spasticity syndrome developing after spinal cord injury is discussed.","author":[{"dropping-particle":"","family":"Heckman","given":"C. J.","non-dropping-particle":"","parse-names":false,"suffix":""},{"dropping-particle":"","family":"Gorassini","given":"Monica A.","non-dropping-particle":"","parse-names":false,"suffix":""},{"dropping-particle":"","family":"Bennett","given":"David J.","non-dropping-particle":"","parse-names":false,"suffix":""}],"container-title":"Muscle and Nerve","id":"ITEM-2","issue":"2","issued":{"date-parts":[["2005"]]},"page":"135-156","title":"Persistent inward currents in motoneuron dendrites: Implications for motor output","type":"article-journal","volume":"31"},"uris":["http://www.mendeley.com/documents/?uuid=7ca178aa-2502-45ee-a785-5f567bfdbc8e"]}],"mendeley":{"formattedCitation":"&lt;sup&gt;11,12&lt;/sup&gt;","plainTextFormattedCitation":"11,12","previouslyFormattedCitation":"&lt;sup&gt;11,12&lt;/sup&gt;"},"properties":{"noteIndex":0},"schema":"https://github.com/citation-style-language/schema/raw/master/csl-citation.json"}</w:instrText>
      </w:r>
      <w:r w:rsidR="00122460" w:rsidRPr="003A1A2E">
        <w:fldChar w:fldCharType="separate"/>
      </w:r>
      <w:r w:rsidR="00273762" w:rsidRPr="003A1A2E">
        <w:rPr>
          <w:noProof/>
          <w:vertAlign w:val="superscript"/>
        </w:rPr>
        <w:t>11,12</w:t>
      </w:r>
      <w:r w:rsidR="00122460" w:rsidRPr="003A1A2E">
        <w:fldChar w:fldCharType="end"/>
      </w:r>
      <w:r w:rsidR="00122460" w:rsidRPr="003A1A2E">
        <w:t xml:space="preserve">. </w:t>
      </w:r>
    </w:p>
    <w:p w14:paraId="696ABE3F" w14:textId="049154A3" w:rsidR="00027B86" w:rsidRPr="003A1A2E" w:rsidRDefault="00A27848" w:rsidP="00122460">
      <w:pPr>
        <w:autoSpaceDE w:val="0"/>
        <w:autoSpaceDN w:val="0"/>
        <w:adjustRightInd w:val="0"/>
        <w:spacing w:line="480" w:lineRule="auto"/>
        <w:ind w:firstLine="720"/>
        <w:jc w:val="both"/>
      </w:pPr>
      <w:r w:rsidRPr="003A1A2E">
        <w:lastRenderedPageBreak/>
        <w:t>PICs amplitude</w:t>
      </w:r>
      <w:r w:rsidR="00E2741B" w:rsidRPr="003A1A2E">
        <w:t xml:space="preserve"> </w:t>
      </w:r>
      <w:r w:rsidR="00CE260C" w:rsidRPr="003A1A2E">
        <w:t xml:space="preserve">can be estimated </w:t>
      </w:r>
      <w:r w:rsidR="00760269" w:rsidRPr="003A1A2E">
        <w:t>in humans</w:t>
      </w:r>
      <w:r w:rsidR="00D94589" w:rsidRPr="003A1A2E">
        <w:t>,</w:t>
      </w:r>
      <w:r w:rsidR="00760269" w:rsidRPr="003A1A2E">
        <w:t xml:space="preserve"> </w:t>
      </w:r>
      <w:r w:rsidR="000D2A54" w:rsidRPr="003A1A2E">
        <w:t>by calculating the delta frequency (ΔF)</w:t>
      </w:r>
      <w:r w:rsidR="00E2741B" w:rsidRPr="003A1A2E">
        <w:t xml:space="preserve"> </w:t>
      </w:r>
      <w:r w:rsidR="000D2A54" w:rsidRPr="003A1A2E">
        <w:t xml:space="preserve">with </w:t>
      </w:r>
      <w:r w:rsidR="00CE260C" w:rsidRPr="003A1A2E">
        <w:t>the paired-motor unit technique</w:t>
      </w:r>
      <w:r w:rsidR="00B23159" w:rsidRPr="003A1A2E">
        <w:fldChar w:fldCharType="begin" w:fldLock="1"/>
      </w:r>
      <w:r w:rsidR="00B27A07">
        <w:instrText>ADDIN CSL_CITATION {"citationItems":[{"id":"ITEM-1","itemData":{"DOI":"10.1242/jeb.229922","ISSN":"0022-0949","abstract":"Prolonged (≥60 s) passive muscle stretching acutely reduces maximal force production at least partly through a suppression of efferent neural drive. The origin of this neural suppression has not been determined, however some evidence suggests that reductions in the amplitude of persistent inward currents (PICs) in the motoneurons may be important. The aim of the present study was to determine whether acute passive (static) muscle stretching affects PIC strength in gastrocnemius medialis (GM) and soleus (SOL) motor units. We calculated the difference in instantaneous discharge rates at recruitment and derecruitment (ΔF) for pairs of motor units in GM and SOL during triangular isometric plantar flexor contractions (20% maximum) both before and immediately after a 5-min control period and immediately after five 1-min passive plantar flexor stretches. After stretching there was a significant reduction in SOL ΔF (−25.6%; 95%CI=−45.1 to −9.1 %, p=0.002) but not GM ΔF. These data suggest passive muscle stretching can reduce the intrinsic excitability, via PICs, of SOL motor units. These findings (1) suggest that PIC strength might be reduced after passive stretching, (2) are consistent with previously-established post-stretch decreases in SOL but not GM EMG amplitudes during contraction, and (3) indicate that reductions in PIC strength could underpin the stretch-induced force loss.","author":[{"dropping-particle":"","family":"Trajano","given":"Gabriel S.","non-dropping-particle":"","parse-names":false,"suffix":""},{"dropping-particle":"","family":"Taylor","given":"Janet L.","non-dropping-particle":"","parse-names":false,"suffix":""},{"dropping-particle":"","family":"Orssatto","given":"Lucas B. R.","non-dropping-particle":"","parse-names":false,"suffix":""},{"dropping-particle":"","family":"McNulty","given":"Craig R.","non-dropping-particle":"","parse-names":false,"suffix":""},{"dropping-particle":"","family":"Blazevich","given":"Anthony J.","non-dropping-particle":"","parse-names":false,"suffix":""}],"container-title":"The Journal of Experimental Biology","id":"ITEM-1","issue":"61 7","issued":{"date-parts":[["2020"]]},"page":"jeb.229922","title":"Passive muscle stretching reduces estimates of persistent inward current strength in soleus motor units","type":"article-journal"},"uris":["http://www.mendeley.com/documents/?uuid=3163c4ac-e021-45a9-bf01-e45d47b3167c"]},{"id":"ITEM-2","itemData":{"DOI":"10.1152/jn.00024.2001","ISSN":"00223077","PMID":"11929906","abstract":"The main purpose of this study was to estimate the contribution of intrinsic activation of human motoneurons (e.g., by plateau potentials) during voluntary and reflexive muscle contractions. Pairs of motor units were recorded from either the tibialis anterior or soleus muscle during three different conditions: 1) during a brief muscle vibration followed by a slow relaxation of a steady isometric contraction; 2) during a triangular isometric torque contraction; and 3) during passive sinusoidal muscle stretch superimposed on a steady isometric contraction. In each case, the firing rate of a tonically firing control motor unit was used as a measure of the effective synaptic excitation (i.e., synaptic drive) to a slightly higher-threshold test motor unit that was recruited and de-recruited during a contraction trial. The firing rate of the control unit was compared at recruitment and de-recruitment of the test unit. This was done to determine whether the estimated synaptic drive needed to recruit a motor unit was less than the amount needed to sustain firing as a result of an added depolarization produced from intrinsic sources. After test unit recruitment, the firing rate of the control unit could be decreased significantly (on average by 3.6 Hz from an initial recruitment rate of 9.8 Hz) before the test unit was de-recruited during a descending synaptic drive. Similar decreases in control unit rate occurred in all three experimental conditions. This represents a possible 40% reduction in the estimated synaptic drive needed to maintain firing of a motor unit compared with the estimated amount needed to recruit the unit initially. The firing rates of both the control and test units were modulated together in a highly parallel fashion, suggesting that the unit pairs were driven by common synaptic inputs. This tight correlation further validated the use of the control unit firing rate as a monitor of synaptic drive to the test motor unit. The estimates of intrinsically mediated depolarization of human motoneurons (≈40% during moderate contractions) are consistent with values obtained for plateau potentials obtained from intracellular recordings of motoneurons in reduced animal preparations, although various alternative mechanisms are discussed. This suggests that similar intrinsic conductances provide a substantial activation of human motoneurons during moderate physiological activity.","author":[{"dropping-particle":"","family":"Gorassini","given":"Monica","non-dropping-particle":"","parse-names":false,"suffix":""},{"dropping-particle":"","family":"Yang","given":"Jaynie F.","non-dropping-particle":"","parse-names":false,"suffix":""},{"dropping-particle":"","family":"Siu","given":"Merek","non-dropping-particle":"","parse-names":false,"suffix":""},{"dropping-particle":"","family":"Bennett","given":"David J.","non-dropping-particle":"","parse-names":false,"suffix":""}],"container-title":"Journal of Neurophysiology","id":"ITEM-2","issue":"4","issued":{"date-parts":[["2002"]]},"page":"1850-1858","title":"Intrinsic activation of human motoneurons: Possible contribution to motor unit excitation","type":"article-journal","volume":"87"},"uris":["http://www.mendeley.com/documents/?uuid=8901de22-b1ec-48d4-a966-b5f7ebd53dce"]}],"mendeley":{"formattedCitation":"&lt;sup&gt;11,19&lt;/sup&gt;","plainTextFormattedCitation":"11,19","previouslyFormattedCitation":"&lt;sup&gt;11,19&lt;/sup&gt;"},"properties":{"noteIndex":0},"schema":"https://github.com/citation-style-language/schema/raw/master/csl-citation.json"}</w:instrText>
      </w:r>
      <w:r w:rsidR="00B23159" w:rsidRPr="003A1A2E">
        <w:fldChar w:fldCharType="separate"/>
      </w:r>
      <w:r w:rsidR="00273762" w:rsidRPr="003A1A2E">
        <w:rPr>
          <w:noProof/>
          <w:vertAlign w:val="superscript"/>
        </w:rPr>
        <w:t>11,19</w:t>
      </w:r>
      <w:r w:rsidR="00B23159" w:rsidRPr="003A1A2E">
        <w:fldChar w:fldCharType="end"/>
      </w:r>
      <w:r w:rsidR="000D2A54" w:rsidRPr="003A1A2E">
        <w:t>. This</w:t>
      </w:r>
      <w:r w:rsidR="00931099" w:rsidRPr="003A1A2E">
        <w:t xml:space="preserve"> is a valid and widely used</w:t>
      </w:r>
      <w:r w:rsidR="000D2A54" w:rsidRPr="003A1A2E">
        <w:t xml:space="preserve"> method</w:t>
      </w:r>
      <w:r w:rsidR="00931099" w:rsidRPr="003A1A2E">
        <w:t xml:space="preserve"> that</w:t>
      </w:r>
      <w:r w:rsidR="000D2A54" w:rsidRPr="003A1A2E">
        <w:t xml:space="preserve"> </w:t>
      </w:r>
      <w:r w:rsidR="00917B8D" w:rsidRPr="003A1A2E">
        <w:t xml:space="preserve">measures </w:t>
      </w:r>
      <w:r w:rsidR="001B22B0" w:rsidRPr="003A1A2E">
        <w:t xml:space="preserve">the difference in discharge rate </w:t>
      </w:r>
      <w:r w:rsidR="000B157B" w:rsidRPr="003A1A2E">
        <w:t>of</w:t>
      </w:r>
      <w:r w:rsidR="001B22B0" w:rsidRPr="003A1A2E">
        <w:t xml:space="preserve"> </w:t>
      </w:r>
      <w:r w:rsidR="008F0BE7" w:rsidRPr="003A1A2E">
        <w:t>a</w:t>
      </w:r>
      <w:r w:rsidR="001B22B0" w:rsidRPr="003A1A2E">
        <w:t xml:space="preserve"> control unit (low</w:t>
      </w:r>
      <w:r w:rsidR="00386CA0" w:rsidRPr="003A1A2E">
        <w:t>er-</w:t>
      </w:r>
      <w:r w:rsidR="001B22B0" w:rsidRPr="003A1A2E">
        <w:t xml:space="preserve">threshold) </w:t>
      </w:r>
      <w:r w:rsidR="00AB498B" w:rsidRPr="003A1A2E">
        <w:t xml:space="preserve">at </w:t>
      </w:r>
      <w:r w:rsidR="001B22B0" w:rsidRPr="003A1A2E">
        <w:t>the time</w:t>
      </w:r>
      <w:r w:rsidR="00AB498B" w:rsidRPr="003A1A2E">
        <w:t>s</w:t>
      </w:r>
      <w:r w:rsidR="001B22B0" w:rsidRPr="003A1A2E">
        <w:t xml:space="preserve"> of recruitment and de-recruitment of </w:t>
      </w:r>
      <w:r w:rsidR="008F0BE7" w:rsidRPr="003A1A2E">
        <w:t>a</w:t>
      </w:r>
      <w:r w:rsidR="001B22B0" w:rsidRPr="003A1A2E">
        <w:t xml:space="preserve"> test unit (higher</w:t>
      </w:r>
      <w:r w:rsidR="00386CA0" w:rsidRPr="003A1A2E">
        <w:t>-</w:t>
      </w:r>
      <w:r w:rsidR="001B22B0" w:rsidRPr="003A1A2E">
        <w:t>threshold)</w:t>
      </w:r>
      <w:r w:rsidR="00931099" w:rsidRPr="003A1A2E">
        <w:fldChar w:fldCharType="begin" w:fldLock="1"/>
      </w:r>
      <w:r w:rsidR="00B27A07">
        <w:instrText>ADDIN CSL_CITATION {"citationItems":[{"id":"ITEM-1","itemData":{"DOI":"10.1242/jeb.229922","ISSN":"0022-0949","abstract":"Prolonged (≥60 s) passive muscle stretching acutely reduces maximal force production at least partly through a suppression of efferent neural drive. The origin of this neural suppression has not been determined, however some evidence suggests that reductions in the amplitude of persistent inward currents (PICs) in the motoneurons may be important. The aim of the present study was to determine whether acute passive (static) muscle stretching affects PIC strength in gastrocnemius medialis (GM) and soleus (SOL) motor units. We calculated the difference in instantaneous discharge rates at recruitment and derecruitment (ΔF) for pairs of motor units in GM and SOL during triangular isometric plantar flexor contractions (20% maximum) both before and immediately after a 5-min control period and immediately after five 1-min passive plantar flexor stretches. After stretching there was a significant reduction in SOL ΔF (−25.6%; 95%CI=−45.1 to −9.1 %, p=0.002) but not GM ΔF. These data suggest passive muscle stretching can reduce the intrinsic excitability, via PICs, of SOL motor units. These findings (1) suggest that PIC strength might be reduced after passive stretching, (2) are consistent with previously-established post-stretch decreases in SOL but not GM EMG amplitudes during contraction, and (3) indicate that reductions in PIC strength could underpin the stretch-induced force loss.","author":[{"dropping-particle":"","family":"Trajano","given":"Gabriel S.","non-dropping-particle":"","parse-names":false,"suffix":""},{"dropping-particle":"","family":"Taylor","given":"Janet L.","non-dropping-particle":"","parse-names":false,"suffix":""},{"dropping-particle":"","family":"Orssatto","given":"Lucas B. R.","non-dropping-particle":"","parse-names":false,"suffix":""},{"dropping-particle":"","family":"McNulty","given":"Craig R.","non-dropping-particle":"","parse-names":false,"suffix":""},{"dropping-particle":"","family":"Blazevich","given":"Anthony J.","non-dropping-particle":"","parse-names":false,"suffix":""}],"container-title":"The Journal of Experimental Biology","id":"ITEM-1","issue":"61 7","issued":{"date-parts":[["2020"]]},"page":"jeb.229922","title":"Passive muscle stretching reduces estimates of persistent inward current strength in soleus motor units","type":"article-journal"},"uris":["http://www.mendeley.com/documents/?uuid=3163c4ac-e021-45a9-bf01-e45d47b3167c"]},{"id":"ITEM-2","itemData":{"DOI":"10.1152/jn.00024.2001","ISSN":"00223077","PMID":"11929906","abstract":"The main purpose of this study was to estimate the contribution of intrinsic activation of human motoneurons (e.g., by plateau potentials) during voluntary and reflexive muscle contractions. Pairs of motor units were recorded from either the tibialis anterior or soleus muscle during three different conditions: 1) during a brief muscle vibration followed by a slow relaxation of a steady isometric contraction; 2) during a triangular isometric torque contraction; and 3) during passive sinusoidal muscle stretch superimposed on a steady isometric contraction. In each case, the firing rate of a tonically firing control motor unit was used as a measure of the effective synaptic excitation (i.e., synaptic drive) to a slightly higher-threshold test motor unit that was recruited and de-recruited during a contraction trial. The firing rate of the control unit was compared at recruitment and de-recruitment of the test unit. This was done to determine whether the estimated synaptic drive needed to recruit a motor unit was less than the amount needed to sustain firing as a result of an added depolarization produced from intrinsic sources. After test unit recruitment, the firing rate of the control unit could be decreased significantly (on average by 3.6 Hz from an initial recruitment rate of 9.8 Hz) before the test unit was de-recruited during a descending synaptic drive. Similar decreases in control unit rate occurred in all three experimental conditions. This represents a possible 40% reduction in the estimated synaptic drive needed to maintain firing of a motor unit compared with the estimated amount needed to recruit the unit initially. The firing rates of both the control and test units were modulated together in a highly parallel fashion, suggesting that the unit pairs were driven by common synaptic inputs. This tight correlation further validated the use of the control unit firing rate as a monitor of synaptic drive to the test motor unit. The estimates of intrinsically mediated depolarization of human motoneurons (≈40% during moderate contractions) are consistent with values obtained for plateau potentials obtained from intracellular recordings of motoneurons in reduced animal preparations, although various alternative mechanisms are discussed. This suggests that similar intrinsic conductances provide a substantial activation of human motoneurons during moderate physiological activity.","author":[{"dropping-particle":"","family":"Gorassini","given":"Monica","non-dropping-particle":"","parse-names":false,"suffix":""},{"dropping-particle":"","family":"Yang","given":"Jaynie F.","non-dropping-particle":"","parse-names":false,"suffix":""},{"dropping-particle":"","family":"Siu","given":"Merek","non-dropping-particle":"","parse-names":false,"suffix":""},{"dropping-particle":"","family":"Bennett","given":"David J.","non-dropping-particle":"","parse-names":false,"suffix":""}],"container-title":"Journal of Neurophysiology","id":"ITEM-2","issue":"4","issued":{"date-parts":[["2002"]]},"page":"1850-1858","title":"Intrinsic activation of human motoneurons: Possible contribution to motor unit excitation","type":"article-journal","volume":"87"},"uris":["http://www.mendeley.com/documents/?uuid=8901de22-b1ec-48d4-a966-b5f7ebd53dce"]}],"mendeley":{"formattedCitation":"&lt;sup&gt;11,19&lt;/sup&gt;","plainTextFormattedCitation":"11,19","previouslyFormattedCitation":"&lt;sup&gt;11,19&lt;/sup&gt;"},"properties":{"noteIndex":0},"schema":"https://github.com/citation-style-language/schema/raw/master/csl-citation.json"}</w:instrText>
      </w:r>
      <w:r w:rsidR="00931099" w:rsidRPr="003A1A2E">
        <w:fldChar w:fldCharType="separate"/>
      </w:r>
      <w:r w:rsidR="00931099" w:rsidRPr="003A1A2E">
        <w:rPr>
          <w:noProof/>
          <w:vertAlign w:val="superscript"/>
        </w:rPr>
        <w:t>11,19</w:t>
      </w:r>
      <w:r w:rsidR="00931099" w:rsidRPr="003A1A2E">
        <w:fldChar w:fldCharType="end"/>
      </w:r>
      <w:r w:rsidR="00410A71" w:rsidRPr="003A1A2E">
        <w:t>.</w:t>
      </w:r>
      <w:r w:rsidR="00CE260C" w:rsidRPr="003A1A2E">
        <w:t xml:space="preserve"> </w:t>
      </w:r>
      <w:r w:rsidR="00410A71" w:rsidRPr="003A1A2E">
        <w:t xml:space="preserve">ΔF is </w:t>
      </w:r>
      <w:r w:rsidR="002626EA" w:rsidRPr="003A1A2E">
        <w:t>assumed</w:t>
      </w:r>
      <w:r w:rsidR="00410A71" w:rsidRPr="003A1A2E">
        <w:t xml:space="preserve"> to be an estimate of the </w:t>
      </w:r>
      <w:r w:rsidR="00931099" w:rsidRPr="003A1A2E">
        <w:t xml:space="preserve">contribution of </w:t>
      </w:r>
      <w:r w:rsidR="00410A71" w:rsidRPr="003A1A2E">
        <w:t>PIC</w:t>
      </w:r>
      <w:r w:rsidR="00931099" w:rsidRPr="003A1A2E">
        <w:t>s to motor neurone self-sustained firing</w:t>
      </w:r>
      <w:r w:rsidR="00D94589" w:rsidRPr="003A1A2E">
        <w:fldChar w:fldCharType="begin" w:fldLock="1"/>
      </w:r>
      <w:r w:rsidR="00B27A07">
        <w:instrText>ADDIN CSL_CITATION {"citationItems":[{"id":"ITEM-1","itemData":{"DOI":"10.1152/jn.00024.2001","ISSN":"00223077","PMID":"11929906","abstract":"The main purpose of this study was to estimate the contribution of intrinsic activation of human motoneurons (e.g., by plateau potentials) during voluntary and reflexive muscle contractions. Pairs of motor units were recorded from either the tibialis anterior or soleus muscle during three different conditions: 1) during a brief muscle vibration followed by a slow relaxation of a steady isometric contraction; 2) during a triangular isometric torque contraction; and 3) during passive sinusoidal muscle stretch superimposed on a steady isometric contraction. In each case, the firing rate of a tonically firing control motor unit was used as a measure of the effective synaptic excitation (i.e., synaptic drive) to a slightly higher-threshold test motor unit that was recruited and de-recruited during a contraction trial. The firing rate of the control unit was compared at recruitment and de-recruitment of the test unit. This was done to determine whether the estimated synaptic drive needed to recruit a motor unit was less than the amount needed to sustain firing as a result of an added depolarization produced from intrinsic sources. After test unit recruitment, the firing rate of the control unit could be decreased significantly (on average by 3.6 Hz from an initial recruitment rate of 9.8 Hz) before the test unit was de-recruited during a descending synaptic drive. Similar decreases in control unit rate occurred in all three experimental conditions. This represents a possible 40% reduction in the estimated synaptic drive needed to maintain firing of a motor unit compared with the estimated amount needed to recruit the unit initially. The firing rates of both the control and test units were modulated together in a highly parallel fashion, suggesting that the unit pairs were driven by common synaptic inputs. This tight correlation further validated the use of the control unit firing rate as a monitor of synaptic drive to the test motor unit. The estimates of intrinsically mediated depolarization of human motoneurons (≈40% during moderate contractions) are consistent with values obtained for plateau potentials obtained from intracellular recordings of motoneurons in reduced animal preparations, although various alternative mechanisms are discussed. This suggests that similar intrinsic conductances provide a substantial activation of human motoneurons during moderate physiological activity.","author":[{"dropping-particle":"","family":"Gorassini","given":"Monica","non-dropping-particle":"","parse-names":false,"suffix":""},{"dropping-particle":"","family":"Yang","given":"Jaynie F.","non-dropping-particle":"","parse-names":false,"suffix":""},{"dropping-particle":"","family":"Siu","given":"Merek","non-dropping-particle":"","parse-names":false,"suffix":""},{"dropping-particle":"","family":"Bennett","given":"David J.","non-dropping-particle":"","parse-names":false,"suffix":""}],"container-title":"Journal of Neurophysiology","id":"ITEM-1","issue":"4","issued":{"date-parts":[["2002"]]},"page":"1850-1858","title":"Intrinsic activation of human motoneurons: Possible contribution to motor unit excitation","type":"article-journal","volume":"87"},"uris":["http://www.mendeley.com/documents/?uuid=8901de22-b1ec-48d4-a966-b5f7ebd53dce"]}],"mendeley":{"formattedCitation":"&lt;sup&gt;19&lt;/sup&gt;","plainTextFormattedCitation":"19","previouslyFormattedCitation":"&lt;sup&gt;19&lt;/sup&gt;"},"properties":{"noteIndex":0},"schema":"https://github.com/citation-style-language/schema/raw/master/csl-citation.json"}</w:instrText>
      </w:r>
      <w:r w:rsidR="00D94589" w:rsidRPr="003A1A2E">
        <w:fldChar w:fldCharType="separate"/>
      </w:r>
      <w:r w:rsidR="00273762" w:rsidRPr="003A1A2E">
        <w:rPr>
          <w:noProof/>
          <w:vertAlign w:val="superscript"/>
        </w:rPr>
        <w:t>19</w:t>
      </w:r>
      <w:r w:rsidR="00D94589" w:rsidRPr="003A1A2E">
        <w:fldChar w:fldCharType="end"/>
      </w:r>
      <w:r w:rsidR="00410A71" w:rsidRPr="003A1A2E">
        <w:t>.</w:t>
      </w:r>
      <w:r w:rsidR="00015641" w:rsidRPr="003A1A2E">
        <w:t xml:space="preserve"> </w:t>
      </w:r>
      <w:r w:rsidR="00D94589" w:rsidRPr="003A1A2E">
        <w:t xml:space="preserve">Because </w:t>
      </w:r>
      <w:r w:rsidR="0011111E" w:rsidRPr="003A1A2E">
        <w:rPr>
          <w:iCs/>
        </w:rPr>
        <w:t>soleus</w:t>
      </w:r>
      <w:r w:rsidR="0011111E" w:rsidRPr="003A1A2E">
        <w:t xml:space="preserve"> </w:t>
      </w:r>
      <w:r w:rsidR="00D94589" w:rsidRPr="003A1A2E">
        <w:t>is suggested to be</w:t>
      </w:r>
      <w:r w:rsidR="00CF037F" w:rsidRPr="003A1A2E">
        <w:t xml:space="preserve"> inhibited and</w:t>
      </w:r>
      <w:r w:rsidR="00D94589" w:rsidRPr="003A1A2E">
        <w:t xml:space="preserve"> driving the reduced strength observed in AT</w:t>
      </w:r>
      <w:r w:rsidR="00D94589" w:rsidRPr="003A1A2E">
        <w:fldChar w:fldCharType="begin" w:fldLock="1"/>
      </w:r>
      <w:r w:rsidR="00ED6D66" w:rsidRPr="003A1A2E">
        <w:instrText>ADDIN CSL_CITATION {"citationItems":[{"id":"ITEM-1","itemData":{"DOI":"10.1016/j.ptsp.2019.03.002","ISSN":"18731600","PMID":"30884279","abstract":"Objectives: Determine how the strength and endurance of the plantar flexors are affected by Achilles tendinopathy and whether one muscle is more affected than another. Design: Case control study. Setting: University Laboratory. Participants: 39 Runners with mid-portion Achilles tendinopathy and 38 healthy runners participated in this study. Main outcome measures: Isokinetic dynamometry was completed bilaterally in two knee positions on all subjects to assess the torque and endurance capacity of the plantar flexors. Results: Subjects with Achilles tendinopathy were statistically weaker (by 26.1Nm Concentric 90°/sec, 14,8Nm Concentric 225°/sec and 55.5Nm Eccentric 90°/sec for knee extended testing and 17.3Nm, 10.1Nm and 52.3Nm for the flexed knee respectively) than healthy controls at all isokinetic test speeds and contraction modes irrespective of knee position (p value = &lt;0.001). The endurance capacity of the plantar flexors was significantly reduced (Total work done 613.5Nm less) in subjects with Achilles tendinopathy when compared to the healthy controls (p value = &lt;0.001). Conclusions: Achilles tendinopathy is associated with large deficits in plantar flexor torque and endurance. The deficits are bilateral in nature and appear to be explained by a greater loss of the soleus force generating capacity rather than the gastrocnemius.","author":[{"dropping-particle":"","family":"O'Neill","given":"Seth","non-dropping-particle":"","parse-names":false,"suffix":""},{"dropping-particle":"","family":"Barry","given":"Simon","non-dropping-particle":"","parse-names":false,"suffix":""},{"dropping-particle":"","family":"Watson","given":"Paul","non-dropping-particle":"","parse-names":false,"suffix":""}],"container-title":"Physical Therapy in Sport","id":"ITEM-1","issued":{"date-parts":[["2019"]]},"page":"69-76","publisher":"Elsevier Ltd","title":"Plantarflexor strength and endurance deficits associated with mid-portion Achilles tendinopathy: The role of soleus","type":"article-journal","volume":"37"},"uris":["http://www.mendeley.com/documents/?uuid=39aa78e9-0163-498d-8c93-359b0cbff29a"]}],"mendeley":{"formattedCitation":"&lt;sup&gt;2&lt;/sup&gt;","plainTextFormattedCitation":"2","previouslyFormattedCitation":"&lt;sup&gt;2&lt;/sup&gt;"},"properties":{"noteIndex":0},"schema":"https://github.com/citation-style-language/schema/raw/master/csl-citation.json"}</w:instrText>
      </w:r>
      <w:r w:rsidR="00D94589" w:rsidRPr="003A1A2E">
        <w:fldChar w:fldCharType="separate"/>
      </w:r>
      <w:r w:rsidR="00ED6D66" w:rsidRPr="003A1A2E">
        <w:rPr>
          <w:noProof/>
          <w:vertAlign w:val="superscript"/>
        </w:rPr>
        <w:t>2</w:t>
      </w:r>
      <w:r w:rsidR="00D94589" w:rsidRPr="003A1A2E">
        <w:fldChar w:fldCharType="end"/>
      </w:r>
      <w:r w:rsidR="00D94589" w:rsidRPr="003A1A2E">
        <w:t>, t</w:t>
      </w:r>
      <w:r w:rsidR="00027B86" w:rsidRPr="003A1A2E">
        <w:t xml:space="preserve">his study </w:t>
      </w:r>
      <w:r w:rsidR="00760269" w:rsidRPr="003A1A2E">
        <w:t xml:space="preserve">aimed to </w:t>
      </w:r>
      <w:r w:rsidR="00732BFA" w:rsidRPr="003A1A2E">
        <w:t xml:space="preserve">investigate </w:t>
      </w:r>
      <w:r w:rsidR="00760269" w:rsidRPr="003A1A2E">
        <w:t>the</w:t>
      </w:r>
      <w:r w:rsidR="00533FED" w:rsidRPr="003A1A2E">
        <w:t xml:space="preserve"> </w:t>
      </w:r>
      <w:bookmarkStart w:id="5" w:name="_Hlk90194926"/>
      <w:r w:rsidR="00732BFA" w:rsidRPr="003A1A2E">
        <w:t>motor neuron</w:t>
      </w:r>
      <w:r w:rsidR="008F0BE7" w:rsidRPr="003A1A2E">
        <w:t>e</w:t>
      </w:r>
      <w:r w:rsidR="00732BFA" w:rsidRPr="003A1A2E">
        <w:t xml:space="preserve"> intrinsic excitability properties of soleus, by comparing the </w:t>
      </w:r>
      <w:r w:rsidR="00760269" w:rsidRPr="003A1A2E">
        <w:t xml:space="preserve">estimates of PICs </w:t>
      </w:r>
      <w:r w:rsidR="00533FED" w:rsidRPr="003A1A2E">
        <w:t xml:space="preserve">amplitudes </w:t>
      </w:r>
      <w:bookmarkEnd w:id="5"/>
      <w:r w:rsidR="00533FED" w:rsidRPr="003A1A2E">
        <w:t xml:space="preserve">(ΔFs) </w:t>
      </w:r>
      <w:r w:rsidR="004F6F9D" w:rsidRPr="003A1A2E">
        <w:t>and</w:t>
      </w:r>
      <w:r w:rsidR="00731C3C" w:rsidRPr="003A1A2E">
        <w:t xml:space="preserve"> motor unit</w:t>
      </w:r>
      <w:r w:rsidR="004F6F9D" w:rsidRPr="003A1A2E">
        <w:t xml:space="preserve"> </w:t>
      </w:r>
      <w:r w:rsidR="00760269" w:rsidRPr="003A1A2E">
        <w:t>discharge rates</w:t>
      </w:r>
      <w:r w:rsidR="00487CA7" w:rsidRPr="003A1A2E">
        <w:t xml:space="preserve"> of soleus</w:t>
      </w:r>
      <w:r w:rsidR="00760269" w:rsidRPr="003A1A2E">
        <w:t xml:space="preserve"> </w:t>
      </w:r>
      <w:r w:rsidR="00533FED" w:rsidRPr="003A1A2E">
        <w:t>between runners with and without mid-portion AT.</w:t>
      </w:r>
      <w:r w:rsidR="004722B2" w:rsidRPr="003A1A2E">
        <w:t xml:space="preserve"> </w:t>
      </w:r>
      <w:r w:rsidR="00027B86" w:rsidRPr="003A1A2E">
        <w:t xml:space="preserve">We hypothesised that </w:t>
      </w:r>
      <w:r w:rsidR="00533FED" w:rsidRPr="003A1A2E">
        <w:t>the</w:t>
      </w:r>
      <w:r w:rsidR="00931099" w:rsidRPr="003A1A2E">
        <w:t xml:space="preserve"> runners with</w:t>
      </w:r>
      <w:r w:rsidR="00533FED" w:rsidRPr="003A1A2E">
        <w:t xml:space="preserve"> AT </w:t>
      </w:r>
      <w:r w:rsidR="00931099" w:rsidRPr="003A1A2E">
        <w:t>w</w:t>
      </w:r>
      <w:r w:rsidR="00015641" w:rsidRPr="003A1A2E">
        <w:t>ould</w:t>
      </w:r>
      <w:r w:rsidR="00931099" w:rsidRPr="003A1A2E">
        <w:t xml:space="preserve"> have</w:t>
      </w:r>
      <w:r w:rsidR="00533FED" w:rsidRPr="003A1A2E">
        <w:t xml:space="preserve"> </w:t>
      </w:r>
      <w:r w:rsidR="00760269" w:rsidRPr="003A1A2E">
        <w:t>lower</w:t>
      </w:r>
      <w:r w:rsidR="00CD3F6D" w:rsidRPr="003A1A2E">
        <w:t xml:space="preserve"> </w:t>
      </w:r>
      <w:r w:rsidR="00533FED" w:rsidRPr="003A1A2E">
        <w:t>ΔF</w:t>
      </w:r>
      <w:r w:rsidR="00AC4843" w:rsidRPr="003A1A2E">
        <w:t xml:space="preserve"> amplitude</w:t>
      </w:r>
      <w:r w:rsidR="0099185A" w:rsidRPr="003A1A2E">
        <w:t xml:space="preserve"> </w:t>
      </w:r>
      <w:r w:rsidR="00760269" w:rsidRPr="003A1A2E">
        <w:t>and</w:t>
      </w:r>
      <w:r w:rsidR="00547844" w:rsidRPr="003A1A2E">
        <w:t xml:space="preserve"> </w:t>
      </w:r>
      <w:r w:rsidR="00731C3C" w:rsidRPr="003A1A2E">
        <w:t xml:space="preserve">lower </w:t>
      </w:r>
      <w:r w:rsidR="00547844" w:rsidRPr="003A1A2E">
        <w:t>motor unit</w:t>
      </w:r>
      <w:r w:rsidR="0099185A" w:rsidRPr="003A1A2E">
        <w:t xml:space="preserve"> discharge rate</w:t>
      </w:r>
      <w:r w:rsidR="00760269" w:rsidRPr="003A1A2E">
        <w:t>s</w:t>
      </w:r>
      <w:r w:rsidR="00931099" w:rsidRPr="003A1A2E">
        <w:t xml:space="preserve"> than runners without AT.</w:t>
      </w:r>
    </w:p>
    <w:p w14:paraId="71A2F8FA" w14:textId="77777777" w:rsidR="00C21CA2" w:rsidRPr="003A1A2E" w:rsidRDefault="00C21CA2" w:rsidP="00504A0D">
      <w:pPr>
        <w:autoSpaceDE w:val="0"/>
        <w:autoSpaceDN w:val="0"/>
        <w:adjustRightInd w:val="0"/>
        <w:spacing w:line="480" w:lineRule="auto"/>
        <w:jc w:val="both"/>
        <w:rPr>
          <w:b/>
          <w:bCs/>
        </w:rPr>
      </w:pPr>
    </w:p>
    <w:p w14:paraId="4F91B79D" w14:textId="77777777" w:rsidR="00CF40B7" w:rsidRPr="003A1A2E" w:rsidRDefault="00CF40B7" w:rsidP="00CF40B7">
      <w:pPr>
        <w:autoSpaceDE w:val="0"/>
        <w:autoSpaceDN w:val="0"/>
        <w:adjustRightInd w:val="0"/>
        <w:spacing w:line="480" w:lineRule="auto"/>
        <w:jc w:val="both"/>
        <w:rPr>
          <w:b/>
          <w:bCs/>
        </w:rPr>
      </w:pPr>
      <w:bookmarkStart w:id="6" w:name="_Hlk83282177"/>
      <w:r w:rsidRPr="003A1A2E">
        <w:rPr>
          <w:b/>
          <w:bCs/>
        </w:rPr>
        <w:t>2. Methods</w:t>
      </w:r>
    </w:p>
    <w:p w14:paraId="243DDB94" w14:textId="2053ECF9" w:rsidR="00CF40B7" w:rsidRPr="003A1A2E" w:rsidRDefault="00C032D9" w:rsidP="00CF40B7">
      <w:pPr>
        <w:pStyle w:val="BodyA"/>
        <w:spacing w:after="0"/>
        <w:rPr>
          <w:rFonts w:ascii="Times New Roman" w:hAnsi="Times New Roman" w:cs="Times New Roman"/>
          <w:color w:val="auto"/>
          <w:sz w:val="24"/>
          <w:szCs w:val="24"/>
          <w:lang w:val="en-AU"/>
        </w:rPr>
      </w:pPr>
      <w:r>
        <w:rPr>
          <w:rFonts w:ascii="Times New Roman" w:hAnsi="Times New Roman" w:cs="Times New Roman"/>
          <w:color w:val="auto"/>
          <w:kern w:val="1"/>
          <w:sz w:val="24"/>
          <w:szCs w:val="24"/>
          <w:lang w:val="en-AU"/>
        </w:rPr>
        <w:t>Twenty-three</w:t>
      </w:r>
      <w:r w:rsidR="00CF40B7" w:rsidRPr="003A1A2E">
        <w:rPr>
          <w:rFonts w:ascii="Times New Roman" w:hAnsi="Times New Roman" w:cs="Times New Roman"/>
          <w:color w:val="auto"/>
          <w:kern w:val="1"/>
          <w:sz w:val="24"/>
          <w:szCs w:val="24"/>
          <w:lang w:val="en-AU"/>
        </w:rPr>
        <w:t xml:space="preserve"> endurance runners </w:t>
      </w:r>
      <w:r w:rsidR="00CF40B7" w:rsidRPr="003A1A2E">
        <w:rPr>
          <w:rFonts w:ascii="Times New Roman" w:hAnsi="Times New Roman" w:cs="Times New Roman"/>
          <w:color w:val="auto"/>
          <w:sz w:val="24"/>
          <w:szCs w:val="24"/>
          <w:lang w:val="en-AU"/>
        </w:rPr>
        <w:t xml:space="preserve">with (n=11, 6 males, 45.5±11.7 years old, </w:t>
      </w:r>
      <w:r w:rsidR="00CF40B7" w:rsidRPr="003A1A2E">
        <w:rPr>
          <w:rStyle w:val="Strong"/>
          <w:rFonts w:ascii="Times New Roman" w:hAnsi="Times New Roman" w:cs="Times New Roman"/>
          <w:b w:val="0"/>
          <w:bCs w:val="0"/>
          <w:color w:val="auto"/>
          <w:sz w:val="24"/>
          <w:szCs w:val="24"/>
          <w:lang w:val="en-AU"/>
        </w:rPr>
        <w:t>172.8</w:t>
      </w:r>
      <w:r w:rsidR="00CF40B7" w:rsidRPr="003A1A2E">
        <w:rPr>
          <w:rFonts w:ascii="Times New Roman" w:hAnsi="Times New Roman" w:cs="Times New Roman"/>
          <w:color w:val="auto"/>
          <w:sz w:val="24"/>
          <w:szCs w:val="24"/>
          <w:lang w:val="en-AU"/>
        </w:rPr>
        <w:t xml:space="preserve">±9.5 </w:t>
      </w:r>
      <w:r w:rsidR="00CF40B7" w:rsidRPr="003A1A2E">
        <w:rPr>
          <w:rStyle w:val="Strong"/>
          <w:rFonts w:ascii="Times New Roman" w:hAnsi="Times New Roman" w:cs="Times New Roman"/>
          <w:b w:val="0"/>
          <w:bCs w:val="0"/>
          <w:color w:val="auto"/>
          <w:sz w:val="24"/>
          <w:szCs w:val="24"/>
          <w:lang w:val="en-AU"/>
        </w:rPr>
        <w:t>cm, 77.2</w:t>
      </w:r>
      <w:r w:rsidR="00CF40B7" w:rsidRPr="003A1A2E">
        <w:rPr>
          <w:rFonts w:ascii="Times New Roman" w:hAnsi="Times New Roman" w:cs="Times New Roman"/>
          <w:color w:val="auto"/>
          <w:sz w:val="24"/>
          <w:szCs w:val="24"/>
          <w:lang w:val="en-AU"/>
        </w:rPr>
        <w:t>±15.0</w:t>
      </w:r>
      <w:r w:rsidR="00CF40B7" w:rsidRPr="003A1A2E">
        <w:rPr>
          <w:rStyle w:val="Strong"/>
          <w:rFonts w:ascii="Times New Roman" w:hAnsi="Times New Roman" w:cs="Times New Roman"/>
          <w:b w:val="0"/>
          <w:bCs w:val="0"/>
          <w:color w:val="auto"/>
          <w:sz w:val="24"/>
          <w:szCs w:val="24"/>
          <w:lang w:val="en-AU"/>
        </w:rPr>
        <w:t xml:space="preserve"> kg</w:t>
      </w:r>
      <w:r w:rsidR="00CF40B7" w:rsidRPr="003A1A2E">
        <w:rPr>
          <w:rFonts w:ascii="Times New Roman" w:hAnsi="Times New Roman" w:cs="Times New Roman"/>
          <w:sz w:val="24"/>
          <w:szCs w:val="24"/>
        </w:rPr>
        <w:t>, and</w:t>
      </w:r>
      <w:r w:rsidR="00CF40B7" w:rsidRPr="003A1A2E">
        <w:rPr>
          <w:rFonts w:ascii="Times New Roman" w:hAnsi="Times New Roman" w:cs="Times New Roman"/>
          <w:color w:val="auto"/>
          <w:sz w:val="24"/>
          <w:szCs w:val="24"/>
          <w:lang w:val="en-AU"/>
        </w:rPr>
        <w:t xml:space="preserve"> without mid-portion AT (n=12, 7 males, </w:t>
      </w:r>
      <w:r w:rsidR="00CF40B7" w:rsidRPr="003A1A2E">
        <w:rPr>
          <w:rStyle w:val="Strong"/>
          <w:rFonts w:ascii="Times New Roman" w:hAnsi="Times New Roman" w:cs="Times New Roman"/>
          <w:b w:val="0"/>
          <w:bCs w:val="0"/>
          <w:color w:val="auto"/>
          <w:sz w:val="24"/>
          <w:szCs w:val="24"/>
          <w:lang w:val="en-AU"/>
        </w:rPr>
        <w:t xml:space="preserve">33.0 </w:t>
      </w:r>
      <w:r w:rsidR="00CF40B7" w:rsidRPr="003A1A2E">
        <w:rPr>
          <w:rFonts w:ascii="Times New Roman" w:hAnsi="Times New Roman" w:cs="Times New Roman"/>
          <w:color w:val="auto"/>
          <w:sz w:val="24"/>
          <w:szCs w:val="24"/>
          <w:lang w:val="en-AU"/>
        </w:rPr>
        <w:t xml:space="preserve">± 6.4 </w:t>
      </w:r>
      <w:r w:rsidR="00CF40B7" w:rsidRPr="003A1A2E">
        <w:rPr>
          <w:rStyle w:val="Strong"/>
          <w:rFonts w:ascii="Times New Roman" w:hAnsi="Times New Roman" w:cs="Times New Roman"/>
          <w:b w:val="0"/>
          <w:bCs w:val="0"/>
          <w:color w:val="auto"/>
          <w:sz w:val="24"/>
          <w:szCs w:val="24"/>
          <w:lang w:val="en-AU"/>
        </w:rPr>
        <w:t xml:space="preserve">years old, 170.9 </w:t>
      </w:r>
      <w:r w:rsidR="00CF40B7" w:rsidRPr="003A1A2E">
        <w:rPr>
          <w:rFonts w:ascii="Times New Roman" w:hAnsi="Times New Roman" w:cs="Times New Roman"/>
          <w:color w:val="auto"/>
          <w:sz w:val="24"/>
          <w:szCs w:val="24"/>
          <w:lang w:val="en-AU"/>
        </w:rPr>
        <w:t>± 8.7</w:t>
      </w:r>
      <w:r w:rsidR="00CF40B7" w:rsidRPr="003A1A2E">
        <w:rPr>
          <w:rStyle w:val="Strong"/>
          <w:rFonts w:ascii="Times New Roman" w:hAnsi="Times New Roman" w:cs="Times New Roman"/>
          <w:b w:val="0"/>
          <w:bCs w:val="0"/>
          <w:color w:val="auto"/>
          <w:sz w:val="24"/>
          <w:szCs w:val="24"/>
          <w:lang w:val="en-AU"/>
        </w:rPr>
        <w:t xml:space="preserve"> cm,</w:t>
      </w:r>
      <w:r w:rsidR="00CF40B7" w:rsidRPr="003A1A2E">
        <w:rPr>
          <w:rStyle w:val="Strong"/>
          <w:rFonts w:ascii="Times New Roman" w:hAnsi="Times New Roman" w:cs="Times New Roman"/>
          <w:color w:val="auto"/>
          <w:sz w:val="24"/>
          <w:szCs w:val="24"/>
          <w:lang w:val="en-AU"/>
        </w:rPr>
        <w:t xml:space="preserve"> </w:t>
      </w:r>
      <w:r w:rsidR="00CF40B7" w:rsidRPr="003A1A2E">
        <w:rPr>
          <w:rStyle w:val="Strong"/>
          <w:rFonts w:ascii="Times New Roman" w:hAnsi="Times New Roman" w:cs="Times New Roman"/>
          <w:b w:val="0"/>
          <w:bCs w:val="0"/>
          <w:color w:val="auto"/>
          <w:sz w:val="24"/>
          <w:szCs w:val="24"/>
          <w:lang w:val="en-AU"/>
        </w:rPr>
        <w:t xml:space="preserve">65.6 </w:t>
      </w:r>
      <w:r w:rsidR="00CF40B7" w:rsidRPr="003A1A2E">
        <w:rPr>
          <w:rFonts w:ascii="Times New Roman" w:hAnsi="Times New Roman" w:cs="Times New Roman"/>
          <w:color w:val="auto"/>
          <w:sz w:val="24"/>
          <w:szCs w:val="24"/>
          <w:lang w:val="en-AU"/>
        </w:rPr>
        <w:t>± 11.9</w:t>
      </w:r>
      <w:r w:rsidR="00CF40B7" w:rsidRPr="003A1A2E">
        <w:rPr>
          <w:rStyle w:val="Strong"/>
          <w:rFonts w:ascii="Times New Roman" w:hAnsi="Times New Roman" w:cs="Times New Roman"/>
          <w:b w:val="0"/>
          <w:bCs w:val="0"/>
          <w:color w:val="auto"/>
          <w:sz w:val="24"/>
          <w:szCs w:val="24"/>
          <w:lang w:val="en-AU"/>
        </w:rPr>
        <w:t xml:space="preserve"> kg</w:t>
      </w:r>
      <w:r w:rsidR="00CF40B7" w:rsidRPr="003A1A2E">
        <w:rPr>
          <w:rFonts w:ascii="Times New Roman" w:hAnsi="Times New Roman" w:cs="Times New Roman"/>
          <w:color w:val="auto"/>
          <w:sz w:val="24"/>
          <w:szCs w:val="24"/>
          <w:lang w:val="en-AU"/>
        </w:rPr>
        <w:t>)</w:t>
      </w:r>
      <w:r w:rsidR="00CF40B7" w:rsidRPr="003A1A2E">
        <w:rPr>
          <w:rFonts w:ascii="Times New Roman" w:hAnsi="Times New Roman" w:cs="Times New Roman"/>
          <w:color w:val="auto"/>
          <w:kern w:val="1"/>
          <w:sz w:val="24"/>
          <w:szCs w:val="24"/>
          <w:lang w:val="en-AU"/>
        </w:rPr>
        <w:t xml:space="preserve"> </w:t>
      </w:r>
      <w:r w:rsidR="00CF40B7" w:rsidRPr="003A1A2E">
        <w:rPr>
          <w:rFonts w:ascii="Times New Roman" w:hAnsi="Times New Roman" w:cs="Times New Roman"/>
          <w:color w:val="auto"/>
          <w:sz w:val="24"/>
          <w:szCs w:val="24"/>
          <w:lang w:val="en-AU"/>
        </w:rPr>
        <w:t>were recruited from running clubs around Southeast Queensland, Australia.</w:t>
      </w:r>
      <w:r w:rsidR="00CF40B7" w:rsidRPr="003A1A2E">
        <w:rPr>
          <w:rStyle w:val="Strong"/>
          <w:rFonts w:ascii="Times New Roman" w:hAnsi="Times New Roman" w:cs="Times New Roman"/>
          <w:b w:val="0"/>
          <w:bCs w:val="0"/>
          <w:color w:val="auto"/>
          <w:sz w:val="24"/>
          <w:szCs w:val="24"/>
          <w:lang w:val="en-AU"/>
        </w:rPr>
        <w:t xml:space="preserve"> They had </w:t>
      </w:r>
      <w:r w:rsidR="00CF40B7" w:rsidRPr="003A1A2E">
        <w:rPr>
          <w:rFonts w:ascii="Times New Roman" w:hAnsi="Times New Roman" w:cs="Times New Roman"/>
          <w:color w:val="auto"/>
          <w:kern w:val="1"/>
          <w:sz w:val="24"/>
          <w:szCs w:val="24"/>
          <w:lang w:val="en-AU"/>
        </w:rPr>
        <w:t>a running routine of more than twice weekly for more than 4 months. T</w:t>
      </w:r>
      <w:r w:rsidR="00CF40B7" w:rsidRPr="003A1A2E">
        <w:rPr>
          <w:rStyle w:val="Strong"/>
          <w:rFonts w:ascii="Times New Roman" w:hAnsi="Times New Roman" w:cs="Times New Roman"/>
          <w:b w:val="0"/>
          <w:bCs w:val="0"/>
          <w:color w:val="auto"/>
          <w:sz w:val="24"/>
          <w:szCs w:val="24"/>
          <w:lang w:val="en-AU"/>
        </w:rPr>
        <w:t xml:space="preserve">he AT group had a running routine of 39.4 </w:t>
      </w:r>
      <w:r w:rsidR="00CF40B7" w:rsidRPr="003A1A2E">
        <w:rPr>
          <w:rFonts w:ascii="Times New Roman" w:hAnsi="Times New Roman" w:cs="Times New Roman"/>
          <w:color w:val="auto"/>
          <w:sz w:val="24"/>
          <w:szCs w:val="24"/>
          <w:lang w:val="en-AU"/>
        </w:rPr>
        <w:t xml:space="preserve">± 16.6 </w:t>
      </w:r>
      <w:r w:rsidR="00CF40B7" w:rsidRPr="003A1A2E">
        <w:rPr>
          <w:rStyle w:val="Strong"/>
          <w:rFonts w:ascii="Times New Roman" w:hAnsi="Times New Roman" w:cs="Times New Roman"/>
          <w:b w:val="0"/>
          <w:bCs w:val="0"/>
          <w:color w:val="auto"/>
          <w:sz w:val="24"/>
          <w:szCs w:val="24"/>
          <w:lang w:val="en-AU"/>
        </w:rPr>
        <w:t xml:space="preserve">km/week and the control group, 29.1 </w:t>
      </w:r>
      <w:r w:rsidR="00CF40B7" w:rsidRPr="003A1A2E">
        <w:rPr>
          <w:rFonts w:ascii="Times New Roman" w:hAnsi="Times New Roman" w:cs="Times New Roman"/>
          <w:color w:val="auto"/>
          <w:sz w:val="24"/>
          <w:szCs w:val="24"/>
          <w:lang w:val="en-AU"/>
        </w:rPr>
        <w:t>± 13.3</w:t>
      </w:r>
      <w:r w:rsidR="00CF40B7" w:rsidRPr="003A1A2E">
        <w:rPr>
          <w:rStyle w:val="Strong"/>
          <w:rFonts w:ascii="Times New Roman" w:hAnsi="Times New Roman" w:cs="Times New Roman"/>
          <w:b w:val="0"/>
          <w:bCs w:val="0"/>
          <w:color w:val="auto"/>
          <w:sz w:val="24"/>
          <w:szCs w:val="24"/>
          <w:lang w:val="en-AU"/>
        </w:rPr>
        <w:t xml:space="preserve"> km/week.  These runners</w:t>
      </w:r>
      <w:r w:rsidR="00CF40B7" w:rsidRPr="003A1A2E">
        <w:rPr>
          <w:rFonts w:ascii="Times New Roman" w:hAnsi="Times New Roman" w:cs="Times New Roman"/>
          <w:color w:val="auto"/>
          <w:sz w:val="24"/>
          <w:szCs w:val="24"/>
          <w:lang w:val="en-AU"/>
        </w:rPr>
        <w:t xml:space="preserve"> also participated in a previous study from our laboratory</w:t>
      </w:r>
      <w:r w:rsidR="00D87B12">
        <w:rPr>
          <w:rFonts w:ascii="Times New Roman" w:hAnsi="Times New Roman" w:cs="Times New Roman"/>
          <w:color w:val="auto"/>
          <w:sz w:val="24"/>
          <w:szCs w:val="24"/>
          <w:lang w:val="en-AU"/>
        </w:rPr>
        <w:fldChar w:fldCharType="begin" w:fldLock="1"/>
      </w:r>
      <w:r w:rsidR="00C41D3B">
        <w:rPr>
          <w:rFonts w:ascii="Times New Roman" w:hAnsi="Times New Roman" w:cs="Times New Roman"/>
          <w:color w:val="auto"/>
          <w:sz w:val="24"/>
          <w:szCs w:val="24"/>
          <w:lang w:val="en-AU"/>
        </w:rPr>
        <w:instrText>ADDIN CSL_CITATION {"citationItems":[{"id":"ITEM-1","itemData":{"DOI":"10.1111/sms.14111","ISSN":"0905-7188","author":[{"dropping-particle":"","family":"Fernandes","given":"Gabriel L.","non-dropping-particle":"","parse-names":false,"suffix":""},{"dropping-particle":"","family":"Orssatto","given":"Lucas B. R.","non-dropping-particle":"","parse-names":false,"suffix":""},{"dropping-particle":"","family":"Shield","given":"Anthony J.","non-dropping-particle":"","parse-names":false,"suffix":""},{"dropping-particle":"","family":"Trajano","given":"Gabriel S.","non-dropping-particle":"","parse-names":false,"suffix":""}],"container-title":"Scandinavian Journal of Medicine &amp; Science in Sports","id":"ITEM-1","issued":{"date-parts":[["2021"]]},"page":"1-18","title":"Runners with mid‐portion Achilles tendinopathy have greater triceps surae intracortical inhibition than healthy controls","type":"article-journal"},"uris":["http://www.mendeley.com/documents/?uuid=d7f8323b-de56-4e24-be17-0a902e03adad","http://www.mendeley.com/documents/?uuid=985b014d-8ecf-4ccf-8f5c-2d891a3ac9cd"]},{"id":"ITEM-2","itemData":{"DOI":"10.1007/s00421-022-05089-w","ISBN":"0000000337","abstract":"Objectives Deficits in muscle performance could be a consequence of a reduced ability of a motor neuron to increase the rate in which it discharges. This study aimed to investigate motor unit (MU) discharge properties of each Triceps surae muscle (TS), and TS torque steadiness during submaximal intensities in runners with Achilles tendinopathy (AT).\n\nMethods We recruited runners with (n=12) and without (n=13) mid-portion AT. MU discharge rate was analysed for each of the TS muscles, using High-Density surface electromyography during 10 and 20% isometric plantar flexor contractions.\n\nResults MU mean discharge rate was lower in the Gastrocnemius lateralis (GL) in AT compared to controls. In AT, GL MU mean discharge rate did not increase as torque increased from 10% peak torque, 8.24pps (95%CI: 7.08 to 9.41) to 20%, 8.52pps (7.41 to 9.63, p=0.540); however, in controls, MU discharge rate increased as torque increased from 10%, 8.39pps (7.25 to 9.53) to 20%, 10.07pps (8.89 to 11.25, p&lt;0.001). There were no between-group difference in Gastrocnemius medialis (GM) or Soleus (SOL) MU discharge rates. We found no between-groups differences in coefficient of variation of MU discharge rate in any of the TS muscles nor in TS torque steadiness.\n\nConclusion Our data demonstrates that runners with AT may have a reduced neural drive to GL, failing to increase MU discharge rate to adjust for the increase in torque demand. Further research is needed to understand how interventions focusing on increasing neural drive to GL would affect muscle function in runners with AT.\n\n### Competing Interest Statement\n\nThe authors have declared no competing interest.\n\n### Funding Statement\n\nThe authors declare having received no funding for this study.\n\n###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below:\n\nThis study was approved by the Queensland University of Technology Human Research and Ethics Committee in line with the Declaration of Helsinki.\n\nI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c…","author":[{"dropping-particle":"","family":"Fernandes","given":"Gabriel L.","non-dropping-particle":"","parse-names":false,"suffix":""},{"dropping-particle":"","family":"Orssatto","given":"Lucas B. R.","non-dropping-particle":"","parse-names":false,"suffix":""},{"dropping-particle":"","family":"Sakugawa","given":"Raphael L.","non-dropping-particle":"","parse-names":false,"suffix":""},{"dropping-particle":"","family":"Trajano","given":"Gabriel S.","non-dropping-particle":"","parse-names":false,"suffix":""}],"container-title":"European Journal of Applied Physiology","id":"ITEM-2","issue":"accepted for publication","issued":{"date-parts":[["2022"]]},"page":"2022.05.05.22274750","title":"Lower motor unit discharge rates in gastrocnemius lateralis, but not in gastrocnemius medialis or soleus, in runners with Achilles tendinopathy: a pilot study.","type":"article-journal"},"uris":["http://www.mendeley.com/documents/?uuid=a52a864d-f92a-4388-9c74-14fbd638a26d"]}],"mendeley":{"formattedCitation":"&lt;sup&gt;15,20&lt;/sup&gt;","plainTextFormattedCitation":"15,20","previouslyFormattedCitation":"&lt;sup&gt;15,20&lt;/sup&gt;"},"properties":{"noteIndex":0},"schema":"https://github.com/citation-style-language/schema/raw/master/csl-citation.json"}</w:instrText>
      </w:r>
      <w:r w:rsidR="00D87B12">
        <w:rPr>
          <w:rFonts w:ascii="Times New Roman" w:hAnsi="Times New Roman" w:cs="Times New Roman"/>
          <w:color w:val="auto"/>
          <w:sz w:val="24"/>
          <w:szCs w:val="24"/>
          <w:lang w:val="en-AU"/>
        </w:rPr>
        <w:fldChar w:fldCharType="separate"/>
      </w:r>
      <w:r w:rsidR="00D87B12" w:rsidRPr="00D87B12">
        <w:rPr>
          <w:rFonts w:ascii="Times New Roman" w:hAnsi="Times New Roman" w:cs="Times New Roman"/>
          <w:noProof/>
          <w:color w:val="auto"/>
          <w:sz w:val="24"/>
          <w:szCs w:val="24"/>
          <w:vertAlign w:val="superscript"/>
          <w:lang w:val="en-AU"/>
        </w:rPr>
        <w:t>15,20</w:t>
      </w:r>
      <w:r w:rsidR="00D87B12">
        <w:rPr>
          <w:rFonts w:ascii="Times New Roman" w:hAnsi="Times New Roman" w:cs="Times New Roman"/>
          <w:color w:val="auto"/>
          <w:sz w:val="24"/>
          <w:szCs w:val="24"/>
          <w:lang w:val="en-AU"/>
        </w:rPr>
        <w:fldChar w:fldCharType="end"/>
      </w:r>
      <w:r w:rsidR="00CF40B7" w:rsidRPr="003A1A2E">
        <w:rPr>
          <w:rFonts w:ascii="Times New Roman" w:hAnsi="Times New Roman" w:cs="Times New Roman"/>
          <w:color w:val="auto"/>
          <w:sz w:val="24"/>
          <w:szCs w:val="24"/>
          <w:lang w:val="en-AU"/>
        </w:rPr>
        <w:t xml:space="preserve"> where strength and endurance values were reported.</w:t>
      </w:r>
    </w:p>
    <w:p w14:paraId="118F155E" w14:textId="558DFA6C" w:rsidR="005E64CF" w:rsidRPr="003A1A2E" w:rsidRDefault="00CF40B7" w:rsidP="00CF40B7">
      <w:pPr>
        <w:pStyle w:val="BodyA"/>
        <w:spacing w:after="0"/>
        <w:rPr>
          <w:rFonts w:ascii="Times New Roman" w:hAnsi="Times New Roman" w:cs="Times New Roman"/>
          <w:color w:val="auto"/>
          <w:sz w:val="24"/>
          <w:szCs w:val="24"/>
          <w:lang w:val="en-AU"/>
        </w:rPr>
      </w:pPr>
      <w:bookmarkStart w:id="7" w:name="_Hlk83305727"/>
      <w:r w:rsidRPr="003A1A2E">
        <w:rPr>
          <w:rFonts w:ascii="Times New Roman" w:hAnsi="Times New Roman" w:cs="Times New Roman"/>
          <w:color w:val="auto"/>
          <w:sz w:val="24"/>
          <w:szCs w:val="24"/>
          <w:lang w:val="en-AU"/>
        </w:rPr>
        <w:t>Diagnosis of mid-portion AT was confirmed by an experienced physiotherapist (GLF) during examination considering: a)</w:t>
      </w:r>
      <w:bookmarkEnd w:id="7"/>
      <w:r w:rsidRPr="003A1A2E">
        <w:rPr>
          <w:rFonts w:ascii="Times New Roman" w:hAnsi="Times New Roman" w:cs="Times New Roman"/>
          <w:color w:val="auto"/>
          <w:sz w:val="24"/>
          <w:szCs w:val="24"/>
          <w:lang w:val="en-AU"/>
        </w:rPr>
        <w:t xml:space="preserve"> localised mid-portion Achilles tendon pain, for more than three months, b) pain provoked by physical activities that load the Achilles tendon in a dose dependent way, and c) pain with palpation at the mid portion of tendon</w:t>
      </w:r>
      <w:r w:rsidR="00AA7317" w:rsidRPr="003A1A2E">
        <w:rPr>
          <w:rFonts w:ascii="Times New Roman" w:hAnsi="Times New Roman" w:cs="Times New Roman"/>
          <w:color w:val="auto"/>
          <w:sz w:val="24"/>
          <w:szCs w:val="24"/>
          <w:lang w:val="en-AU"/>
        </w:rPr>
        <w:t>.</w:t>
      </w:r>
      <w:bookmarkEnd w:id="6"/>
      <w:r w:rsidR="00AA7317" w:rsidRPr="003A1A2E">
        <w:rPr>
          <w:rFonts w:ascii="Times New Roman" w:hAnsi="Times New Roman" w:cs="Times New Roman"/>
          <w:color w:val="auto"/>
          <w:sz w:val="24"/>
          <w:szCs w:val="24"/>
          <w:lang w:val="en-AU"/>
        </w:rPr>
        <w:t xml:space="preserve"> </w:t>
      </w:r>
      <w:r w:rsidRPr="003A1A2E">
        <w:rPr>
          <w:rFonts w:ascii="Times New Roman" w:hAnsi="Times New Roman" w:cs="Times New Roman"/>
          <w:color w:val="auto"/>
          <w:sz w:val="24"/>
          <w:szCs w:val="24"/>
          <w:lang w:val="en-AU"/>
        </w:rPr>
        <w:t xml:space="preserve">Volunteers were excluded if presenting with insertional AT; if they have had previous rupture </w:t>
      </w:r>
      <w:r w:rsidR="005F036E">
        <w:rPr>
          <w:rFonts w:ascii="Times New Roman" w:hAnsi="Times New Roman" w:cs="Times New Roman"/>
          <w:color w:val="auto"/>
          <w:sz w:val="24"/>
          <w:szCs w:val="24"/>
          <w:lang w:val="en-AU"/>
        </w:rPr>
        <w:t xml:space="preserve">of </w:t>
      </w:r>
      <w:r w:rsidRPr="003A1A2E">
        <w:rPr>
          <w:rFonts w:ascii="Times New Roman" w:hAnsi="Times New Roman" w:cs="Times New Roman"/>
          <w:color w:val="auto"/>
          <w:sz w:val="24"/>
          <w:szCs w:val="24"/>
          <w:lang w:val="en-AU"/>
        </w:rPr>
        <w:t>or surgery o</w:t>
      </w:r>
      <w:r w:rsidR="005F036E">
        <w:rPr>
          <w:rFonts w:ascii="Times New Roman" w:hAnsi="Times New Roman" w:cs="Times New Roman"/>
          <w:color w:val="auto"/>
          <w:sz w:val="24"/>
          <w:szCs w:val="24"/>
          <w:lang w:val="en-AU"/>
        </w:rPr>
        <w:t>n</w:t>
      </w:r>
      <w:r w:rsidRPr="003A1A2E">
        <w:rPr>
          <w:rFonts w:ascii="Times New Roman" w:hAnsi="Times New Roman" w:cs="Times New Roman"/>
          <w:color w:val="auto"/>
          <w:sz w:val="24"/>
          <w:szCs w:val="24"/>
          <w:lang w:val="en-AU"/>
        </w:rPr>
        <w:t xml:space="preserve"> the Achilles tendon; clinical findings indicating a differential diagnosis for the Achilles tendon </w:t>
      </w:r>
      <w:r w:rsidRPr="003A1A2E">
        <w:rPr>
          <w:rFonts w:ascii="Times New Roman" w:hAnsi="Times New Roman" w:cs="Times New Roman"/>
          <w:color w:val="auto"/>
          <w:sz w:val="24"/>
          <w:szCs w:val="24"/>
          <w:lang w:val="en-AU"/>
        </w:rPr>
        <w:lastRenderedPageBreak/>
        <w:t xml:space="preserve">pain (such as tendon tear); regular participation in other sports involving high speed running (football, rugby, AFL etc), VISA-A score &gt; 90 points for AT group, and &lt; 100 for the control group;  any other current musculoskeletal injuries of the lower limb; any neurological disorder; or mental health issues affecting consent. </w:t>
      </w:r>
      <w:bookmarkStart w:id="8" w:name="_Hlk83284152"/>
      <w:bookmarkStart w:id="9" w:name="_Hlk83917452"/>
      <w:r w:rsidRPr="003A1A2E">
        <w:rPr>
          <w:rFonts w:ascii="Times New Roman" w:hAnsi="Times New Roman" w:cs="Times New Roman"/>
          <w:color w:val="auto"/>
          <w:sz w:val="24"/>
          <w:szCs w:val="24"/>
          <w:lang w:val="en-AU"/>
        </w:rPr>
        <w:t xml:space="preserve">All participants </w:t>
      </w:r>
      <w:r w:rsidR="00B27A07">
        <w:rPr>
          <w:rFonts w:ascii="Times New Roman" w:hAnsi="Times New Roman" w:cs="Times New Roman"/>
          <w:color w:val="auto"/>
          <w:sz w:val="24"/>
          <w:szCs w:val="24"/>
          <w:lang w:val="en-AU"/>
        </w:rPr>
        <w:t xml:space="preserve">reported being </w:t>
      </w:r>
      <w:r w:rsidRPr="003A1A2E">
        <w:rPr>
          <w:rFonts w:ascii="Times New Roman" w:hAnsi="Times New Roman" w:cs="Times New Roman"/>
          <w:color w:val="auto"/>
          <w:sz w:val="24"/>
          <w:szCs w:val="24"/>
          <w:lang w:val="en-AU"/>
        </w:rPr>
        <w:t>free of comorbidities such as cardiac, pulmonary, renal, endocrine or gastrointestinal disease and were not taking any medication for tendon pain or that would affect tendon structur</w:t>
      </w:r>
      <w:bookmarkEnd w:id="8"/>
      <w:bookmarkEnd w:id="9"/>
      <w:r w:rsidRPr="003A1A2E">
        <w:rPr>
          <w:rFonts w:ascii="Times New Roman" w:hAnsi="Times New Roman" w:cs="Times New Roman"/>
          <w:color w:val="auto"/>
          <w:sz w:val="24"/>
          <w:szCs w:val="24"/>
          <w:lang w:val="en-AU"/>
        </w:rPr>
        <w:t>e</w:t>
      </w:r>
      <w:r w:rsidRPr="003A1A2E">
        <w:rPr>
          <w:rFonts w:ascii="Times New Roman" w:hAnsi="Times New Roman" w:cs="Times New Roman"/>
          <w:color w:val="auto"/>
          <w:sz w:val="24"/>
          <w:szCs w:val="24"/>
          <w:lang w:val="en-AU"/>
        </w:rPr>
        <w:fldChar w:fldCharType="begin" w:fldLock="1"/>
      </w:r>
      <w:r w:rsidR="00D87B12">
        <w:rPr>
          <w:rFonts w:ascii="Times New Roman" w:hAnsi="Times New Roman" w:cs="Times New Roman"/>
          <w:color w:val="auto"/>
          <w:sz w:val="24"/>
          <w:szCs w:val="24"/>
          <w:lang w:val="en-AU"/>
        </w:rPr>
        <w:instrText>ADDIN CSL_CITATION {"citationItems":[{"id":"ITEM-1","itemData":{"DOI":"10.1007/978-3-319-33943-6_22","ISBN":"978-3-319-33943-6","abstract":"Drug-induced tendon disorders are an often underestimated risk factor. The range from detrimental effects on the tendon include tendinopathy as well as potentially tendon rupture. As for today, four main drug classes have been reported to be associated with potentially deteriorated tendon properties: 1. Corticosteroids, 2. Chinolon antibiotics, 3. Aromatase inhbitors, 4. Statins as HMG-CoA-reductase inhibitors. Most often, the Achilles tendon is affected in terms of tendinopathy and/or subsequent tendon rupture. However, nearly every tendon of the entire body might be affected in a detrimental way by one or a combination of the aformentioned agents.","author":[{"dropping-particle":"","family":"Knobloch","given":"Karsten","non-dropping-particle":"","parse-names":false,"suffix":""}],"container-title":"Metabolic Influences on Risk for Tendon Disorders","editor":[{"dropping-particle":"","family":"Ackermann","given":"Paul W","non-dropping-particle":"","parse-names":false,"suffix":""},{"dropping-particle":"","family":"Hart","given":"David A","non-dropping-particle":"","parse-names":false,"suffix":""}],"id":"ITEM-1","issued":{"date-parts":[["2016"]]},"page":"229-238","publisher":"Springer International Publishing","publisher-place":"Cham","title":"Drug-Induced Tendon Disorders","type":"chapter"},"uris":["http://www.mendeley.com/documents/?uuid=88b992d8-1e46-40b2-9472-d4fbee4177db"]}],"mendeley":{"formattedCitation":"&lt;sup&gt;21&lt;/sup&gt;","plainTextFormattedCitation":"21","previouslyFormattedCitation":"&lt;sup&gt;21&lt;/sup&gt;"},"properties":{"noteIndex":0},"schema":"https://github.com/citation-style-language/schema/raw/master/csl-citation.json"}</w:instrText>
      </w:r>
      <w:r w:rsidRPr="003A1A2E">
        <w:rPr>
          <w:rFonts w:ascii="Times New Roman" w:hAnsi="Times New Roman" w:cs="Times New Roman"/>
          <w:color w:val="auto"/>
          <w:sz w:val="24"/>
          <w:szCs w:val="24"/>
          <w:lang w:val="en-AU"/>
        </w:rPr>
        <w:fldChar w:fldCharType="separate"/>
      </w:r>
      <w:r w:rsidR="00D87B12" w:rsidRPr="00D87B12">
        <w:rPr>
          <w:rFonts w:ascii="Times New Roman" w:hAnsi="Times New Roman" w:cs="Times New Roman"/>
          <w:noProof/>
          <w:color w:val="auto"/>
          <w:sz w:val="24"/>
          <w:szCs w:val="24"/>
          <w:vertAlign w:val="superscript"/>
          <w:lang w:val="en-AU"/>
        </w:rPr>
        <w:t>21</w:t>
      </w:r>
      <w:r w:rsidRPr="003A1A2E">
        <w:rPr>
          <w:rFonts w:ascii="Times New Roman" w:hAnsi="Times New Roman" w:cs="Times New Roman"/>
          <w:color w:val="auto"/>
          <w:sz w:val="24"/>
          <w:szCs w:val="24"/>
          <w:lang w:val="en-AU"/>
        </w:rPr>
        <w:fldChar w:fldCharType="end"/>
      </w:r>
      <w:r w:rsidRPr="003A1A2E">
        <w:rPr>
          <w:rFonts w:ascii="Times New Roman" w:hAnsi="Times New Roman" w:cs="Times New Roman"/>
          <w:color w:val="auto"/>
          <w:sz w:val="24"/>
          <w:szCs w:val="24"/>
          <w:lang w:val="en-AU"/>
        </w:rPr>
        <w:t>. Prior to testing, all participants read and signed a detailed informed consent document and completed the VISA-A questionnaire</w:t>
      </w:r>
      <w:r w:rsidRPr="003A1A2E">
        <w:rPr>
          <w:rFonts w:ascii="Times New Roman" w:hAnsi="Times New Roman" w:cs="Times New Roman"/>
          <w:color w:val="auto"/>
          <w:sz w:val="24"/>
          <w:szCs w:val="24"/>
          <w:lang w:val="en-AU"/>
        </w:rPr>
        <w:fldChar w:fldCharType="begin" w:fldLock="1"/>
      </w:r>
      <w:r w:rsidR="00D87B12">
        <w:rPr>
          <w:rFonts w:ascii="Times New Roman" w:hAnsi="Times New Roman" w:cs="Times New Roman"/>
          <w:color w:val="auto"/>
          <w:sz w:val="24"/>
          <w:szCs w:val="24"/>
          <w:lang w:val="en-AU"/>
        </w:rPr>
        <w:instrText>ADDIN CSL_CITATION {"citationItems":[{"id":"ITEM-1","itemData":{"ISSN":"01906011","abstract":"® . The information and recommendations summarize the impact for practice of the referenced research article. For a full discussion of the findings, please see the article itself. The official journal of the Orthopaedic Section and the Sports Physical Therapy Section of the American Physical Therapy Association (APTA) and a recognized journal with 36 international partners, JOSPT strives to offer high-quality research, immediately applicable clinical material, and useful supplemental information on musculoskeletal and sports-related health, injury, and rehabilitation. Copyright ©2018 Journal of Orthopaedic &amp; Sports Physical Therapy ® Diagnostic indicators • Redness, warmth, and swelling • d3 mo in duration • High levels of pain limiting low-level activity (ie, walking) Diagnostic indicators • No redness, warmth, and swelling • &gt;3 mo in duration • Pain after the onset of or after completing higher-level activity (ie, jumping and running) Diagnosis/Classification of Midportion Achilles Tendinopathy—Evaluation of Clinical Findings Assessment Acute Nonacute Intervention Strategies Achilles Pain, Stiiness, and Muscle Power Deficits: Midportion Achilles Tendinopathy—Care Process Model Patient-reported outcome measures – A • VISA-A for pain and stiiness • FAAM or LEFS for self-reported activity and participation restriction Physical impairment measures – B • Ankle dorsiflexion range of motion • Subtalar joint range of motion • Plantar flexion strength and endurance • Static arch height • Forefoot alignment • Pain with palpation Physical performance measures – B • Hop tests • Heel-raise endurance test Pain and inflammation • Iontophoresis with dexamethasone – B Loss of motion • Stretching of ankle plantar flexors with knee flexed and extended – C • Joint and/or soft tissue mobilization – F Painful motion • Rigid taping – F Include patient education to continue activity within pain tolerance (B) and counseling (E) on theories, risk factors, and time course for recovery Exercise • Mechanical loading exercises: eccentric, concentric/eccentric, or heavy load and slow speed – A Loss of motion • Stretching of ankle plantar flexors with knee flexed and extended – C • Joint and/or soft tissue mobilization – F Painful motion • Rigid taping – F Abnormal lower-quarter musculoskeletal and biomechanical findings • Neuromuscular exercise for lower extremity impairments – F Include patient education to continue activity within pain tolerance (B) and counseling (E) on theories…","author":[{"dropping-particle":"","family":"Martin","given":"Robroy L.","non-dropping-particle":"","parse-names":false,"suffix":""},{"dropping-particle":"","family":"Chimenti","given":"Ruth","non-dropping-particle":"","parse-names":false,"suffix":""},{"dropping-particle":"","family":"Cuddeford","given":"Tyler","non-dropping-particle":"","parse-names":false,"suffix":""},{"dropping-particle":"","family":"Houck","given":"Jeff","non-dropping-particle":"","parse-names":false,"suffix":""},{"dropping-particle":"","family":"Matheson","given":"J. W.","non-dropping-particle":"","parse-names":false,"suffix":""},{"dropping-particle":"","family":"McDonough","given":"Christine M.","non-dropping-particle":"","parse-names":false,"suffix":""},{"dropping-particle":"","family":"Paulseth","given":"Stephen","non-dropping-particle":"","parse-names":false,"suffix":""},{"dropping-particle":"","family":"Wukich","given":"Dane K.","non-dropping-particle":"","parse-names":false,"suffix":""},{"dropping-particle":"","family":"Carcia","given":"Christopher R.","non-dropping-particle":"","parse-names":false,"suffix":""},{"dropping-particle":"","family":"Questionnaire","given":"N This","non-dropping-particle":"","parse-names":false,"suffix":""},{"dropping-particle":"","family":"Term","given":"T H E","non-dropping-particle":"","parse-names":false,"suffix":""},{"dropping-particle":"","family":"Refers","given":"Pain","non-dropping-particle":"","parse-names":false,"suffix":""},{"dropping-particle":"","family":"To","given":"Specifically","non-dropping-particle":"","parse-names":false,"suffix":""},{"dropping-particle":"","family":"In","given":"Pain","non-dropping-particle":"","parse-names":false,"suffix":""},{"dropping-particle":"","family":"Region","given":"Tendon","non-dropping-particle":"","parse-names":false,"suffix":""}],"container-title":"Journal of Orthopaedic and Sports Physical Therapy","id":"ITEM-1","issue":"5","issued":{"date-parts":[["2018"]]},"page":"9-11","title":"The VISA-A questionnaire: An index of the severity of Achilles tendinopathy I","type":"article-journal","volume":"48"},"uris":["http://www.mendeley.com/documents/?uuid=7d101564-e6fe-436b-8e1c-dec8b9617206"]}],"mendeley":{"formattedCitation":"&lt;sup&gt;22&lt;/sup&gt;","plainTextFormattedCitation":"22","previouslyFormattedCitation":"&lt;sup&gt;22&lt;/sup&gt;"},"properties":{"noteIndex":0},"schema":"https://github.com/citation-style-language/schema/raw/master/csl-citation.json"}</w:instrText>
      </w:r>
      <w:r w:rsidRPr="003A1A2E">
        <w:rPr>
          <w:rFonts w:ascii="Times New Roman" w:hAnsi="Times New Roman" w:cs="Times New Roman"/>
          <w:color w:val="auto"/>
          <w:sz w:val="24"/>
          <w:szCs w:val="24"/>
          <w:lang w:val="en-AU"/>
        </w:rPr>
        <w:fldChar w:fldCharType="separate"/>
      </w:r>
      <w:r w:rsidR="00D87B12" w:rsidRPr="00D87B12">
        <w:rPr>
          <w:rFonts w:ascii="Times New Roman" w:hAnsi="Times New Roman" w:cs="Times New Roman"/>
          <w:noProof/>
          <w:color w:val="auto"/>
          <w:sz w:val="24"/>
          <w:szCs w:val="24"/>
          <w:vertAlign w:val="superscript"/>
          <w:lang w:val="en-AU"/>
        </w:rPr>
        <w:t>22</w:t>
      </w:r>
      <w:r w:rsidRPr="003A1A2E">
        <w:rPr>
          <w:rFonts w:ascii="Times New Roman" w:hAnsi="Times New Roman" w:cs="Times New Roman"/>
          <w:color w:val="auto"/>
          <w:sz w:val="24"/>
          <w:szCs w:val="24"/>
          <w:lang w:val="en-AU"/>
        </w:rPr>
        <w:fldChar w:fldCharType="end"/>
      </w:r>
      <w:r w:rsidRPr="003A1A2E">
        <w:rPr>
          <w:rFonts w:ascii="Times New Roman" w:hAnsi="Times New Roman" w:cs="Times New Roman"/>
          <w:color w:val="auto"/>
          <w:sz w:val="24"/>
          <w:szCs w:val="24"/>
          <w:lang w:val="en-AU"/>
        </w:rPr>
        <w:t xml:space="preserve">. </w:t>
      </w:r>
      <w:r w:rsidRPr="003A1A2E">
        <w:rPr>
          <w:rStyle w:val="Strong"/>
          <w:rFonts w:ascii="Times New Roman" w:hAnsi="Times New Roman" w:cs="Times New Roman"/>
          <w:b w:val="0"/>
          <w:bCs w:val="0"/>
          <w:color w:val="auto"/>
          <w:sz w:val="24"/>
          <w:szCs w:val="24"/>
          <w:lang w:val="en-AU"/>
        </w:rPr>
        <w:t>The average VISA-A score for the AT group was 69.2 (95% CI 63.4 to 75) and 100 (0) for the control group.</w:t>
      </w:r>
      <w:r w:rsidRPr="003A1A2E">
        <w:rPr>
          <w:rFonts w:ascii="Times New Roman" w:hAnsi="Times New Roman" w:cs="Times New Roman"/>
          <w:color w:val="auto"/>
          <w:sz w:val="24"/>
          <w:szCs w:val="24"/>
          <w:lang w:val="en-AU"/>
        </w:rPr>
        <w:t xml:space="preserve"> This study was approved by the Queensland University of Technology Human Research and Ethics Committee in line with the Declaration of Helsinki. Data collection was conducted during the COVID-19 pandemic and all safety procedures followed local state government policies.</w:t>
      </w:r>
    </w:p>
    <w:p w14:paraId="516DB50A" w14:textId="77777777" w:rsidR="006947F5" w:rsidRPr="003A1A2E" w:rsidRDefault="006947F5" w:rsidP="00504A0D">
      <w:pPr>
        <w:pStyle w:val="BodyA"/>
        <w:spacing w:after="0"/>
        <w:ind w:firstLine="0"/>
        <w:rPr>
          <w:rFonts w:ascii="Times New Roman" w:hAnsi="Times New Roman" w:cs="Times New Roman"/>
          <w:color w:val="auto"/>
          <w:lang w:val="en-AU"/>
        </w:rPr>
      </w:pPr>
    </w:p>
    <w:p w14:paraId="0F850055" w14:textId="1BC205EF" w:rsidR="00FD0C3C" w:rsidRPr="003A1A2E" w:rsidRDefault="006E48F0" w:rsidP="00504A0D">
      <w:pPr>
        <w:autoSpaceDE w:val="0"/>
        <w:autoSpaceDN w:val="0"/>
        <w:adjustRightInd w:val="0"/>
        <w:spacing w:line="480" w:lineRule="auto"/>
        <w:jc w:val="both"/>
        <w:rPr>
          <w:i/>
          <w:iCs/>
        </w:rPr>
      </w:pPr>
      <w:r w:rsidRPr="003A1A2E">
        <w:rPr>
          <w:i/>
          <w:iCs/>
        </w:rPr>
        <w:t>2.</w:t>
      </w:r>
      <w:r w:rsidR="00FD712D" w:rsidRPr="003A1A2E">
        <w:rPr>
          <w:i/>
          <w:iCs/>
        </w:rPr>
        <w:t>1</w:t>
      </w:r>
      <w:r w:rsidRPr="003A1A2E">
        <w:rPr>
          <w:i/>
          <w:iCs/>
        </w:rPr>
        <w:t xml:space="preserve"> </w:t>
      </w:r>
      <w:r w:rsidR="00735F3A" w:rsidRPr="003A1A2E">
        <w:rPr>
          <w:i/>
          <w:iCs/>
        </w:rPr>
        <w:t>Torque acquisition</w:t>
      </w:r>
    </w:p>
    <w:p w14:paraId="3A4FC29B" w14:textId="414DCA1C" w:rsidR="00FD0C3C" w:rsidRPr="003A1A2E" w:rsidRDefault="00EB1D19" w:rsidP="00A73603">
      <w:pPr>
        <w:pStyle w:val="BodyA"/>
        <w:spacing w:after="0"/>
        <w:rPr>
          <w:rFonts w:ascii="Times New Roman" w:hAnsi="Times New Roman" w:cs="Times New Roman"/>
          <w:color w:val="auto"/>
          <w:sz w:val="24"/>
          <w:szCs w:val="24"/>
          <w:lang w:val="en-AU"/>
        </w:rPr>
      </w:pPr>
      <w:r w:rsidRPr="003A1A2E">
        <w:rPr>
          <w:rFonts w:ascii="Times New Roman" w:hAnsi="Times New Roman" w:cs="Times New Roman"/>
          <w:color w:val="auto"/>
          <w:sz w:val="24"/>
          <w:szCs w:val="24"/>
          <w:lang w:val="en-AU"/>
        </w:rPr>
        <w:t xml:space="preserve">Plantar flexor isometric peak torque was measured using an isokinetic dynamometer (Biodex Medical Systems, Shirley, New York). </w:t>
      </w:r>
      <w:r w:rsidR="001933F7" w:rsidRPr="003A1A2E">
        <w:rPr>
          <w:rFonts w:ascii="Times New Roman" w:hAnsi="Times New Roman" w:cs="Times New Roman"/>
          <w:color w:val="auto"/>
          <w:sz w:val="24"/>
          <w:szCs w:val="24"/>
          <w:lang w:val="en-AU"/>
        </w:rPr>
        <w:t xml:space="preserve">For the bilateral AT presentations (n=3), the most symptomatic leg was used and for the control group, the dominant leg was used for testing. </w:t>
      </w:r>
      <w:bookmarkStart w:id="10" w:name="_Hlk83305127"/>
      <w:r w:rsidR="001933F7" w:rsidRPr="003A1A2E">
        <w:rPr>
          <w:rFonts w:ascii="Times New Roman" w:hAnsi="Times New Roman" w:cs="Times New Roman"/>
          <w:color w:val="auto"/>
          <w:sz w:val="24"/>
          <w:szCs w:val="24"/>
          <w:lang w:val="en-AU"/>
        </w:rPr>
        <w:t>Leg dominance</w:t>
      </w:r>
      <w:r w:rsidR="00374717" w:rsidRPr="003A1A2E">
        <w:rPr>
          <w:rFonts w:ascii="Times New Roman" w:hAnsi="Times New Roman" w:cs="Times New Roman"/>
          <w:color w:val="auto"/>
          <w:sz w:val="24"/>
          <w:szCs w:val="24"/>
          <w:lang w:val="en-AU"/>
        </w:rPr>
        <w:t xml:space="preserve"> </w:t>
      </w:r>
      <w:r w:rsidR="001933F7" w:rsidRPr="003A1A2E">
        <w:rPr>
          <w:rFonts w:ascii="Times New Roman" w:hAnsi="Times New Roman" w:cs="Times New Roman"/>
          <w:color w:val="auto"/>
          <w:sz w:val="24"/>
          <w:szCs w:val="24"/>
          <w:lang w:val="en-AU"/>
        </w:rPr>
        <w:t xml:space="preserve">was selected by asking the participants </w:t>
      </w:r>
      <w:r w:rsidR="00374717" w:rsidRPr="003A1A2E">
        <w:rPr>
          <w:rFonts w:ascii="Times New Roman" w:hAnsi="Times New Roman" w:cs="Times New Roman"/>
          <w:color w:val="auto"/>
          <w:sz w:val="24"/>
          <w:szCs w:val="24"/>
          <w:lang w:val="en-AU"/>
        </w:rPr>
        <w:t xml:space="preserve">which </w:t>
      </w:r>
      <w:r w:rsidR="001933F7" w:rsidRPr="003A1A2E">
        <w:rPr>
          <w:rFonts w:ascii="Times New Roman" w:hAnsi="Times New Roman" w:cs="Times New Roman"/>
          <w:color w:val="auto"/>
          <w:sz w:val="24"/>
          <w:szCs w:val="24"/>
          <w:lang w:val="en-AU"/>
        </w:rPr>
        <w:t xml:space="preserve">leg they would use to </w:t>
      </w:r>
      <w:bookmarkEnd w:id="10"/>
      <w:r w:rsidR="001933F7" w:rsidRPr="003A1A2E">
        <w:rPr>
          <w:rFonts w:ascii="Times New Roman" w:hAnsi="Times New Roman" w:cs="Times New Roman"/>
          <w:color w:val="auto"/>
          <w:sz w:val="24"/>
          <w:szCs w:val="24"/>
          <w:lang w:val="en-AU"/>
        </w:rPr>
        <w:t>kick a ball</w:t>
      </w:r>
      <w:r w:rsidRPr="003A1A2E">
        <w:rPr>
          <w:rFonts w:ascii="Times New Roman" w:hAnsi="Times New Roman" w:cs="Times New Roman"/>
          <w:color w:val="auto"/>
          <w:sz w:val="24"/>
          <w:szCs w:val="24"/>
          <w:lang w:val="en-AU"/>
        </w:rPr>
        <w:t>. Participants were positioned in a seated position (75</w:t>
      </w:r>
      <w:r w:rsidR="00413E5F" w:rsidRPr="003A1A2E">
        <w:rPr>
          <w:rFonts w:ascii="Times New Roman" w:hAnsi="Times New Roman" w:cs="Times New Roman"/>
          <w:color w:val="auto"/>
          <w:sz w:val="24"/>
          <w:szCs w:val="24"/>
          <w:lang w:val="en-AU"/>
        </w:rPr>
        <w:t xml:space="preserve">º </w:t>
      </w:r>
      <w:r w:rsidRPr="003A1A2E">
        <w:rPr>
          <w:rFonts w:ascii="Times New Roman" w:hAnsi="Times New Roman" w:cs="Times New Roman"/>
          <w:color w:val="auto"/>
          <w:sz w:val="24"/>
          <w:szCs w:val="24"/>
          <w:lang w:val="en-AU"/>
        </w:rPr>
        <w:t xml:space="preserve">of hip flexion) with their knee straight and </w:t>
      </w:r>
      <w:r w:rsidR="00B303F8" w:rsidRPr="003A1A2E">
        <w:rPr>
          <w:rFonts w:ascii="Times New Roman" w:hAnsi="Times New Roman" w:cs="Times New Roman"/>
          <w:color w:val="auto"/>
          <w:sz w:val="24"/>
          <w:szCs w:val="24"/>
          <w:lang w:val="en-AU"/>
        </w:rPr>
        <w:t>an</w:t>
      </w:r>
      <w:r w:rsidR="00735F3A" w:rsidRPr="003A1A2E">
        <w:rPr>
          <w:rFonts w:ascii="Times New Roman" w:hAnsi="Times New Roman" w:cs="Times New Roman"/>
          <w:color w:val="auto"/>
          <w:sz w:val="24"/>
          <w:szCs w:val="24"/>
          <w:lang w:val="en-AU"/>
        </w:rPr>
        <w:t>kle at 90</w:t>
      </w:r>
      <w:r w:rsidR="006543A5" w:rsidRPr="003A1A2E">
        <w:rPr>
          <w:rFonts w:ascii="Times New Roman" w:hAnsi="Times New Roman" w:cs="Times New Roman"/>
          <w:color w:val="auto"/>
          <w:sz w:val="24"/>
          <w:szCs w:val="24"/>
          <w:lang w:val="en-AU"/>
        </w:rPr>
        <w:t>º</w:t>
      </w:r>
      <w:r w:rsidRPr="003A1A2E">
        <w:rPr>
          <w:rFonts w:ascii="Times New Roman" w:hAnsi="Times New Roman" w:cs="Times New Roman"/>
          <w:color w:val="auto"/>
          <w:sz w:val="24"/>
          <w:szCs w:val="24"/>
          <w:lang w:val="en-AU"/>
        </w:rPr>
        <w:t xml:space="preserve">. Warm up consisted of 2 </w:t>
      </w:r>
      <w:r w:rsidRPr="003A1A2E">
        <w:rPr>
          <w:rFonts w:ascii="Times New Roman" w:eastAsia="MS Gothic" w:hAnsi="Times New Roman" w:cs="Times New Roman"/>
          <w:color w:val="auto"/>
          <w:sz w:val="24"/>
          <w:szCs w:val="24"/>
          <w:lang w:val="en-AU"/>
        </w:rPr>
        <w:t>×</w:t>
      </w:r>
      <w:r w:rsidRPr="003A1A2E">
        <w:rPr>
          <w:rFonts w:ascii="Times New Roman" w:hAnsi="Times New Roman" w:cs="Times New Roman"/>
          <w:color w:val="auto"/>
          <w:sz w:val="24"/>
          <w:szCs w:val="24"/>
          <w:lang w:val="en-AU"/>
        </w:rPr>
        <w:t xml:space="preserve"> </w:t>
      </w:r>
      <w:r w:rsidR="00BE06D6" w:rsidRPr="003A1A2E">
        <w:rPr>
          <w:rFonts w:ascii="Times New Roman" w:hAnsi="Times New Roman" w:cs="Times New Roman"/>
          <w:color w:val="auto"/>
          <w:sz w:val="24"/>
          <w:szCs w:val="24"/>
          <w:lang w:val="en-AU"/>
        </w:rPr>
        <w:t>4</w:t>
      </w:r>
      <w:r w:rsidRPr="003A1A2E">
        <w:rPr>
          <w:rFonts w:ascii="Times New Roman" w:hAnsi="Times New Roman" w:cs="Times New Roman"/>
          <w:color w:val="auto"/>
          <w:sz w:val="24"/>
          <w:szCs w:val="24"/>
          <w:lang w:val="en-AU"/>
        </w:rPr>
        <w:t xml:space="preserve"> s isometric contractions of participant’s perceived 20, 40, 60 and 80% maximal voluntary isometric contraction intensity. After warm-up, participants performed at least 3 maximal voluntary isometric contractions, until &lt;5% variation was observed between contractions, the highest value was used.</w:t>
      </w:r>
      <w:r w:rsidR="007115C2" w:rsidRPr="003A1A2E">
        <w:rPr>
          <w:rFonts w:ascii="Times New Roman" w:hAnsi="Times New Roman" w:cs="Times New Roman"/>
          <w:color w:val="auto"/>
          <w:sz w:val="24"/>
          <w:szCs w:val="24"/>
          <w:lang w:val="en-AU"/>
        </w:rPr>
        <w:t xml:space="preserve"> </w:t>
      </w:r>
      <w:r w:rsidRPr="003A1A2E">
        <w:rPr>
          <w:rFonts w:ascii="Times New Roman" w:hAnsi="Times New Roman" w:cs="Times New Roman"/>
          <w:color w:val="auto"/>
          <w:sz w:val="24"/>
          <w:szCs w:val="24"/>
          <w:lang w:val="en-AU"/>
        </w:rPr>
        <w:t>Thereafter, participants</w:t>
      </w:r>
      <w:r w:rsidR="00276E5B" w:rsidRPr="003A1A2E">
        <w:rPr>
          <w:rFonts w:ascii="Times New Roman" w:hAnsi="Times New Roman" w:cs="Times New Roman"/>
          <w:color w:val="auto"/>
          <w:sz w:val="24"/>
          <w:szCs w:val="24"/>
          <w:lang w:val="en-AU"/>
        </w:rPr>
        <w:t xml:space="preserve"> were familiarised with triangular-shaped contractions</w:t>
      </w:r>
      <w:r w:rsidR="00E05F7A" w:rsidRPr="003A1A2E">
        <w:rPr>
          <w:rFonts w:ascii="Times New Roman" w:hAnsi="Times New Roman" w:cs="Times New Roman"/>
          <w:color w:val="auto"/>
          <w:sz w:val="24"/>
          <w:szCs w:val="24"/>
          <w:lang w:val="en-AU"/>
        </w:rPr>
        <w:t xml:space="preserve"> of</w:t>
      </w:r>
      <w:r w:rsidR="00276E5B" w:rsidRPr="003A1A2E">
        <w:rPr>
          <w:rFonts w:ascii="Times New Roman" w:hAnsi="Times New Roman" w:cs="Times New Roman"/>
          <w:color w:val="auto"/>
          <w:sz w:val="24"/>
          <w:szCs w:val="24"/>
          <w:lang w:val="en-AU"/>
        </w:rPr>
        <w:t xml:space="preserve"> </w:t>
      </w:r>
      <w:r w:rsidRPr="003A1A2E">
        <w:rPr>
          <w:rFonts w:ascii="Times New Roman" w:hAnsi="Times New Roman" w:cs="Times New Roman"/>
          <w:color w:val="auto"/>
          <w:sz w:val="24"/>
          <w:szCs w:val="24"/>
          <w:lang w:val="en-AU"/>
        </w:rPr>
        <w:t xml:space="preserve">20% </w:t>
      </w:r>
      <w:r w:rsidR="00276E5B" w:rsidRPr="003A1A2E">
        <w:rPr>
          <w:rFonts w:ascii="Times New Roman" w:hAnsi="Times New Roman" w:cs="Times New Roman"/>
          <w:color w:val="auto"/>
          <w:sz w:val="24"/>
          <w:szCs w:val="24"/>
          <w:lang w:val="en-AU"/>
        </w:rPr>
        <w:t xml:space="preserve">of their </w:t>
      </w:r>
      <w:r w:rsidRPr="003A1A2E">
        <w:rPr>
          <w:rFonts w:ascii="Times New Roman" w:hAnsi="Times New Roman" w:cs="Times New Roman"/>
          <w:color w:val="auto"/>
          <w:sz w:val="24"/>
          <w:szCs w:val="24"/>
          <w:lang w:val="en-AU"/>
        </w:rPr>
        <w:t>peak torque</w:t>
      </w:r>
      <w:r w:rsidR="00E53419" w:rsidRPr="003A1A2E">
        <w:rPr>
          <w:rFonts w:ascii="Times New Roman" w:hAnsi="Times New Roman" w:cs="Times New Roman"/>
          <w:color w:val="auto"/>
          <w:sz w:val="24"/>
          <w:szCs w:val="24"/>
          <w:lang w:val="en-AU"/>
        </w:rPr>
        <w:t xml:space="preserve">, which has </w:t>
      </w:r>
      <w:r w:rsidR="00E53419" w:rsidRPr="003A1A2E">
        <w:rPr>
          <w:rFonts w:ascii="Times New Roman" w:hAnsi="Times New Roman" w:cs="Times New Roman"/>
          <w:color w:val="auto"/>
          <w:sz w:val="24"/>
          <w:szCs w:val="24"/>
          <w:lang w:val="en-AU"/>
        </w:rPr>
        <w:lastRenderedPageBreak/>
        <w:t xml:space="preserve">been extensively described for </w:t>
      </w:r>
      <w:r w:rsidR="00276E5B" w:rsidRPr="003A1A2E">
        <w:rPr>
          <w:rFonts w:ascii="Times New Roman" w:hAnsi="Times New Roman" w:cs="Times New Roman"/>
          <w:color w:val="auto"/>
          <w:sz w:val="24"/>
          <w:szCs w:val="24"/>
          <w:lang w:val="en-AU"/>
        </w:rPr>
        <w:t xml:space="preserve">ΔF calculations </w:t>
      </w:r>
      <w:r w:rsidR="00E53419" w:rsidRPr="003A1A2E">
        <w:rPr>
          <w:rFonts w:ascii="Times New Roman" w:hAnsi="Times New Roman" w:cs="Times New Roman"/>
          <w:color w:val="auto"/>
          <w:sz w:val="24"/>
          <w:szCs w:val="24"/>
          <w:lang w:val="en-AU"/>
        </w:rPr>
        <w:t>using</w:t>
      </w:r>
      <w:r w:rsidR="007115C2" w:rsidRPr="003A1A2E">
        <w:rPr>
          <w:rFonts w:ascii="Times New Roman" w:hAnsi="Times New Roman" w:cs="Times New Roman"/>
          <w:color w:val="auto"/>
          <w:sz w:val="24"/>
          <w:szCs w:val="24"/>
          <w:lang w:val="en-AU"/>
        </w:rPr>
        <w:t xml:space="preserve"> </w:t>
      </w:r>
      <w:r w:rsidR="00E05F7A" w:rsidRPr="003A1A2E">
        <w:rPr>
          <w:rFonts w:ascii="Times New Roman" w:hAnsi="Times New Roman" w:cs="Times New Roman"/>
          <w:color w:val="auto"/>
          <w:sz w:val="24"/>
          <w:szCs w:val="24"/>
          <w:lang w:val="en-AU"/>
        </w:rPr>
        <w:t xml:space="preserve">the </w:t>
      </w:r>
      <w:r w:rsidR="007115C2" w:rsidRPr="003A1A2E">
        <w:rPr>
          <w:rFonts w:ascii="Times New Roman" w:hAnsi="Times New Roman" w:cs="Times New Roman"/>
          <w:color w:val="auto"/>
          <w:sz w:val="24"/>
          <w:szCs w:val="24"/>
          <w:lang w:val="en-AU"/>
        </w:rPr>
        <w:t>paired motor unit technique</w:t>
      </w:r>
      <w:r w:rsidR="006543A5" w:rsidRPr="003A1A2E">
        <w:rPr>
          <w:rFonts w:ascii="Times New Roman" w:hAnsi="Times New Roman" w:cs="Times New Roman"/>
          <w:color w:val="auto"/>
          <w:sz w:val="24"/>
          <w:szCs w:val="24"/>
          <w:lang w:val="en-AU"/>
        </w:rPr>
        <w:fldChar w:fldCharType="begin" w:fldLock="1"/>
      </w:r>
      <w:r w:rsidR="00D87B12">
        <w:rPr>
          <w:rFonts w:ascii="Times New Roman" w:hAnsi="Times New Roman" w:cs="Times New Roman"/>
          <w:color w:val="auto"/>
          <w:sz w:val="24"/>
          <w:szCs w:val="24"/>
          <w:lang w:val="en-AU"/>
        </w:rPr>
        <w:instrText>ADDIN CSL_CITATION {"citationItems":[{"id":"ITEM-1","itemData":{"DOI":"10.1088/1741-2552/ab5eda","ISSN":"1741-2552","author":[{"dropping-particle":"","family":"Hassan","given":"Altamash","non-dropping-particle":"","parse-names":false,"suffix":""},{"dropping-particle":"","family":"Thompson","given":"Christopher K","non-dropping-particle":"","parse-names":false,"suffix":""},{"dropping-particle":"","family":"Negro","given":"Francesco","non-dropping-particle":"","parse-names":false,"suffix":""},{"dropping-particle":"","family":"Cummings","given":"Mark","non-dropping-particle":"","parse-names":false,"suffix":""},{"dropping-particle":"","family":"Powers","given":"Randall K","non-dropping-particle":"","parse-names":false,"suffix":""},{"dropping-particle":"","family":"Heckman","given":"C J","non-dropping-particle":"","parse-names":false,"suffix":""},{"dropping-particle":"","family":"Dewald","given":"Julius P A","non-dropping-particle":"","parse-names":false,"suffix":""},{"dropping-particle":"","family":"McPherson","given":"Laura Miller","non-dropping-particle":"","parse-names":false,"suffix":""}],"container-title":"Journal of Neural Engineering","id":"ITEM-1","issue":"1","issued":{"date-parts":[["2020","2","18"]]},"page":"016063","title":"Impact of parameter selection on estimates of motoneuron excitability using paired motor unit analysis","type":"article-journal","volume":"17"},"uris":["http://www.mendeley.com/documents/?uuid=2561f3cd-2f42-382c-8626-cb80c0a600cf"]},{"id":"ITEM-2","itemData":{"DOI":"10.1242/jeb.229922","ISSN":"0022-0949","abstract":"Prolonged (≥60 s) passive muscle stretching acutely reduces maximal force production at least partly through a suppression of efferent neural drive. The origin of this neural suppression has not been determined, however some evidence suggests that reductions in the amplitude of persistent inward currents (PICs) in the motoneurons may be important. The aim of the present study was to determine whether acute passive (static) muscle stretching affects PIC strength in gastrocnemius medialis (GM) and soleus (SOL) motor units. We calculated the difference in instantaneous discharge rates at recruitment and derecruitment (ΔF) for pairs of motor units in GM and SOL during triangular isometric plantar flexor contractions (20% maximum) both before and immediately after a 5-min control period and immediately after five 1-min passive plantar flexor stretches. After stretching there was a significant reduction in SOL ΔF (−25.6%; 95%CI=−45.1 to −9.1 %, p=0.002) but not GM ΔF. These data suggest passive muscle stretching can reduce the intrinsic excitability, via PICs, of SOL motor units. These findings (1) suggest that PIC strength might be reduced after passive stretching, (2) are consistent with previously-established post-stretch decreases in SOL but not GM EMG amplitudes during contraction, and (3) indicate that reductions in PIC strength could underpin the stretch-induced force loss.","author":[{"dropping-particle":"","family":"Trajano","given":"Gabriel S.","non-dropping-particle":"","parse-names":false,"suffix":""},{"dropping-particle":"","family":"Taylor","given":"Janet L.","non-dropping-particle":"","parse-names":false,"suffix":""},{"dropping-particle":"","family":"Orssatto","given":"Lucas B. R.","non-dropping-particle":"","parse-names":false,"suffix":""},{"dropping-particle":"","family":"McNulty","given":"Craig R.","non-dropping-particle":"","parse-names":false,"suffix":""},{"dropping-particle":"","family":"Blazevich","given":"Anthony J.","non-dropping-particle":"","parse-names":false,"suffix":""}],"container-title":"The Journal of Experimental Biology","id":"ITEM-2","issue":"61 7","issued":{"date-parts":[["2020"]]},"page":"jeb.229922","title":"Passive muscle stretching reduces estimates of persistent inward current strength in soleus motor units","type":"article-journal"},"uris":["http://www.mendeley.com/documents/?uuid=3163c4ac-e021-45a9-bf01-e45d47b3167c"]}],"mendeley":{"formattedCitation":"&lt;sup&gt;11,23&lt;/sup&gt;","plainTextFormattedCitation":"11,23","previouslyFormattedCitation":"&lt;sup&gt;11,23&lt;/sup&gt;"},"properties":{"noteIndex":0},"schema":"https://github.com/citation-style-language/schema/raw/master/csl-citation.json"}</w:instrText>
      </w:r>
      <w:r w:rsidR="006543A5" w:rsidRPr="003A1A2E">
        <w:rPr>
          <w:rFonts w:ascii="Times New Roman" w:hAnsi="Times New Roman" w:cs="Times New Roman"/>
          <w:color w:val="auto"/>
          <w:sz w:val="24"/>
          <w:szCs w:val="24"/>
          <w:lang w:val="en-AU"/>
        </w:rPr>
        <w:fldChar w:fldCharType="separate"/>
      </w:r>
      <w:r w:rsidR="00D87B12" w:rsidRPr="00D87B12">
        <w:rPr>
          <w:rFonts w:ascii="Times New Roman" w:hAnsi="Times New Roman" w:cs="Times New Roman"/>
          <w:noProof/>
          <w:color w:val="auto"/>
          <w:sz w:val="24"/>
          <w:szCs w:val="24"/>
          <w:vertAlign w:val="superscript"/>
          <w:lang w:val="en-AU"/>
        </w:rPr>
        <w:t>11,23</w:t>
      </w:r>
      <w:r w:rsidR="006543A5" w:rsidRPr="003A1A2E">
        <w:rPr>
          <w:rFonts w:ascii="Times New Roman" w:hAnsi="Times New Roman" w:cs="Times New Roman"/>
          <w:color w:val="auto"/>
          <w:sz w:val="24"/>
          <w:szCs w:val="24"/>
          <w:lang w:val="en-AU"/>
        </w:rPr>
        <w:fldChar w:fldCharType="end"/>
      </w:r>
      <w:r w:rsidR="006543A5" w:rsidRPr="003A1A2E">
        <w:rPr>
          <w:rFonts w:ascii="Times New Roman" w:hAnsi="Times New Roman" w:cs="Times New Roman"/>
          <w:color w:val="auto"/>
          <w:sz w:val="24"/>
          <w:szCs w:val="24"/>
          <w:lang w:val="en-AU"/>
        </w:rPr>
        <w:t xml:space="preserve">. </w:t>
      </w:r>
      <w:r w:rsidR="007115C2" w:rsidRPr="003A1A2E">
        <w:rPr>
          <w:rFonts w:ascii="Times New Roman" w:hAnsi="Times New Roman" w:cs="Times New Roman"/>
          <w:color w:val="auto"/>
          <w:sz w:val="24"/>
          <w:szCs w:val="24"/>
          <w:lang w:val="en-AU"/>
        </w:rPr>
        <w:t>Participants</w:t>
      </w:r>
      <w:r w:rsidRPr="003A1A2E">
        <w:rPr>
          <w:rFonts w:ascii="Times New Roman" w:hAnsi="Times New Roman" w:cs="Times New Roman"/>
          <w:color w:val="auto"/>
          <w:sz w:val="24"/>
          <w:szCs w:val="24"/>
          <w:lang w:val="en-AU"/>
        </w:rPr>
        <w:t xml:space="preserve"> had 4 attempts to </w:t>
      </w:r>
      <w:r w:rsidR="005F21B3">
        <w:rPr>
          <w:rFonts w:ascii="Times New Roman" w:hAnsi="Times New Roman" w:cs="Times New Roman"/>
          <w:color w:val="auto"/>
          <w:sz w:val="24"/>
          <w:szCs w:val="24"/>
          <w:lang w:val="en-AU"/>
        </w:rPr>
        <w:t>become</w:t>
      </w:r>
      <w:r w:rsidR="005F21B3" w:rsidRPr="003A1A2E">
        <w:rPr>
          <w:rFonts w:ascii="Times New Roman" w:hAnsi="Times New Roman" w:cs="Times New Roman"/>
          <w:color w:val="auto"/>
          <w:sz w:val="24"/>
          <w:szCs w:val="24"/>
          <w:lang w:val="en-AU"/>
        </w:rPr>
        <w:t xml:space="preserve"> </w:t>
      </w:r>
      <w:r w:rsidRPr="003A1A2E">
        <w:rPr>
          <w:rFonts w:ascii="Times New Roman" w:hAnsi="Times New Roman" w:cs="Times New Roman"/>
          <w:color w:val="auto"/>
          <w:sz w:val="24"/>
          <w:szCs w:val="24"/>
          <w:lang w:val="en-AU"/>
        </w:rPr>
        <w:t>familiar</w:t>
      </w:r>
      <w:r w:rsidR="00E05F7A" w:rsidRPr="003A1A2E">
        <w:rPr>
          <w:rFonts w:ascii="Times New Roman" w:hAnsi="Times New Roman" w:cs="Times New Roman"/>
          <w:color w:val="auto"/>
          <w:sz w:val="24"/>
          <w:szCs w:val="24"/>
          <w:lang w:val="en-AU"/>
        </w:rPr>
        <w:t>ised</w:t>
      </w:r>
      <w:r w:rsidRPr="003A1A2E">
        <w:rPr>
          <w:rFonts w:ascii="Times New Roman" w:hAnsi="Times New Roman" w:cs="Times New Roman"/>
          <w:color w:val="auto"/>
          <w:sz w:val="24"/>
          <w:szCs w:val="24"/>
          <w:lang w:val="en-AU"/>
        </w:rPr>
        <w:t xml:space="preserve"> with</w:t>
      </w:r>
      <w:r w:rsidR="005F21B3">
        <w:rPr>
          <w:rFonts w:ascii="Times New Roman" w:hAnsi="Times New Roman" w:cs="Times New Roman"/>
          <w:color w:val="auto"/>
          <w:sz w:val="24"/>
          <w:szCs w:val="24"/>
          <w:lang w:val="en-AU"/>
        </w:rPr>
        <w:t xml:space="preserve"> the</w:t>
      </w:r>
      <w:r w:rsidRPr="003A1A2E">
        <w:rPr>
          <w:rFonts w:ascii="Times New Roman" w:hAnsi="Times New Roman" w:cs="Times New Roman"/>
          <w:color w:val="auto"/>
          <w:sz w:val="24"/>
          <w:szCs w:val="24"/>
          <w:lang w:val="en-AU"/>
        </w:rPr>
        <w:t xml:space="preserve"> task</w:t>
      </w:r>
      <w:r w:rsidR="00980B53" w:rsidRPr="003A1A2E">
        <w:rPr>
          <w:rFonts w:ascii="Times New Roman" w:hAnsi="Times New Roman" w:cs="Times New Roman"/>
          <w:color w:val="auto"/>
          <w:sz w:val="24"/>
          <w:szCs w:val="24"/>
          <w:lang w:val="en-AU"/>
        </w:rPr>
        <w:t xml:space="preserve"> with ~ 30-s rest between contractions</w:t>
      </w:r>
      <w:r w:rsidR="00E05F7A" w:rsidRPr="003A1A2E">
        <w:rPr>
          <w:rFonts w:ascii="Times New Roman" w:hAnsi="Times New Roman" w:cs="Times New Roman"/>
          <w:color w:val="auto"/>
          <w:sz w:val="24"/>
          <w:szCs w:val="24"/>
          <w:lang w:val="en-AU"/>
        </w:rPr>
        <w:t xml:space="preserve"> before recordings</w:t>
      </w:r>
      <w:r w:rsidR="005F21B3">
        <w:rPr>
          <w:rFonts w:ascii="Times New Roman" w:hAnsi="Times New Roman" w:cs="Times New Roman"/>
          <w:color w:val="auto"/>
          <w:sz w:val="24"/>
          <w:szCs w:val="24"/>
          <w:lang w:val="en-AU"/>
        </w:rPr>
        <w:t xml:space="preserve"> were made</w:t>
      </w:r>
      <w:r w:rsidRPr="003A1A2E">
        <w:rPr>
          <w:rFonts w:ascii="Times New Roman" w:hAnsi="Times New Roman" w:cs="Times New Roman"/>
          <w:color w:val="auto"/>
          <w:sz w:val="24"/>
          <w:szCs w:val="24"/>
          <w:lang w:val="en-AU"/>
        </w:rPr>
        <w:t xml:space="preserve">. </w:t>
      </w:r>
      <w:r w:rsidR="00674420" w:rsidRPr="003A1A2E">
        <w:rPr>
          <w:rFonts w:ascii="Times New Roman" w:hAnsi="Times New Roman" w:cs="Times New Roman"/>
          <w:color w:val="auto"/>
          <w:sz w:val="24"/>
          <w:szCs w:val="24"/>
          <w:lang w:val="en-AU"/>
        </w:rPr>
        <w:t>R</w:t>
      </w:r>
      <w:r w:rsidR="00466375" w:rsidRPr="003A1A2E">
        <w:rPr>
          <w:rFonts w:ascii="Times New Roman" w:hAnsi="Times New Roman" w:cs="Times New Roman"/>
          <w:color w:val="auto"/>
          <w:sz w:val="24"/>
          <w:szCs w:val="24"/>
          <w:lang w:val="en-AU"/>
        </w:rPr>
        <w:t xml:space="preserve">ate of torque </w:t>
      </w:r>
      <w:r w:rsidR="006543A5" w:rsidRPr="003A1A2E">
        <w:rPr>
          <w:rFonts w:ascii="Times New Roman" w:hAnsi="Times New Roman" w:cs="Times New Roman"/>
          <w:color w:val="auto"/>
          <w:sz w:val="24"/>
          <w:szCs w:val="24"/>
          <w:lang w:val="en-AU"/>
        </w:rPr>
        <w:t xml:space="preserve">rise </w:t>
      </w:r>
      <w:r w:rsidR="00466375" w:rsidRPr="003A1A2E">
        <w:rPr>
          <w:rFonts w:ascii="Times New Roman" w:hAnsi="Times New Roman" w:cs="Times New Roman"/>
          <w:color w:val="auto"/>
          <w:sz w:val="24"/>
          <w:szCs w:val="24"/>
          <w:lang w:val="en-AU"/>
        </w:rPr>
        <w:t>and decline was standardised a</w:t>
      </w:r>
      <w:r w:rsidR="00E53419" w:rsidRPr="003A1A2E">
        <w:rPr>
          <w:rFonts w:ascii="Times New Roman" w:hAnsi="Times New Roman" w:cs="Times New Roman"/>
          <w:color w:val="auto"/>
          <w:sz w:val="24"/>
          <w:szCs w:val="24"/>
          <w:lang w:val="en-AU"/>
        </w:rPr>
        <w:t>t ~ 2</w:t>
      </w:r>
      <w:r w:rsidR="00466375" w:rsidRPr="003A1A2E">
        <w:rPr>
          <w:rFonts w:ascii="Times New Roman" w:hAnsi="Times New Roman" w:cs="Times New Roman"/>
          <w:color w:val="auto"/>
          <w:sz w:val="24"/>
          <w:szCs w:val="24"/>
          <w:lang w:val="en-AU"/>
        </w:rPr>
        <w:t>%</w:t>
      </w:r>
      <w:r w:rsidR="001F441E" w:rsidRPr="003A1A2E">
        <w:rPr>
          <w:rFonts w:ascii="Times New Roman" w:hAnsi="Times New Roman" w:cs="Times New Roman"/>
          <w:color w:val="auto"/>
          <w:sz w:val="24"/>
          <w:szCs w:val="24"/>
          <w:lang w:val="en-AU"/>
        </w:rPr>
        <w:t xml:space="preserve"> peak </w:t>
      </w:r>
      <w:r w:rsidR="00D0422A" w:rsidRPr="003A1A2E">
        <w:rPr>
          <w:rFonts w:ascii="Times New Roman" w:hAnsi="Times New Roman" w:cs="Times New Roman"/>
          <w:color w:val="auto"/>
          <w:sz w:val="24"/>
          <w:szCs w:val="24"/>
          <w:lang w:val="en-AU"/>
        </w:rPr>
        <w:t>torque</w:t>
      </w:r>
      <w:r w:rsidR="00466375" w:rsidRPr="003A1A2E">
        <w:rPr>
          <w:rFonts w:ascii="Times New Roman" w:hAnsi="Times New Roman" w:cs="Times New Roman"/>
          <w:color w:val="auto"/>
          <w:sz w:val="24"/>
          <w:szCs w:val="24"/>
          <w:lang w:val="en-AU"/>
        </w:rPr>
        <w:t xml:space="preserve">/s </w:t>
      </w:r>
      <w:r w:rsidR="00980B53" w:rsidRPr="003A1A2E">
        <w:rPr>
          <w:rFonts w:ascii="Times New Roman" w:hAnsi="Times New Roman" w:cs="Times New Roman"/>
          <w:color w:val="auto"/>
          <w:sz w:val="24"/>
          <w:szCs w:val="24"/>
          <w:lang w:val="en-AU"/>
        </w:rPr>
        <w:t>(10-s up and 10</w:t>
      </w:r>
      <w:r w:rsidR="006543A5" w:rsidRPr="003A1A2E">
        <w:rPr>
          <w:rFonts w:ascii="Times New Roman" w:hAnsi="Times New Roman" w:cs="Times New Roman"/>
          <w:color w:val="auto"/>
          <w:sz w:val="24"/>
          <w:szCs w:val="24"/>
          <w:lang w:val="en-AU"/>
        </w:rPr>
        <w:t>-</w:t>
      </w:r>
      <w:r w:rsidR="00980B53" w:rsidRPr="003A1A2E">
        <w:rPr>
          <w:rFonts w:ascii="Times New Roman" w:hAnsi="Times New Roman" w:cs="Times New Roman"/>
          <w:color w:val="auto"/>
          <w:sz w:val="24"/>
          <w:szCs w:val="24"/>
          <w:lang w:val="en-AU"/>
        </w:rPr>
        <w:t xml:space="preserve">s </w:t>
      </w:r>
      <w:r w:rsidR="006543A5" w:rsidRPr="003A1A2E">
        <w:rPr>
          <w:rFonts w:ascii="Times New Roman" w:hAnsi="Times New Roman" w:cs="Times New Roman"/>
          <w:color w:val="auto"/>
          <w:sz w:val="24"/>
          <w:szCs w:val="24"/>
          <w:lang w:val="en-AU"/>
        </w:rPr>
        <w:t>d</w:t>
      </w:r>
      <w:r w:rsidR="00980B53" w:rsidRPr="003A1A2E">
        <w:rPr>
          <w:rFonts w:ascii="Times New Roman" w:hAnsi="Times New Roman" w:cs="Times New Roman"/>
          <w:color w:val="auto"/>
          <w:sz w:val="24"/>
          <w:szCs w:val="24"/>
          <w:lang w:val="en-AU"/>
        </w:rPr>
        <w:t>own)</w:t>
      </w:r>
      <w:r w:rsidRPr="003A1A2E">
        <w:rPr>
          <w:rFonts w:ascii="Times New Roman" w:hAnsi="Times New Roman" w:cs="Times New Roman"/>
          <w:color w:val="auto"/>
          <w:sz w:val="24"/>
          <w:szCs w:val="24"/>
          <w:lang w:val="en-AU"/>
        </w:rPr>
        <w:t>,</w:t>
      </w:r>
      <w:r w:rsidR="00EA4C36" w:rsidRPr="003A1A2E">
        <w:rPr>
          <w:rFonts w:ascii="Times New Roman" w:hAnsi="Times New Roman" w:cs="Times New Roman"/>
          <w:color w:val="auto"/>
          <w:sz w:val="24"/>
          <w:szCs w:val="24"/>
          <w:lang w:val="en-AU"/>
        </w:rPr>
        <w:t xml:space="preserve"> </w:t>
      </w:r>
      <w:r w:rsidRPr="003A1A2E">
        <w:rPr>
          <w:rFonts w:ascii="Times New Roman" w:hAnsi="Times New Roman" w:cs="Times New Roman"/>
          <w:color w:val="auto"/>
          <w:sz w:val="24"/>
          <w:szCs w:val="24"/>
          <w:lang w:val="en-AU"/>
        </w:rPr>
        <w:t>followed by 1 min of rest between contractions</w:t>
      </w:r>
      <w:r w:rsidR="002A6E72" w:rsidRPr="003A1A2E">
        <w:rPr>
          <w:rFonts w:ascii="Times New Roman" w:hAnsi="Times New Roman" w:cs="Times New Roman"/>
          <w:color w:val="auto"/>
          <w:sz w:val="24"/>
          <w:szCs w:val="24"/>
          <w:lang w:val="en-AU"/>
        </w:rPr>
        <w:t>.</w:t>
      </w:r>
      <w:r w:rsidR="00C06DEA" w:rsidRPr="003A1A2E">
        <w:rPr>
          <w:rFonts w:ascii="Times New Roman" w:hAnsi="Times New Roman" w:cs="Times New Roman"/>
          <w:color w:val="auto"/>
          <w:sz w:val="24"/>
          <w:szCs w:val="24"/>
          <w:lang w:val="en-AU"/>
        </w:rPr>
        <w:t xml:space="preserve"> Participants received </w:t>
      </w:r>
      <w:r w:rsidR="00C00C22" w:rsidRPr="003A1A2E">
        <w:rPr>
          <w:rFonts w:ascii="Times New Roman" w:hAnsi="Times New Roman" w:cs="Times New Roman"/>
          <w:color w:val="auto"/>
          <w:sz w:val="24"/>
          <w:szCs w:val="24"/>
          <w:lang w:val="en-AU"/>
        </w:rPr>
        <w:t xml:space="preserve">real-time </w:t>
      </w:r>
      <w:r w:rsidR="00C06DEA" w:rsidRPr="003A1A2E">
        <w:rPr>
          <w:rFonts w:ascii="Times New Roman" w:hAnsi="Times New Roman" w:cs="Times New Roman"/>
          <w:color w:val="auto"/>
          <w:sz w:val="24"/>
          <w:szCs w:val="24"/>
          <w:lang w:val="en-AU"/>
        </w:rPr>
        <w:t xml:space="preserve">visual feedback of </w:t>
      </w:r>
      <w:r w:rsidR="00C00C22" w:rsidRPr="003A1A2E">
        <w:rPr>
          <w:rFonts w:ascii="Times New Roman" w:hAnsi="Times New Roman" w:cs="Times New Roman"/>
          <w:color w:val="auto"/>
          <w:sz w:val="24"/>
          <w:szCs w:val="24"/>
          <w:lang w:val="en-AU"/>
        </w:rPr>
        <w:t xml:space="preserve">the </w:t>
      </w:r>
      <w:r w:rsidR="00D65ADC" w:rsidRPr="003A1A2E">
        <w:rPr>
          <w:rFonts w:ascii="Times New Roman" w:hAnsi="Times New Roman" w:cs="Times New Roman"/>
          <w:color w:val="auto"/>
          <w:sz w:val="24"/>
          <w:szCs w:val="24"/>
          <w:lang w:val="en-AU"/>
        </w:rPr>
        <w:t>triangular</w:t>
      </w:r>
      <w:r w:rsidR="00C06DEA" w:rsidRPr="003A1A2E">
        <w:rPr>
          <w:rFonts w:ascii="Times New Roman" w:hAnsi="Times New Roman" w:cs="Times New Roman"/>
          <w:color w:val="auto"/>
          <w:sz w:val="24"/>
          <w:szCs w:val="24"/>
          <w:lang w:val="en-AU"/>
        </w:rPr>
        <w:t xml:space="preserve"> </w:t>
      </w:r>
      <w:r w:rsidR="00FF7193" w:rsidRPr="003A1A2E">
        <w:rPr>
          <w:rFonts w:ascii="Times New Roman" w:hAnsi="Times New Roman" w:cs="Times New Roman"/>
          <w:color w:val="auto"/>
          <w:sz w:val="24"/>
          <w:szCs w:val="24"/>
          <w:lang w:val="en-AU"/>
        </w:rPr>
        <w:t>pathway</w:t>
      </w:r>
      <w:r w:rsidR="00477EE6" w:rsidRPr="003A1A2E">
        <w:rPr>
          <w:rFonts w:ascii="Times New Roman" w:hAnsi="Times New Roman" w:cs="Times New Roman"/>
          <w:color w:val="auto"/>
          <w:sz w:val="24"/>
          <w:szCs w:val="24"/>
          <w:lang w:val="en-AU"/>
        </w:rPr>
        <w:t xml:space="preserve">, displayed </w:t>
      </w:r>
      <w:r w:rsidR="005F21B3">
        <w:rPr>
          <w:rFonts w:ascii="Times New Roman" w:hAnsi="Times New Roman" w:cs="Times New Roman"/>
          <w:color w:val="auto"/>
          <w:sz w:val="24"/>
          <w:szCs w:val="24"/>
          <w:lang w:val="en-AU"/>
        </w:rPr>
        <w:t>by</w:t>
      </w:r>
      <w:r w:rsidR="005F21B3" w:rsidRPr="003A1A2E">
        <w:rPr>
          <w:rFonts w:ascii="Times New Roman" w:hAnsi="Times New Roman" w:cs="Times New Roman"/>
          <w:color w:val="auto"/>
          <w:sz w:val="24"/>
          <w:szCs w:val="24"/>
          <w:lang w:val="en-AU"/>
        </w:rPr>
        <w:t xml:space="preserve"> </w:t>
      </w:r>
      <w:r w:rsidR="00477EE6" w:rsidRPr="003A1A2E">
        <w:rPr>
          <w:rFonts w:ascii="Times New Roman" w:hAnsi="Times New Roman" w:cs="Times New Roman"/>
          <w:color w:val="auto"/>
          <w:sz w:val="24"/>
          <w:szCs w:val="24"/>
          <w:lang w:val="en-AU"/>
        </w:rPr>
        <w:t>monitor</w:t>
      </w:r>
      <w:r w:rsidR="00C06DEA" w:rsidRPr="003A1A2E">
        <w:rPr>
          <w:rFonts w:ascii="Times New Roman" w:hAnsi="Times New Roman" w:cs="Times New Roman"/>
          <w:color w:val="auto"/>
          <w:sz w:val="24"/>
          <w:szCs w:val="24"/>
          <w:lang w:val="en-AU"/>
        </w:rPr>
        <w:t xml:space="preserve">. </w:t>
      </w:r>
      <w:r w:rsidR="00FD0C3C" w:rsidRPr="003A1A2E">
        <w:rPr>
          <w:rFonts w:ascii="Times New Roman" w:hAnsi="Times New Roman" w:cs="Times New Roman"/>
          <w:color w:val="auto"/>
          <w:sz w:val="24"/>
          <w:szCs w:val="24"/>
          <w:lang w:val="en-AU"/>
        </w:rPr>
        <w:t xml:space="preserve">When the torque trajectory was not closely followed the trial was excluded and repeated. </w:t>
      </w:r>
      <w:r w:rsidR="0007665F" w:rsidRPr="003A1A2E">
        <w:rPr>
          <w:rFonts w:ascii="Times New Roman" w:hAnsi="Times New Roman" w:cs="Times New Roman"/>
          <w:color w:val="auto"/>
          <w:sz w:val="24"/>
          <w:szCs w:val="24"/>
          <w:lang w:val="en-AU"/>
        </w:rPr>
        <w:t>Three successful contractions were recorded</w:t>
      </w:r>
      <w:r w:rsidR="005F21B3">
        <w:rPr>
          <w:rFonts w:ascii="Times New Roman" w:hAnsi="Times New Roman" w:cs="Times New Roman"/>
          <w:color w:val="auto"/>
          <w:sz w:val="24"/>
          <w:szCs w:val="24"/>
          <w:lang w:val="en-AU"/>
        </w:rPr>
        <w:t xml:space="preserve"> for each participant</w:t>
      </w:r>
      <w:r w:rsidR="0007665F" w:rsidRPr="003A1A2E">
        <w:rPr>
          <w:rFonts w:ascii="Times New Roman" w:hAnsi="Times New Roman" w:cs="Times New Roman"/>
          <w:color w:val="auto"/>
          <w:sz w:val="24"/>
          <w:szCs w:val="24"/>
          <w:lang w:val="en-AU"/>
        </w:rPr>
        <w:t>.</w:t>
      </w:r>
    </w:p>
    <w:p w14:paraId="6E6CFBC6" w14:textId="77777777" w:rsidR="00FD0C3C" w:rsidRPr="003A1A2E" w:rsidRDefault="00FD0C3C" w:rsidP="00504A0D">
      <w:pPr>
        <w:pStyle w:val="BodyA"/>
        <w:spacing w:after="0"/>
        <w:ind w:firstLine="0"/>
        <w:rPr>
          <w:rFonts w:ascii="Times New Roman" w:hAnsi="Times New Roman" w:cs="Times New Roman"/>
          <w:color w:val="auto"/>
          <w:sz w:val="24"/>
          <w:szCs w:val="24"/>
          <w:lang w:val="en-AU"/>
        </w:rPr>
      </w:pPr>
    </w:p>
    <w:p w14:paraId="0CA862DB" w14:textId="13CEF7EA" w:rsidR="00FD0C3C" w:rsidRPr="003A1A2E" w:rsidRDefault="00FD0C3C" w:rsidP="00504A0D">
      <w:pPr>
        <w:autoSpaceDE w:val="0"/>
        <w:autoSpaceDN w:val="0"/>
        <w:adjustRightInd w:val="0"/>
        <w:spacing w:line="480" w:lineRule="auto"/>
        <w:jc w:val="both"/>
        <w:rPr>
          <w:i/>
          <w:iCs/>
        </w:rPr>
      </w:pPr>
      <w:r w:rsidRPr="003A1A2E">
        <w:rPr>
          <w:i/>
          <w:iCs/>
        </w:rPr>
        <w:t>2.</w:t>
      </w:r>
      <w:r w:rsidR="00FD712D" w:rsidRPr="003A1A2E">
        <w:rPr>
          <w:i/>
          <w:iCs/>
        </w:rPr>
        <w:t>2</w:t>
      </w:r>
      <w:r w:rsidRPr="003A1A2E">
        <w:rPr>
          <w:i/>
          <w:iCs/>
        </w:rPr>
        <w:t xml:space="preserve"> Surface electromyography</w:t>
      </w:r>
      <w:r w:rsidR="00735F3A" w:rsidRPr="003A1A2E">
        <w:rPr>
          <w:i/>
          <w:iCs/>
        </w:rPr>
        <w:t xml:space="preserve"> recordings</w:t>
      </w:r>
    </w:p>
    <w:p w14:paraId="0945A224" w14:textId="49F6DE31" w:rsidR="00FD0C3C" w:rsidRPr="003A1A2E" w:rsidRDefault="00EA4C36" w:rsidP="009C31FE">
      <w:pPr>
        <w:pStyle w:val="BodyA"/>
        <w:spacing w:after="0"/>
        <w:rPr>
          <w:rFonts w:ascii="Times New Roman" w:hAnsi="Times New Roman" w:cs="Times New Roman"/>
          <w:color w:val="auto"/>
          <w:sz w:val="24"/>
          <w:szCs w:val="24"/>
          <w:lang w:val="en-AU"/>
        </w:rPr>
      </w:pPr>
      <w:r w:rsidRPr="003A1A2E">
        <w:rPr>
          <w:rFonts w:ascii="Times New Roman" w:hAnsi="Times New Roman" w:cs="Times New Roman"/>
          <w:color w:val="auto"/>
          <w:sz w:val="24"/>
          <w:szCs w:val="24"/>
          <w:lang w:val="en-AU"/>
        </w:rPr>
        <w:t>Duri</w:t>
      </w:r>
      <w:r w:rsidR="003C2296" w:rsidRPr="003A1A2E">
        <w:rPr>
          <w:rFonts w:ascii="Times New Roman" w:hAnsi="Times New Roman" w:cs="Times New Roman"/>
          <w:color w:val="auto"/>
          <w:sz w:val="24"/>
          <w:szCs w:val="24"/>
          <w:lang w:val="en-AU"/>
        </w:rPr>
        <w:t>ng the plantar</w:t>
      </w:r>
      <w:r w:rsidR="00CB6F47" w:rsidRPr="003A1A2E">
        <w:rPr>
          <w:rFonts w:ascii="Times New Roman" w:hAnsi="Times New Roman" w:cs="Times New Roman"/>
          <w:color w:val="auto"/>
          <w:sz w:val="24"/>
          <w:szCs w:val="24"/>
          <w:lang w:val="en-AU"/>
        </w:rPr>
        <w:t xml:space="preserve"> </w:t>
      </w:r>
      <w:r w:rsidR="003C2296" w:rsidRPr="003A1A2E">
        <w:rPr>
          <w:rFonts w:ascii="Times New Roman" w:hAnsi="Times New Roman" w:cs="Times New Roman"/>
          <w:color w:val="auto"/>
          <w:sz w:val="24"/>
          <w:szCs w:val="24"/>
          <w:lang w:val="en-AU"/>
        </w:rPr>
        <w:t xml:space="preserve">flexor </w:t>
      </w:r>
      <w:r w:rsidR="00CA161A" w:rsidRPr="003A1A2E">
        <w:rPr>
          <w:rFonts w:ascii="Times New Roman" w:hAnsi="Times New Roman" w:cs="Times New Roman"/>
          <w:color w:val="auto"/>
          <w:sz w:val="24"/>
          <w:szCs w:val="24"/>
          <w:lang w:val="en-AU"/>
        </w:rPr>
        <w:t>triangular</w:t>
      </w:r>
      <w:r w:rsidR="007A21BE" w:rsidRPr="003A1A2E">
        <w:rPr>
          <w:rFonts w:ascii="Times New Roman" w:hAnsi="Times New Roman" w:cs="Times New Roman"/>
          <w:color w:val="auto"/>
          <w:sz w:val="24"/>
          <w:szCs w:val="24"/>
          <w:lang w:val="en-AU"/>
        </w:rPr>
        <w:t>-shaped</w:t>
      </w:r>
      <w:r w:rsidR="003C2296" w:rsidRPr="003A1A2E">
        <w:rPr>
          <w:rFonts w:ascii="Times New Roman" w:hAnsi="Times New Roman" w:cs="Times New Roman"/>
          <w:color w:val="auto"/>
          <w:sz w:val="24"/>
          <w:szCs w:val="24"/>
          <w:lang w:val="en-AU"/>
        </w:rPr>
        <w:t xml:space="preserve"> contractions, </w:t>
      </w:r>
      <w:r w:rsidR="006E2AF3" w:rsidRPr="003A1A2E">
        <w:rPr>
          <w:rFonts w:ascii="Times New Roman" w:hAnsi="Times New Roman" w:cs="Times New Roman"/>
          <w:color w:val="auto"/>
          <w:sz w:val="24"/>
          <w:szCs w:val="24"/>
          <w:lang w:val="en-AU"/>
        </w:rPr>
        <w:t>high-density surface electromyography (</w:t>
      </w:r>
      <w:r w:rsidR="003C2296" w:rsidRPr="003A1A2E">
        <w:rPr>
          <w:rFonts w:ascii="Times New Roman" w:hAnsi="Times New Roman" w:cs="Times New Roman"/>
          <w:color w:val="auto"/>
          <w:sz w:val="24"/>
          <w:szCs w:val="24"/>
          <w:lang w:val="en-AU"/>
        </w:rPr>
        <w:t>HD-EMG</w:t>
      </w:r>
      <w:r w:rsidR="006E2AF3" w:rsidRPr="003A1A2E">
        <w:rPr>
          <w:rFonts w:ascii="Times New Roman" w:hAnsi="Times New Roman" w:cs="Times New Roman"/>
          <w:color w:val="auto"/>
          <w:sz w:val="24"/>
          <w:szCs w:val="24"/>
          <w:lang w:val="en-AU"/>
        </w:rPr>
        <w:t>)</w:t>
      </w:r>
      <w:r w:rsidR="003C2296" w:rsidRPr="003A1A2E">
        <w:rPr>
          <w:rStyle w:val="CommentReference"/>
          <w:rFonts w:ascii="Times New Roman" w:hAnsi="Times New Roman" w:cs="Times New Roman"/>
          <w:color w:val="auto"/>
          <w:sz w:val="24"/>
          <w:szCs w:val="24"/>
          <w:lang w:val="en-AU"/>
        </w:rPr>
        <w:t xml:space="preserve"> (S</w:t>
      </w:r>
      <w:r w:rsidR="003C2296" w:rsidRPr="003A1A2E">
        <w:rPr>
          <w:rFonts w:ascii="Times New Roman" w:hAnsi="Times New Roman" w:cs="Times New Roman"/>
          <w:color w:val="auto"/>
          <w:sz w:val="24"/>
          <w:szCs w:val="24"/>
          <w:lang w:val="en-AU"/>
        </w:rPr>
        <w:t>essantaquattro, OTBioelettronica,</w:t>
      </w:r>
      <w:r w:rsidR="00CD47AD" w:rsidRPr="003A1A2E">
        <w:rPr>
          <w:rFonts w:ascii="Times New Roman" w:hAnsi="Times New Roman" w:cs="Times New Roman"/>
          <w:color w:val="auto"/>
          <w:sz w:val="24"/>
          <w:szCs w:val="24"/>
          <w:lang w:val="en-AU"/>
        </w:rPr>
        <w:t xml:space="preserve"> Torino,</w:t>
      </w:r>
      <w:r w:rsidR="003C2296" w:rsidRPr="003A1A2E">
        <w:rPr>
          <w:rFonts w:ascii="Times New Roman" w:hAnsi="Times New Roman" w:cs="Times New Roman"/>
          <w:color w:val="auto"/>
          <w:sz w:val="24"/>
          <w:szCs w:val="24"/>
          <w:lang w:val="en-AU"/>
        </w:rPr>
        <w:t xml:space="preserve"> Italy) signal</w:t>
      </w:r>
      <w:r w:rsidR="00D65ADC" w:rsidRPr="003A1A2E">
        <w:rPr>
          <w:rFonts w:ascii="Times New Roman" w:hAnsi="Times New Roman" w:cs="Times New Roman"/>
          <w:color w:val="auto"/>
          <w:sz w:val="24"/>
          <w:szCs w:val="24"/>
          <w:lang w:val="en-AU"/>
        </w:rPr>
        <w:t xml:space="preserve">s from </w:t>
      </w:r>
      <w:r w:rsidR="0011111E" w:rsidRPr="003A1A2E">
        <w:rPr>
          <w:rFonts w:ascii="Times New Roman" w:hAnsi="Times New Roman" w:cs="Times New Roman"/>
          <w:iCs/>
          <w:color w:val="auto"/>
          <w:sz w:val="24"/>
          <w:szCs w:val="24"/>
          <w:lang w:val="en-AU"/>
        </w:rPr>
        <w:t>soleus</w:t>
      </w:r>
      <w:r w:rsidR="0011111E" w:rsidRPr="003A1A2E">
        <w:rPr>
          <w:rFonts w:ascii="Times New Roman" w:hAnsi="Times New Roman" w:cs="Times New Roman"/>
          <w:color w:val="auto"/>
          <w:sz w:val="24"/>
          <w:szCs w:val="24"/>
          <w:lang w:val="en-AU"/>
        </w:rPr>
        <w:t xml:space="preserve"> </w:t>
      </w:r>
      <w:r w:rsidR="008A4401" w:rsidRPr="003A1A2E">
        <w:rPr>
          <w:rFonts w:ascii="Times New Roman" w:hAnsi="Times New Roman" w:cs="Times New Roman"/>
          <w:color w:val="auto"/>
          <w:sz w:val="24"/>
          <w:szCs w:val="24"/>
          <w:lang w:val="en-AU"/>
        </w:rPr>
        <w:t>were</w:t>
      </w:r>
      <w:r w:rsidR="003C2296" w:rsidRPr="003A1A2E">
        <w:rPr>
          <w:rFonts w:ascii="Times New Roman" w:hAnsi="Times New Roman" w:cs="Times New Roman"/>
          <w:color w:val="auto"/>
          <w:sz w:val="24"/>
          <w:szCs w:val="24"/>
          <w:lang w:val="en-AU"/>
        </w:rPr>
        <w:t xml:space="preserve"> recorded </w:t>
      </w:r>
      <w:r w:rsidR="00D65ADC" w:rsidRPr="003A1A2E">
        <w:rPr>
          <w:rFonts w:ascii="Times New Roman" w:hAnsi="Times New Roman" w:cs="Times New Roman"/>
          <w:color w:val="auto"/>
          <w:sz w:val="24"/>
          <w:szCs w:val="24"/>
          <w:lang w:val="en-AU"/>
        </w:rPr>
        <w:t>using</w:t>
      </w:r>
      <w:r w:rsidR="003C2296" w:rsidRPr="003A1A2E">
        <w:rPr>
          <w:rFonts w:ascii="Times New Roman" w:hAnsi="Times New Roman" w:cs="Times New Roman"/>
          <w:color w:val="auto"/>
          <w:sz w:val="24"/>
          <w:szCs w:val="24"/>
          <w:lang w:val="en-AU"/>
        </w:rPr>
        <w:t xml:space="preserve"> OT Biolab+ software</w:t>
      </w:r>
      <w:r w:rsidR="00C00C22" w:rsidRPr="003A1A2E">
        <w:rPr>
          <w:rFonts w:ascii="Times New Roman" w:hAnsi="Times New Roman" w:cs="Times New Roman"/>
          <w:color w:val="auto"/>
          <w:sz w:val="24"/>
          <w:szCs w:val="24"/>
          <w:lang w:val="en-AU"/>
        </w:rPr>
        <w:t xml:space="preserve"> (</w:t>
      </w:r>
      <w:r w:rsidR="00CD47AD" w:rsidRPr="003A1A2E">
        <w:rPr>
          <w:rFonts w:ascii="Times New Roman" w:eastAsia="Arial Unicode MS" w:hAnsi="Times New Roman" w:cs="Times New Roman"/>
          <w:color w:val="auto"/>
          <w:sz w:val="24"/>
          <w:szCs w:val="24"/>
          <w:lang w:val="en-AU"/>
        </w:rPr>
        <w:t>version 1.3.0., OTBioelettronica, Torino, Italy</w:t>
      </w:r>
      <w:r w:rsidR="00413E5F" w:rsidRPr="003A1A2E">
        <w:rPr>
          <w:rFonts w:ascii="Times New Roman" w:hAnsi="Times New Roman" w:cs="Times New Roman"/>
          <w:color w:val="auto"/>
          <w:sz w:val="24"/>
          <w:szCs w:val="24"/>
          <w:lang w:val="en-AU"/>
        </w:rPr>
        <w:t xml:space="preserve">. </w:t>
      </w:r>
      <w:r w:rsidR="00C00C22" w:rsidRPr="003A1A2E">
        <w:rPr>
          <w:rFonts w:ascii="Times New Roman" w:hAnsi="Times New Roman" w:cs="Times New Roman"/>
          <w:color w:val="auto"/>
          <w:sz w:val="24"/>
          <w:szCs w:val="24"/>
          <w:lang w:val="en-AU"/>
        </w:rPr>
        <w:t xml:space="preserve">After skin preparation (shaving, light abrasion, and cleansing of area with alcohol), electrodes were positioned following the estimated muscle fibre orientation using a bi-adhesive layer with a conductive paste to ensure good skin-electrode contact and conductibility. </w:t>
      </w:r>
      <w:r w:rsidR="00CA161A" w:rsidRPr="003A1A2E">
        <w:rPr>
          <w:rFonts w:ascii="Times New Roman" w:hAnsi="Times New Roman" w:cs="Times New Roman"/>
          <w:color w:val="auto"/>
          <w:sz w:val="24"/>
          <w:szCs w:val="24"/>
          <w:lang w:val="en-AU"/>
        </w:rPr>
        <w:t>Two</w:t>
      </w:r>
      <w:r w:rsidR="003C2296" w:rsidRPr="003A1A2E">
        <w:rPr>
          <w:rFonts w:ascii="Times New Roman" w:hAnsi="Times New Roman" w:cs="Times New Roman"/>
          <w:color w:val="auto"/>
          <w:sz w:val="24"/>
          <w:szCs w:val="24"/>
          <w:lang w:val="en-AU"/>
        </w:rPr>
        <w:t xml:space="preserve"> 32-channels electrodes arrays</w:t>
      </w:r>
      <w:r w:rsidR="002A0D6D" w:rsidRPr="003A1A2E">
        <w:rPr>
          <w:rFonts w:ascii="Times New Roman" w:hAnsi="Times New Roman" w:cs="Times New Roman"/>
          <w:color w:val="auto"/>
          <w:sz w:val="24"/>
          <w:szCs w:val="24"/>
          <w:lang w:val="en-AU"/>
        </w:rPr>
        <w:t xml:space="preserve"> </w:t>
      </w:r>
      <w:r w:rsidR="003C2296" w:rsidRPr="003A1A2E">
        <w:rPr>
          <w:rFonts w:ascii="Times New Roman" w:hAnsi="Times New Roman" w:cs="Times New Roman"/>
          <w:color w:val="auto"/>
          <w:sz w:val="24"/>
          <w:szCs w:val="24"/>
          <w:lang w:val="en-AU"/>
        </w:rPr>
        <w:t>(</w:t>
      </w:r>
      <w:r w:rsidR="00CD47AD" w:rsidRPr="003A1A2E">
        <w:rPr>
          <w:rFonts w:ascii="Times New Roman" w:eastAsia="Arial Unicode MS" w:hAnsi="Times New Roman" w:cs="Times New Roman"/>
          <w:color w:val="auto"/>
          <w:sz w:val="24"/>
          <w:szCs w:val="24"/>
          <w:lang w:val="en-AU"/>
        </w:rPr>
        <w:t>ELSCH032NM6, OTBioelettronica, Torino, Italy</w:t>
      </w:r>
      <w:r w:rsidR="003C2296" w:rsidRPr="003A1A2E">
        <w:rPr>
          <w:rFonts w:ascii="Times New Roman" w:hAnsi="Times New Roman" w:cs="Times New Roman"/>
          <w:color w:val="auto"/>
          <w:sz w:val="24"/>
          <w:szCs w:val="24"/>
          <w:lang w:val="en-AU"/>
        </w:rPr>
        <w:t xml:space="preserve">) </w:t>
      </w:r>
      <w:r w:rsidR="008A4401" w:rsidRPr="003A1A2E">
        <w:rPr>
          <w:rFonts w:ascii="Times New Roman" w:hAnsi="Times New Roman" w:cs="Times New Roman"/>
          <w:color w:val="auto"/>
          <w:sz w:val="24"/>
          <w:szCs w:val="24"/>
          <w:lang w:val="en-AU"/>
        </w:rPr>
        <w:t>w</w:t>
      </w:r>
      <w:r w:rsidR="00CA161A" w:rsidRPr="003A1A2E">
        <w:rPr>
          <w:rFonts w:ascii="Times New Roman" w:hAnsi="Times New Roman" w:cs="Times New Roman"/>
          <w:color w:val="auto"/>
          <w:sz w:val="24"/>
          <w:szCs w:val="24"/>
          <w:lang w:val="en-AU"/>
        </w:rPr>
        <w:t>ere</w:t>
      </w:r>
      <w:r w:rsidR="003C2296" w:rsidRPr="003A1A2E">
        <w:rPr>
          <w:rFonts w:ascii="Times New Roman" w:hAnsi="Times New Roman" w:cs="Times New Roman"/>
          <w:color w:val="auto"/>
          <w:sz w:val="24"/>
          <w:szCs w:val="24"/>
          <w:lang w:val="en-AU"/>
        </w:rPr>
        <w:t xml:space="preserve"> placed on </w:t>
      </w:r>
      <w:r w:rsidR="0011111E" w:rsidRPr="003A1A2E">
        <w:rPr>
          <w:rFonts w:ascii="Times New Roman" w:hAnsi="Times New Roman" w:cs="Times New Roman"/>
          <w:iCs/>
          <w:color w:val="auto"/>
          <w:sz w:val="24"/>
          <w:szCs w:val="24"/>
          <w:lang w:val="en-AU"/>
        </w:rPr>
        <w:t>soleus</w:t>
      </w:r>
      <w:r w:rsidR="007F5793" w:rsidRPr="003A1A2E">
        <w:rPr>
          <w:rFonts w:ascii="Times New Roman" w:hAnsi="Times New Roman" w:cs="Times New Roman"/>
          <w:color w:val="auto"/>
          <w:sz w:val="24"/>
          <w:szCs w:val="24"/>
          <w:lang w:val="en-AU"/>
        </w:rPr>
        <w:t>,</w:t>
      </w:r>
      <w:r w:rsidR="003C2296" w:rsidRPr="003A1A2E">
        <w:rPr>
          <w:rFonts w:ascii="Times New Roman" w:hAnsi="Times New Roman" w:cs="Times New Roman"/>
          <w:color w:val="auto"/>
          <w:sz w:val="24"/>
          <w:szCs w:val="24"/>
          <w:lang w:val="en-AU"/>
        </w:rPr>
        <w:t xml:space="preserve"> one lateral</w:t>
      </w:r>
      <w:r w:rsidR="00BE06D6" w:rsidRPr="003A1A2E">
        <w:rPr>
          <w:rFonts w:ascii="Times New Roman" w:hAnsi="Times New Roman" w:cs="Times New Roman"/>
          <w:color w:val="auto"/>
          <w:sz w:val="24"/>
          <w:szCs w:val="24"/>
          <w:lang w:val="en-AU"/>
        </w:rPr>
        <w:t>ly</w:t>
      </w:r>
      <w:r w:rsidR="003C2296" w:rsidRPr="003A1A2E">
        <w:rPr>
          <w:rFonts w:ascii="Times New Roman" w:hAnsi="Times New Roman" w:cs="Times New Roman"/>
          <w:color w:val="auto"/>
          <w:sz w:val="24"/>
          <w:szCs w:val="24"/>
          <w:lang w:val="en-AU"/>
        </w:rPr>
        <w:t xml:space="preserve"> and one media</w:t>
      </w:r>
      <w:r w:rsidR="00BE06D6" w:rsidRPr="003A1A2E">
        <w:rPr>
          <w:rFonts w:ascii="Times New Roman" w:hAnsi="Times New Roman" w:cs="Times New Roman"/>
          <w:color w:val="auto"/>
          <w:sz w:val="24"/>
          <w:szCs w:val="24"/>
          <w:lang w:val="en-AU"/>
        </w:rPr>
        <w:t>l</w:t>
      </w:r>
      <w:r w:rsidR="003C2296" w:rsidRPr="003A1A2E">
        <w:rPr>
          <w:rFonts w:ascii="Times New Roman" w:hAnsi="Times New Roman" w:cs="Times New Roman"/>
          <w:color w:val="auto"/>
          <w:sz w:val="24"/>
          <w:szCs w:val="24"/>
          <w:lang w:val="en-AU"/>
        </w:rPr>
        <w:t>l</w:t>
      </w:r>
      <w:r w:rsidR="00BE06D6" w:rsidRPr="003A1A2E">
        <w:rPr>
          <w:rFonts w:ascii="Times New Roman" w:hAnsi="Times New Roman" w:cs="Times New Roman"/>
          <w:color w:val="auto"/>
          <w:sz w:val="24"/>
          <w:szCs w:val="24"/>
          <w:lang w:val="en-AU"/>
        </w:rPr>
        <w:t>y</w:t>
      </w:r>
      <w:r w:rsidR="003C2296" w:rsidRPr="003A1A2E">
        <w:rPr>
          <w:rFonts w:ascii="Times New Roman" w:hAnsi="Times New Roman" w:cs="Times New Roman"/>
          <w:color w:val="auto"/>
          <w:sz w:val="24"/>
          <w:szCs w:val="24"/>
          <w:lang w:val="en-AU"/>
        </w:rPr>
        <w:t xml:space="preserve"> </w:t>
      </w:r>
      <w:r w:rsidR="00C962A9" w:rsidRPr="003A1A2E">
        <w:rPr>
          <w:rFonts w:ascii="Times New Roman" w:hAnsi="Times New Roman" w:cs="Times New Roman"/>
          <w:color w:val="auto"/>
          <w:sz w:val="24"/>
          <w:szCs w:val="24"/>
          <w:lang w:val="en-AU"/>
        </w:rPr>
        <w:t>to</w:t>
      </w:r>
      <w:r w:rsidR="003C2296" w:rsidRPr="003A1A2E">
        <w:rPr>
          <w:rFonts w:ascii="Times New Roman" w:hAnsi="Times New Roman" w:cs="Times New Roman"/>
          <w:color w:val="auto"/>
          <w:sz w:val="24"/>
          <w:szCs w:val="24"/>
          <w:lang w:val="en-AU"/>
        </w:rPr>
        <w:t xml:space="preserve"> the Achilles tendon</w:t>
      </w:r>
      <w:r w:rsidR="00ED0E45" w:rsidRPr="003A1A2E">
        <w:rPr>
          <w:rFonts w:ascii="Times New Roman" w:hAnsi="Times New Roman" w:cs="Times New Roman"/>
          <w:color w:val="auto"/>
          <w:sz w:val="24"/>
          <w:szCs w:val="24"/>
          <w:lang w:val="en-AU"/>
        </w:rPr>
        <w:t xml:space="preserve">. </w:t>
      </w:r>
      <w:r w:rsidR="00ED0E45" w:rsidRPr="003A1A2E">
        <w:rPr>
          <w:rFonts w:ascii="Times New Roman" w:hAnsi="Times New Roman" w:cs="Times New Roman"/>
          <w:color w:val="0D0D0D" w:themeColor="text1" w:themeTint="F2"/>
          <w:sz w:val="24"/>
          <w:szCs w:val="24"/>
        </w:rPr>
        <w:t xml:space="preserve">Two electrodes were used on SOL to increase the number of identified motor units. Data from both electrodes were clustered into one file to increase </w:t>
      </w:r>
      <w:r w:rsidR="00ED0E45" w:rsidRPr="003A1A2E">
        <w:rPr>
          <w:rFonts w:ascii="Times New Roman" w:hAnsi="Times New Roman" w:cs="Times New Roman"/>
          <w:color w:val="0D0D0D" w:themeColor="text1" w:themeTint="F2"/>
          <w:sz w:val="24"/>
          <w:szCs w:val="24"/>
          <w:lang w:val="en-AU"/>
        </w:rPr>
        <w:t xml:space="preserve">motor unit </w:t>
      </w:r>
      <w:r w:rsidR="00ED0E45" w:rsidRPr="003A1A2E">
        <w:rPr>
          <w:rFonts w:ascii="Times New Roman" w:hAnsi="Times New Roman" w:cs="Times New Roman"/>
          <w:color w:val="0D0D0D" w:themeColor="text1" w:themeTint="F2"/>
          <w:sz w:val="24"/>
          <w:szCs w:val="24"/>
        </w:rPr>
        <w:t xml:space="preserve">yield, prior to analysis of SOL </w:t>
      </w:r>
      <w:r w:rsidR="00ED0E45" w:rsidRPr="003A1A2E">
        <w:rPr>
          <w:rFonts w:ascii="Times New Roman" w:hAnsi="Times New Roman" w:cs="Times New Roman"/>
          <w:color w:val="0D0D0D" w:themeColor="text1" w:themeTint="F2"/>
          <w:sz w:val="24"/>
          <w:szCs w:val="24"/>
          <w:lang w:val="en-AU"/>
        </w:rPr>
        <w:t xml:space="preserve">motor unit </w:t>
      </w:r>
      <w:r w:rsidR="00ED0E45" w:rsidRPr="003A1A2E">
        <w:rPr>
          <w:rFonts w:ascii="Times New Roman" w:hAnsi="Times New Roman" w:cs="Times New Roman"/>
          <w:color w:val="0D0D0D" w:themeColor="text1" w:themeTint="F2"/>
          <w:sz w:val="24"/>
          <w:szCs w:val="24"/>
        </w:rPr>
        <w:t>characteristics</w:t>
      </w:r>
      <w:r w:rsidR="00ED0E45" w:rsidRPr="003A1A2E">
        <w:rPr>
          <w:rFonts w:ascii="Times New Roman" w:hAnsi="Times New Roman" w:cs="Times New Roman"/>
          <w:color w:val="0D0D0D" w:themeColor="text1" w:themeTint="F2"/>
          <w:sz w:val="24"/>
          <w:szCs w:val="24"/>
          <w:lang w:val="en-AU"/>
        </w:rPr>
        <w:t xml:space="preserve">. </w:t>
      </w:r>
      <w:r w:rsidR="003C2296" w:rsidRPr="003A1A2E">
        <w:rPr>
          <w:rFonts w:ascii="Times New Roman" w:hAnsi="Times New Roman" w:cs="Times New Roman"/>
          <w:color w:val="auto"/>
          <w:sz w:val="24"/>
          <w:szCs w:val="24"/>
          <w:lang w:val="en-AU"/>
        </w:rPr>
        <w:t xml:space="preserve">The ground </w:t>
      </w:r>
      <w:r w:rsidR="000806E1" w:rsidRPr="003A1A2E">
        <w:rPr>
          <w:rFonts w:ascii="Times New Roman" w:hAnsi="Times New Roman" w:cs="Times New Roman"/>
          <w:color w:val="auto"/>
          <w:sz w:val="24"/>
          <w:szCs w:val="24"/>
          <w:lang w:val="en-AU"/>
        </w:rPr>
        <w:t xml:space="preserve">strap </w:t>
      </w:r>
      <w:r w:rsidR="003C2296" w:rsidRPr="003A1A2E">
        <w:rPr>
          <w:rFonts w:ascii="Times New Roman" w:hAnsi="Times New Roman" w:cs="Times New Roman"/>
          <w:color w:val="auto"/>
          <w:sz w:val="24"/>
          <w:szCs w:val="24"/>
          <w:lang w:val="en-AU"/>
        </w:rPr>
        <w:t>electrode</w:t>
      </w:r>
      <w:r w:rsidR="00CD47AD" w:rsidRPr="003A1A2E">
        <w:rPr>
          <w:rFonts w:ascii="Times New Roman" w:hAnsi="Times New Roman" w:cs="Times New Roman"/>
          <w:color w:val="auto"/>
          <w:sz w:val="24"/>
          <w:szCs w:val="24"/>
          <w:lang w:val="en-AU"/>
        </w:rPr>
        <w:t xml:space="preserve"> (</w:t>
      </w:r>
      <w:r w:rsidR="00CD47AD" w:rsidRPr="003A1A2E">
        <w:rPr>
          <w:rFonts w:ascii="Times New Roman" w:eastAsia="Arial Unicode MS" w:hAnsi="Times New Roman" w:cs="Times New Roman"/>
          <w:color w:val="auto"/>
          <w:sz w:val="24"/>
          <w:szCs w:val="24"/>
          <w:lang w:val="en-AU"/>
        </w:rPr>
        <w:t>WS2, OTBioelettronica, Torino, Italy)</w:t>
      </w:r>
      <w:r w:rsidR="00035C5D" w:rsidRPr="003A1A2E">
        <w:rPr>
          <w:rFonts w:ascii="Times New Roman" w:hAnsi="Times New Roman" w:cs="Times New Roman"/>
          <w:color w:val="auto"/>
          <w:sz w:val="24"/>
          <w:szCs w:val="24"/>
          <w:lang w:val="en-AU"/>
        </w:rPr>
        <w:t xml:space="preserve"> </w:t>
      </w:r>
      <w:r w:rsidR="00EB1D19" w:rsidRPr="003A1A2E">
        <w:rPr>
          <w:rFonts w:ascii="Times New Roman" w:hAnsi="Times New Roman" w:cs="Times New Roman"/>
          <w:color w:val="auto"/>
          <w:sz w:val="24"/>
          <w:szCs w:val="24"/>
          <w:lang w:val="en-AU"/>
        </w:rPr>
        <w:t>was</w:t>
      </w:r>
      <w:r w:rsidR="00CD47AD" w:rsidRPr="003A1A2E">
        <w:rPr>
          <w:rFonts w:ascii="Times New Roman" w:hAnsi="Times New Roman" w:cs="Times New Roman"/>
          <w:color w:val="auto"/>
          <w:sz w:val="24"/>
          <w:szCs w:val="24"/>
          <w:lang w:val="en-AU"/>
        </w:rPr>
        <w:t xml:space="preserve"> dampened</w:t>
      </w:r>
      <w:r w:rsidR="003C2296" w:rsidRPr="003A1A2E">
        <w:rPr>
          <w:rFonts w:ascii="Times New Roman" w:hAnsi="Times New Roman" w:cs="Times New Roman"/>
          <w:color w:val="auto"/>
          <w:sz w:val="24"/>
          <w:szCs w:val="24"/>
          <w:lang w:val="en-AU"/>
        </w:rPr>
        <w:t xml:space="preserve"> </w:t>
      </w:r>
      <w:r w:rsidR="00CD47AD" w:rsidRPr="003A1A2E">
        <w:rPr>
          <w:rFonts w:ascii="Times New Roman" w:hAnsi="Times New Roman" w:cs="Times New Roman"/>
          <w:color w:val="auto"/>
          <w:sz w:val="24"/>
          <w:szCs w:val="24"/>
          <w:lang w:val="en-AU"/>
        </w:rPr>
        <w:t xml:space="preserve">and </w:t>
      </w:r>
      <w:r w:rsidR="008009C8" w:rsidRPr="003A1A2E">
        <w:rPr>
          <w:rFonts w:ascii="Times New Roman" w:hAnsi="Times New Roman" w:cs="Times New Roman"/>
          <w:color w:val="auto"/>
          <w:sz w:val="24"/>
          <w:szCs w:val="24"/>
          <w:lang w:val="en-AU"/>
        </w:rPr>
        <w:t>strapped</w:t>
      </w:r>
      <w:r w:rsidR="003C2296" w:rsidRPr="003A1A2E">
        <w:rPr>
          <w:rFonts w:ascii="Times New Roman" w:hAnsi="Times New Roman" w:cs="Times New Roman"/>
          <w:color w:val="auto"/>
          <w:sz w:val="24"/>
          <w:szCs w:val="24"/>
          <w:lang w:val="en-AU"/>
        </w:rPr>
        <w:t xml:space="preserve"> </w:t>
      </w:r>
      <w:r w:rsidR="005F21B3">
        <w:rPr>
          <w:rFonts w:ascii="Times New Roman" w:hAnsi="Times New Roman" w:cs="Times New Roman"/>
          <w:color w:val="auto"/>
          <w:sz w:val="24"/>
          <w:szCs w:val="24"/>
          <w:lang w:val="en-AU"/>
        </w:rPr>
        <w:t xml:space="preserve">in place </w:t>
      </w:r>
      <w:r w:rsidR="00935140" w:rsidRPr="003A1A2E">
        <w:rPr>
          <w:rFonts w:ascii="Times New Roman" w:hAnsi="Times New Roman" w:cs="Times New Roman"/>
          <w:color w:val="auto"/>
          <w:sz w:val="24"/>
          <w:szCs w:val="24"/>
          <w:lang w:val="en-AU"/>
        </w:rPr>
        <w:t>at</w:t>
      </w:r>
      <w:r w:rsidR="003C2296" w:rsidRPr="003A1A2E">
        <w:rPr>
          <w:rFonts w:ascii="Times New Roman" w:hAnsi="Times New Roman" w:cs="Times New Roman"/>
          <w:color w:val="auto"/>
          <w:sz w:val="24"/>
          <w:szCs w:val="24"/>
          <w:lang w:val="en-AU"/>
        </w:rPr>
        <w:t xml:space="preserve"> </w:t>
      </w:r>
      <w:r w:rsidR="008009C8" w:rsidRPr="003A1A2E">
        <w:rPr>
          <w:rFonts w:ascii="Times New Roman" w:hAnsi="Times New Roman" w:cs="Times New Roman"/>
          <w:color w:val="auto"/>
          <w:sz w:val="24"/>
          <w:szCs w:val="24"/>
          <w:lang w:val="en-AU"/>
        </w:rPr>
        <w:t>the</w:t>
      </w:r>
      <w:r w:rsidR="003C2296" w:rsidRPr="003A1A2E">
        <w:rPr>
          <w:rFonts w:ascii="Times New Roman" w:hAnsi="Times New Roman" w:cs="Times New Roman"/>
          <w:color w:val="auto"/>
          <w:sz w:val="24"/>
          <w:szCs w:val="24"/>
          <w:lang w:val="en-AU"/>
        </w:rPr>
        <w:t xml:space="preserve"> </w:t>
      </w:r>
      <w:r w:rsidR="008009C8" w:rsidRPr="003A1A2E">
        <w:rPr>
          <w:rFonts w:ascii="Times New Roman" w:hAnsi="Times New Roman" w:cs="Times New Roman"/>
          <w:color w:val="auto"/>
          <w:sz w:val="24"/>
          <w:szCs w:val="24"/>
          <w:lang w:val="en-AU"/>
        </w:rPr>
        <w:t>height of the malleol</w:t>
      </w:r>
      <w:r w:rsidR="00935140" w:rsidRPr="003A1A2E">
        <w:rPr>
          <w:rFonts w:ascii="Times New Roman" w:hAnsi="Times New Roman" w:cs="Times New Roman"/>
          <w:color w:val="auto"/>
          <w:sz w:val="24"/>
          <w:szCs w:val="24"/>
          <w:lang w:val="en-AU"/>
        </w:rPr>
        <w:t>i</w:t>
      </w:r>
      <w:r w:rsidR="008009C8" w:rsidRPr="003A1A2E">
        <w:rPr>
          <w:rFonts w:ascii="Times New Roman" w:hAnsi="Times New Roman" w:cs="Times New Roman"/>
          <w:color w:val="auto"/>
          <w:sz w:val="24"/>
          <w:szCs w:val="24"/>
          <w:lang w:val="en-AU"/>
        </w:rPr>
        <w:t xml:space="preserve"> </w:t>
      </w:r>
      <w:r w:rsidR="00035C5D" w:rsidRPr="003A1A2E">
        <w:rPr>
          <w:rFonts w:ascii="Times New Roman" w:hAnsi="Times New Roman" w:cs="Times New Roman"/>
          <w:color w:val="auto"/>
          <w:sz w:val="24"/>
          <w:szCs w:val="24"/>
          <w:lang w:val="en-AU"/>
        </w:rPr>
        <w:t>of the</w:t>
      </w:r>
      <w:r w:rsidR="00734042" w:rsidRPr="003A1A2E">
        <w:rPr>
          <w:rFonts w:ascii="Times New Roman" w:hAnsi="Times New Roman" w:cs="Times New Roman"/>
          <w:color w:val="auto"/>
          <w:sz w:val="24"/>
          <w:szCs w:val="24"/>
          <w:lang w:val="en-AU"/>
        </w:rPr>
        <w:t xml:space="preserve"> tested</w:t>
      </w:r>
      <w:r w:rsidR="00035C5D" w:rsidRPr="003A1A2E">
        <w:rPr>
          <w:rFonts w:ascii="Times New Roman" w:hAnsi="Times New Roman" w:cs="Times New Roman"/>
          <w:color w:val="auto"/>
          <w:sz w:val="24"/>
          <w:szCs w:val="24"/>
          <w:lang w:val="en-AU"/>
        </w:rPr>
        <w:t xml:space="preserve"> leg</w:t>
      </w:r>
      <w:r w:rsidR="003C2296" w:rsidRPr="003A1A2E">
        <w:rPr>
          <w:rFonts w:ascii="Times New Roman" w:hAnsi="Times New Roman" w:cs="Times New Roman"/>
          <w:color w:val="auto"/>
          <w:sz w:val="24"/>
          <w:szCs w:val="24"/>
          <w:lang w:val="en-AU"/>
        </w:rPr>
        <w:t>.</w:t>
      </w:r>
      <w:r w:rsidR="00035C5D" w:rsidRPr="003A1A2E">
        <w:rPr>
          <w:rFonts w:ascii="Times New Roman" w:hAnsi="Times New Roman" w:cs="Times New Roman"/>
          <w:color w:val="auto"/>
          <w:sz w:val="24"/>
          <w:szCs w:val="24"/>
          <w:lang w:val="en-AU"/>
        </w:rPr>
        <w:t xml:space="preserve"> </w:t>
      </w:r>
      <w:r w:rsidR="000806E1" w:rsidRPr="003A1A2E">
        <w:rPr>
          <w:rFonts w:ascii="Times New Roman" w:hAnsi="Times New Roman" w:cs="Times New Roman"/>
          <w:color w:val="auto"/>
          <w:sz w:val="24"/>
          <w:szCs w:val="24"/>
          <w:lang w:val="en-AU"/>
        </w:rPr>
        <w:t>The EMG signals were recorded in monopolar mode</w:t>
      </w:r>
      <w:r w:rsidR="00CD47AD" w:rsidRPr="003A1A2E">
        <w:rPr>
          <w:rFonts w:ascii="Times New Roman" w:hAnsi="Times New Roman" w:cs="Times New Roman"/>
          <w:color w:val="auto"/>
          <w:sz w:val="24"/>
          <w:szCs w:val="24"/>
          <w:lang w:val="en-AU"/>
        </w:rPr>
        <w:t xml:space="preserve">, amplified (256x), band-passed </w:t>
      </w:r>
      <w:r w:rsidR="001F441E" w:rsidRPr="003A1A2E">
        <w:rPr>
          <w:rFonts w:ascii="Times New Roman" w:hAnsi="Times New Roman" w:cs="Times New Roman"/>
          <w:color w:val="auto"/>
          <w:sz w:val="24"/>
          <w:szCs w:val="24"/>
          <w:lang w:val="en-AU"/>
        </w:rPr>
        <w:t>filtered (10-500Hz)</w:t>
      </w:r>
      <w:r w:rsidR="000806E1" w:rsidRPr="003A1A2E">
        <w:rPr>
          <w:rFonts w:ascii="Times New Roman" w:hAnsi="Times New Roman" w:cs="Times New Roman"/>
          <w:color w:val="auto"/>
          <w:sz w:val="24"/>
          <w:szCs w:val="24"/>
          <w:lang w:val="en-AU"/>
        </w:rPr>
        <w:t xml:space="preserve"> and converted to digital </w:t>
      </w:r>
      <w:r w:rsidR="00CD47AD" w:rsidRPr="003A1A2E">
        <w:rPr>
          <w:rFonts w:ascii="Times New Roman" w:hAnsi="Times New Roman" w:cs="Times New Roman"/>
          <w:color w:val="auto"/>
          <w:sz w:val="24"/>
          <w:szCs w:val="24"/>
          <w:lang w:val="en-AU"/>
        </w:rPr>
        <w:t xml:space="preserve">signal at 2048Hz </w:t>
      </w:r>
      <w:r w:rsidR="000806E1" w:rsidRPr="003A1A2E">
        <w:rPr>
          <w:rFonts w:ascii="Times New Roman" w:hAnsi="Times New Roman" w:cs="Times New Roman"/>
          <w:color w:val="auto"/>
          <w:sz w:val="24"/>
          <w:szCs w:val="24"/>
          <w:lang w:val="en-AU"/>
        </w:rPr>
        <w:t>by a 16-bit wireless</w:t>
      </w:r>
      <w:r w:rsidR="00CD47AD" w:rsidRPr="003A1A2E">
        <w:rPr>
          <w:rFonts w:ascii="Times New Roman" w:hAnsi="Times New Roman" w:cs="Times New Roman"/>
          <w:color w:val="auto"/>
          <w:sz w:val="24"/>
          <w:szCs w:val="24"/>
          <w:lang w:val="en-AU"/>
        </w:rPr>
        <w:t xml:space="preserve"> amplifier (</w:t>
      </w:r>
      <w:r w:rsidR="00CD47AD" w:rsidRPr="003A1A2E">
        <w:rPr>
          <w:rStyle w:val="CommentReference"/>
          <w:rFonts w:ascii="Times New Roman" w:hAnsi="Times New Roman" w:cs="Times New Roman"/>
          <w:color w:val="auto"/>
          <w:sz w:val="24"/>
          <w:szCs w:val="24"/>
          <w:lang w:val="en-AU"/>
        </w:rPr>
        <w:t>S</w:t>
      </w:r>
      <w:r w:rsidR="00CD47AD" w:rsidRPr="003A1A2E">
        <w:rPr>
          <w:rFonts w:ascii="Times New Roman" w:hAnsi="Times New Roman" w:cs="Times New Roman"/>
          <w:color w:val="auto"/>
          <w:sz w:val="24"/>
          <w:szCs w:val="24"/>
          <w:lang w:val="en-AU"/>
        </w:rPr>
        <w:t>essantaquattro, OTBioelettronica, Torino, Italy)</w:t>
      </w:r>
      <w:r w:rsidR="001F441E" w:rsidRPr="003A1A2E">
        <w:rPr>
          <w:rFonts w:ascii="Times New Roman" w:hAnsi="Times New Roman" w:cs="Times New Roman"/>
          <w:color w:val="auto"/>
          <w:sz w:val="24"/>
          <w:szCs w:val="24"/>
          <w:lang w:val="en-AU"/>
        </w:rPr>
        <w:t xml:space="preserve">, </w:t>
      </w:r>
      <w:r w:rsidR="000806E1" w:rsidRPr="003A1A2E">
        <w:rPr>
          <w:rFonts w:ascii="Times New Roman" w:hAnsi="Times New Roman" w:cs="Times New Roman"/>
          <w:color w:val="auto"/>
          <w:sz w:val="24"/>
          <w:szCs w:val="24"/>
          <w:lang w:val="en-AU"/>
        </w:rPr>
        <w:t>before being stored for offline analysis.</w:t>
      </w:r>
      <w:r w:rsidR="00674420" w:rsidRPr="003A1A2E">
        <w:rPr>
          <w:rFonts w:ascii="Times New Roman" w:hAnsi="Times New Roman" w:cs="Times New Roman"/>
          <w:color w:val="auto"/>
          <w:sz w:val="24"/>
          <w:szCs w:val="24"/>
          <w:lang w:val="en-AU"/>
        </w:rPr>
        <w:t xml:space="preserve"> </w:t>
      </w:r>
    </w:p>
    <w:p w14:paraId="321CD853" w14:textId="77777777" w:rsidR="00FD0C3C" w:rsidRPr="003A1A2E" w:rsidRDefault="00FD0C3C" w:rsidP="00504A0D">
      <w:pPr>
        <w:pStyle w:val="BodyA"/>
        <w:spacing w:after="0"/>
        <w:ind w:firstLine="0"/>
        <w:rPr>
          <w:rFonts w:ascii="Times New Roman" w:hAnsi="Times New Roman" w:cs="Times New Roman"/>
          <w:color w:val="auto"/>
          <w:sz w:val="24"/>
          <w:szCs w:val="24"/>
          <w:lang w:val="en-AU"/>
        </w:rPr>
      </w:pPr>
    </w:p>
    <w:p w14:paraId="3960749F" w14:textId="74816E04" w:rsidR="00FD0C3C" w:rsidRPr="003A1A2E" w:rsidRDefault="00FD0C3C" w:rsidP="00504A0D">
      <w:pPr>
        <w:autoSpaceDE w:val="0"/>
        <w:autoSpaceDN w:val="0"/>
        <w:adjustRightInd w:val="0"/>
        <w:spacing w:line="480" w:lineRule="auto"/>
        <w:jc w:val="both"/>
        <w:rPr>
          <w:i/>
          <w:iCs/>
        </w:rPr>
      </w:pPr>
      <w:r w:rsidRPr="003A1A2E">
        <w:rPr>
          <w:i/>
          <w:iCs/>
        </w:rPr>
        <w:lastRenderedPageBreak/>
        <w:t>2.</w:t>
      </w:r>
      <w:r w:rsidR="00FD712D" w:rsidRPr="003A1A2E">
        <w:rPr>
          <w:i/>
          <w:iCs/>
        </w:rPr>
        <w:t>3</w:t>
      </w:r>
      <w:r w:rsidRPr="003A1A2E">
        <w:rPr>
          <w:i/>
          <w:iCs/>
        </w:rPr>
        <w:t xml:space="preserve"> Motor unit </w:t>
      </w:r>
      <w:r w:rsidR="00C23BC0" w:rsidRPr="003A1A2E">
        <w:rPr>
          <w:i/>
          <w:iCs/>
        </w:rPr>
        <w:t>identification</w:t>
      </w:r>
    </w:p>
    <w:p w14:paraId="0DEC26F6" w14:textId="148CFA1B" w:rsidR="006A2EC2" w:rsidRPr="003A1A2E" w:rsidRDefault="003C2296" w:rsidP="009C31FE">
      <w:pPr>
        <w:pStyle w:val="BodyA"/>
        <w:spacing w:after="0"/>
        <w:rPr>
          <w:rFonts w:ascii="Times New Roman" w:hAnsi="Times New Roman" w:cs="Times New Roman"/>
          <w:color w:val="auto"/>
          <w:sz w:val="24"/>
          <w:szCs w:val="24"/>
          <w:lang w:val="en-AU"/>
        </w:rPr>
      </w:pPr>
      <w:r w:rsidRPr="003A1A2E">
        <w:rPr>
          <w:rFonts w:ascii="Times New Roman" w:hAnsi="Times New Roman" w:cs="Times New Roman"/>
          <w:color w:val="auto"/>
          <w:sz w:val="24"/>
          <w:szCs w:val="24"/>
          <w:lang w:val="en-AU"/>
        </w:rPr>
        <w:t xml:space="preserve">Torque </w:t>
      </w:r>
      <w:r w:rsidR="00EB1D19" w:rsidRPr="003A1A2E">
        <w:rPr>
          <w:rFonts w:ascii="Times New Roman" w:hAnsi="Times New Roman" w:cs="Times New Roman"/>
          <w:color w:val="auto"/>
          <w:sz w:val="24"/>
          <w:szCs w:val="24"/>
          <w:lang w:val="en-AU"/>
        </w:rPr>
        <w:t>was</w:t>
      </w:r>
      <w:r w:rsidRPr="003A1A2E">
        <w:rPr>
          <w:rFonts w:ascii="Times New Roman" w:hAnsi="Times New Roman" w:cs="Times New Roman"/>
          <w:color w:val="auto"/>
          <w:sz w:val="24"/>
          <w:szCs w:val="24"/>
          <w:lang w:val="en-AU"/>
        </w:rPr>
        <w:t xml:space="preserve"> recorded and analysed with </w:t>
      </w:r>
      <w:r w:rsidR="00CD47AD" w:rsidRPr="003A1A2E">
        <w:rPr>
          <w:rFonts w:ascii="Times New Roman" w:hAnsi="Times New Roman" w:cs="Times New Roman"/>
          <w:color w:val="auto"/>
          <w:sz w:val="24"/>
          <w:szCs w:val="24"/>
          <w:lang w:val="en-AU"/>
        </w:rPr>
        <w:t>OT Biolab+ software</w:t>
      </w:r>
      <w:r w:rsidRPr="003A1A2E">
        <w:rPr>
          <w:rFonts w:ascii="Times New Roman" w:hAnsi="Times New Roman" w:cs="Times New Roman"/>
          <w:color w:val="auto"/>
          <w:sz w:val="24"/>
          <w:szCs w:val="24"/>
          <w:lang w:val="en-AU"/>
        </w:rPr>
        <w:t xml:space="preserve">. HD-EMG signal </w:t>
      </w:r>
      <w:r w:rsidR="008A4401" w:rsidRPr="003A1A2E">
        <w:rPr>
          <w:rFonts w:ascii="Times New Roman" w:hAnsi="Times New Roman" w:cs="Times New Roman"/>
          <w:color w:val="auto"/>
          <w:sz w:val="24"/>
          <w:szCs w:val="24"/>
          <w:lang w:val="en-AU"/>
        </w:rPr>
        <w:t>was</w:t>
      </w:r>
      <w:r w:rsidRPr="003A1A2E">
        <w:rPr>
          <w:rFonts w:ascii="Times New Roman" w:hAnsi="Times New Roman" w:cs="Times New Roman"/>
          <w:color w:val="auto"/>
          <w:sz w:val="24"/>
          <w:szCs w:val="24"/>
          <w:lang w:val="en-AU"/>
        </w:rPr>
        <w:t xml:space="preserve"> recorded and </w:t>
      </w:r>
      <w:r w:rsidR="00035C5D" w:rsidRPr="003A1A2E">
        <w:rPr>
          <w:rFonts w:ascii="Times New Roman" w:hAnsi="Times New Roman" w:cs="Times New Roman"/>
          <w:color w:val="auto"/>
          <w:sz w:val="24"/>
          <w:szCs w:val="24"/>
          <w:lang w:val="en-AU"/>
        </w:rPr>
        <w:t xml:space="preserve">analysed offline, </w:t>
      </w:r>
      <w:r w:rsidRPr="003A1A2E">
        <w:rPr>
          <w:rFonts w:ascii="Times New Roman" w:hAnsi="Times New Roman" w:cs="Times New Roman"/>
          <w:color w:val="auto"/>
          <w:sz w:val="24"/>
          <w:szCs w:val="24"/>
          <w:lang w:val="en-AU"/>
        </w:rPr>
        <w:t xml:space="preserve">decomposed into </w:t>
      </w:r>
      <w:r w:rsidR="00F26051" w:rsidRPr="003A1A2E">
        <w:rPr>
          <w:rFonts w:ascii="Times New Roman" w:hAnsi="Times New Roman" w:cs="Times New Roman"/>
          <w:color w:val="auto"/>
          <w:sz w:val="24"/>
          <w:szCs w:val="24"/>
          <w:lang w:val="en-AU"/>
        </w:rPr>
        <w:t xml:space="preserve">motor unit </w:t>
      </w:r>
      <w:r w:rsidRPr="003A1A2E">
        <w:rPr>
          <w:rFonts w:ascii="Times New Roman" w:hAnsi="Times New Roman" w:cs="Times New Roman"/>
          <w:color w:val="auto"/>
          <w:sz w:val="24"/>
          <w:szCs w:val="24"/>
          <w:lang w:val="en-AU"/>
        </w:rPr>
        <w:t xml:space="preserve">spike </w:t>
      </w:r>
      <w:r w:rsidR="00E12590" w:rsidRPr="003A1A2E">
        <w:rPr>
          <w:rFonts w:ascii="Times New Roman" w:hAnsi="Times New Roman" w:cs="Times New Roman"/>
          <w:color w:val="auto"/>
          <w:sz w:val="24"/>
          <w:szCs w:val="24"/>
          <w:lang w:val="en-AU"/>
        </w:rPr>
        <w:t>trains</w:t>
      </w:r>
      <w:r w:rsidRPr="003A1A2E">
        <w:rPr>
          <w:rFonts w:ascii="Times New Roman" w:hAnsi="Times New Roman" w:cs="Times New Roman"/>
          <w:color w:val="auto"/>
          <w:sz w:val="24"/>
          <w:szCs w:val="24"/>
          <w:lang w:val="en-AU"/>
        </w:rPr>
        <w:t xml:space="preserve">, then converted into instantaneous </w:t>
      </w:r>
      <w:r w:rsidR="00DB2FA2" w:rsidRPr="003A1A2E">
        <w:rPr>
          <w:rFonts w:ascii="Times New Roman" w:hAnsi="Times New Roman" w:cs="Times New Roman"/>
          <w:color w:val="auto"/>
          <w:sz w:val="24"/>
          <w:szCs w:val="24"/>
          <w:lang w:val="en-AU"/>
        </w:rPr>
        <w:t>discharge</w:t>
      </w:r>
      <w:r w:rsidRPr="003A1A2E">
        <w:rPr>
          <w:rFonts w:ascii="Times New Roman" w:hAnsi="Times New Roman" w:cs="Times New Roman"/>
          <w:color w:val="auto"/>
          <w:sz w:val="24"/>
          <w:szCs w:val="24"/>
          <w:lang w:val="en-AU"/>
        </w:rPr>
        <w:t xml:space="preserve"> rates with specialised software using blind source separation decomposition technique</w:t>
      </w:r>
      <w:r w:rsidR="00FB4490" w:rsidRPr="003A1A2E">
        <w:rPr>
          <w:rFonts w:ascii="Times New Roman" w:hAnsi="Times New Roman" w:cs="Times New Roman"/>
          <w:color w:val="auto"/>
          <w:sz w:val="24"/>
          <w:szCs w:val="24"/>
          <w:lang w:val="en-AU"/>
        </w:rPr>
        <w:t xml:space="preserve">, </w:t>
      </w:r>
      <w:r w:rsidR="00035C5D" w:rsidRPr="003A1A2E">
        <w:rPr>
          <w:rFonts w:ascii="Times New Roman" w:hAnsi="Times New Roman" w:cs="Times New Roman"/>
          <w:color w:val="auto"/>
          <w:sz w:val="24"/>
          <w:szCs w:val="24"/>
          <w:lang w:val="en-AU"/>
        </w:rPr>
        <w:t>DEMUSE tool software (v.4</w:t>
      </w:r>
      <w:r w:rsidR="007926D1" w:rsidRPr="003A1A2E">
        <w:rPr>
          <w:rFonts w:ascii="Times New Roman" w:hAnsi="Times New Roman" w:cs="Times New Roman"/>
          <w:color w:val="auto"/>
          <w:sz w:val="24"/>
          <w:szCs w:val="24"/>
          <w:lang w:val="en-AU"/>
        </w:rPr>
        <w:t>.1</w:t>
      </w:r>
      <w:r w:rsidR="00035C5D" w:rsidRPr="003A1A2E">
        <w:rPr>
          <w:rFonts w:ascii="Times New Roman" w:hAnsi="Times New Roman" w:cs="Times New Roman"/>
          <w:color w:val="auto"/>
          <w:sz w:val="24"/>
          <w:szCs w:val="24"/>
          <w:lang w:val="en-AU"/>
        </w:rPr>
        <w:t>; The University of Maribor, Slovenia)</w:t>
      </w:r>
      <w:r w:rsidR="006E2AF3" w:rsidRPr="003A1A2E">
        <w:rPr>
          <w:rFonts w:ascii="Times New Roman" w:hAnsi="Times New Roman" w:cs="Times New Roman"/>
          <w:color w:val="auto"/>
          <w:sz w:val="24"/>
          <w:szCs w:val="24"/>
          <w:lang w:val="en-AU"/>
        </w:rPr>
        <w:fldChar w:fldCharType="begin" w:fldLock="1"/>
      </w:r>
      <w:r w:rsidR="00D87B12">
        <w:rPr>
          <w:rFonts w:ascii="Times New Roman" w:hAnsi="Times New Roman" w:cs="Times New Roman"/>
          <w:color w:val="auto"/>
          <w:sz w:val="24"/>
          <w:szCs w:val="24"/>
          <w:lang w:val="en-AU"/>
        </w:rPr>
        <w:instrText>ADDIN CSL_CITATION {"citationItems":[{"id":"ITEM-1","itemData":{"DOI":"10.1016/j.jelekin.2020.102426","ISSN":"18735711","PMID":"32438235","abstract":"Recent work demonstrated that it is possible to identify motor unit discharge times from high-density surface EMG (HDEMG) decomposition. Since then, the number of studies that use HDEMG decomposition for motor unit investigations has increased considerably. Although HDEMG decomposition is a semi-automatic process, the analysis and interpretation of the motor unit pulse trains requires a thorough inspection of the output of the decomposition result. Here, we report guidelines to perform an accurate extraction of motor unit discharge times and interpretation of the signals. This tutorial includes a discussion of the differences between the extraction of global EMG signal features versus the identification of motor unit activity for physiological investigations followed by a comprehensive guide on how to acquire, inspect, and decompose HDEMG signals, and robust extraction of motor unit discharge characteristics.","author":[{"dropping-particle":"","family":"Vecchio","given":"A.","non-dropping-particle":"Del","parse-names":false,"suffix":""},{"dropping-particle":"","family":"Holobar","given":"A.","non-dropping-particle":"","parse-names":false,"suffix":""},{"dropping-particle":"","family":"Falla","given":"D.","non-dropping-particle":"","parse-names":false,"suffix":""},{"dropping-particle":"","family":"Felici","given":"F.","non-dropping-particle":"","parse-names":false,"suffix":""},{"dropping-particle":"","family":"Enoka","given":"R. M.","non-dropping-particle":"","parse-names":false,"suffix":""},{"dropping-particle":"","family":"Farina","given":"D.","non-dropping-particle":"","parse-names":false,"suffix":""}],"container-title":"Journal of Electromyography and Kinesiology","id":"ITEM-1","issued":{"date-parts":[["2020"]]},"page":"102426","publisher":"Elsevier Ltd","title":"Tutorial: Analysis of motor unit discharge characteristics from high-density surface EMG signals","type":"article-journal","volume":"53"},"uris":["http://www.mendeley.com/documents/?uuid=abe2731f-79e8-4c5a-a658-867a56e1b252"]}],"mendeley":{"formattedCitation":"&lt;sup&gt;24&lt;/sup&gt;","plainTextFormattedCitation":"24","previouslyFormattedCitation":"&lt;sup&gt;24&lt;/sup&gt;"},"properties":{"noteIndex":0},"schema":"https://github.com/citation-style-language/schema/raw/master/csl-citation.json"}</w:instrText>
      </w:r>
      <w:r w:rsidR="006E2AF3" w:rsidRPr="003A1A2E">
        <w:rPr>
          <w:rFonts w:ascii="Times New Roman" w:hAnsi="Times New Roman" w:cs="Times New Roman"/>
          <w:color w:val="auto"/>
          <w:sz w:val="24"/>
          <w:szCs w:val="24"/>
          <w:lang w:val="en-AU"/>
        </w:rPr>
        <w:fldChar w:fldCharType="separate"/>
      </w:r>
      <w:r w:rsidR="00D87B12" w:rsidRPr="00D87B12">
        <w:rPr>
          <w:rFonts w:ascii="Times New Roman" w:hAnsi="Times New Roman" w:cs="Times New Roman"/>
          <w:noProof/>
          <w:color w:val="auto"/>
          <w:sz w:val="24"/>
          <w:szCs w:val="24"/>
          <w:vertAlign w:val="superscript"/>
          <w:lang w:val="en-AU"/>
        </w:rPr>
        <w:t>24</w:t>
      </w:r>
      <w:r w:rsidR="006E2AF3" w:rsidRPr="003A1A2E">
        <w:rPr>
          <w:rFonts w:ascii="Times New Roman" w:hAnsi="Times New Roman" w:cs="Times New Roman"/>
          <w:color w:val="auto"/>
          <w:sz w:val="24"/>
          <w:szCs w:val="24"/>
          <w:lang w:val="en-AU"/>
        </w:rPr>
        <w:fldChar w:fldCharType="end"/>
      </w:r>
      <w:r w:rsidRPr="003A1A2E">
        <w:rPr>
          <w:rFonts w:ascii="Times New Roman" w:hAnsi="Times New Roman" w:cs="Times New Roman"/>
          <w:color w:val="auto"/>
          <w:sz w:val="24"/>
          <w:szCs w:val="24"/>
          <w:lang w:val="en-AU"/>
        </w:rPr>
        <w:t xml:space="preserve">. </w:t>
      </w:r>
      <w:r w:rsidR="00980B53" w:rsidRPr="003A1A2E">
        <w:rPr>
          <w:rFonts w:ascii="Times New Roman" w:hAnsi="Times New Roman" w:cs="Times New Roman"/>
          <w:color w:val="auto"/>
          <w:sz w:val="24"/>
          <w:szCs w:val="24"/>
          <w:lang w:val="en-AU"/>
        </w:rPr>
        <w:t>T</w:t>
      </w:r>
      <w:r w:rsidR="00674420" w:rsidRPr="003A1A2E">
        <w:rPr>
          <w:rFonts w:ascii="Times New Roman" w:hAnsi="Times New Roman" w:cs="Times New Roman"/>
          <w:color w:val="auto"/>
          <w:sz w:val="24"/>
          <w:szCs w:val="24"/>
          <w:lang w:val="en-AU"/>
        </w:rPr>
        <w:t xml:space="preserve">he </w:t>
      </w:r>
      <w:r w:rsidR="0007665F" w:rsidRPr="003A1A2E">
        <w:rPr>
          <w:rFonts w:ascii="Times New Roman" w:hAnsi="Times New Roman" w:cs="Times New Roman"/>
          <w:color w:val="auto"/>
          <w:sz w:val="24"/>
          <w:szCs w:val="24"/>
          <w:lang w:val="en-AU"/>
        </w:rPr>
        <w:t>single</w:t>
      </w:r>
      <w:r w:rsidR="00674420" w:rsidRPr="003A1A2E">
        <w:rPr>
          <w:rFonts w:ascii="Times New Roman" w:hAnsi="Times New Roman" w:cs="Times New Roman"/>
          <w:color w:val="auto"/>
          <w:sz w:val="24"/>
          <w:szCs w:val="24"/>
          <w:lang w:val="en-AU"/>
        </w:rPr>
        <w:t xml:space="preserve"> best contraction, with the lowest deviation from torque trajectory, </w:t>
      </w:r>
      <w:r w:rsidR="0007665F" w:rsidRPr="003A1A2E">
        <w:rPr>
          <w:rFonts w:ascii="Times New Roman" w:hAnsi="Times New Roman" w:cs="Times New Roman"/>
          <w:color w:val="auto"/>
          <w:sz w:val="24"/>
          <w:szCs w:val="24"/>
          <w:lang w:val="en-AU"/>
        </w:rPr>
        <w:t>was</w:t>
      </w:r>
      <w:r w:rsidR="00674420" w:rsidRPr="003A1A2E">
        <w:rPr>
          <w:rFonts w:ascii="Times New Roman" w:hAnsi="Times New Roman" w:cs="Times New Roman"/>
          <w:color w:val="auto"/>
          <w:sz w:val="24"/>
          <w:szCs w:val="24"/>
          <w:lang w:val="en-AU"/>
        </w:rPr>
        <w:t xml:space="preserve"> analys</w:t>
      </w:r>
      <w:r w:rsidR="0007665F" w:rsidRPr="003A1A2E">
        <w:rPr>
          <w:rFonts w:ascii="Times New Roman" w:hAnsi="Times New Roman" w:cs="Times New Roman"/>
          <w:color w:val="auto"/>
          <w:sz w:val="24"/>
          <w:szCs w:val="24"/>
          <w:lang w:val="en-AU"/>
        </w:rPr>
        <w:t>ed</w:t>
      </w:r>
      <w:r w:rsidR="00674420" w:rsidRPr="003A1A2E">
        <w:rPr>
          <w:rFonts w:ascii="Times New Roman" w:hAnsi="Times New Roman" w:cs="Times New Roman"/>
          <w:color w:val="auto"/>
          <w:sz w:val="24"/>
          <w:szCs w:val="24"/>
          <w:lang w:val="en-AU"/>
        </w:rPr>
        <w:t xml:space="preserve">. </w:t>
      </w:r>
      <w:r w:rsidR="002A661B" w:rsidRPr="003A1A2E">
        <w:rPr>
          <w:rFonts w:ascii="Times New Roman" w:hAnsi="Times New Roman" w:cs="Times New Roman"/>
          <w:color w:val="auto"/>
          <w:sz w:val="24"/>
          <w:szCs w:val="24"/>
          <w:lang w:val="en-AU"/>
        </w:rPr>
        <w:t xml:space="preserve">If two or three contractions presented similar torque trajectory, the one with more </w:t>
      </w:r>
      <w:r w:rsidR="00FF3302" w:rsidRPr="003A1A2E">
        <w:rPr>
          <w:rFonts w:ascii="Times New Roman" w:hAnsi="Times New Roman" w:cs="Times New Roman"/>
          <w:color w:val="auto"/>
          <w:sz w:val="24"/>
          <w:szCs w:val="24"/>
          <w:lang w:val="en-AU"/>
        </w:rPr>
        <w:t xml:space="preserve">identified </w:t>
      </w:r>
      <w:r w:rsidR="002A661B" w:rsidRPr="003A1A2E">
        <w:rPr>
          <w:rFonts w:ascii="Times New Roman" w:hAnsi="Times New Roman" w:cs="Times New Roman"/>
          <w:color w:val="auto"/>
          <w:sz w:val="24"/>
          <w:szCs w:val="24"/>
          <w:lang w:val="en-AU"/>
        </w:rPr>
        <w:t xml:space="preserve">motor units was chosen for analysis. </w:t>
      </w:r>
      <w:r w:rsidRPr="003A1A2E">
        <w:rPr>
          <w:rFonts w:ascii="Times New Roman" w:hAnsi="Times New Roman" w:cs="Times New Roman"/>
          <w:color w:val="auto"/>
          <w:sz w:val="24"/>
          <w:szCs w:val="24"/>
          <w:lang w:val="en-AU"/>
        </w:rPr>
        <w:t xml:space="preserve">All </w:t>
      </w:r>
      <w:r w:rsidR="00F26051" w:rsidRPr="003A1A2E">
        <w:rPr>
          <w:rFonts w:ascii="Times New Roman" w:hAnsi="Times New Roman" w:cs="Times New Roman"/>
          <w:color w:val="auto"/>
          <w:sz w:val="24"/>
          <w:szCs w:val="24"/>
          <w:lang w:val="en-AU"/>
        </w:rPr>
        <w:t xml:space="preserve">motor units </w:t>
      </w:r>
      <w:r w:rsidR="008A4401" w:rsidRPr="003A1A2E">
        <w:rPr>
          <w:rFonts w:ascii="Times New Roman" w:hAnsi="Times New Roman" w:cs="Times New Roman"/>
          <w:color w:val="auto"/>
          <w:sz w:val="24"/>
          <w:szCs w:val="24"/>
          <w:lang w:val="en-AU"/>
        </w:rPr>
        <w:t>were</w:t>
      </w:r>
      <w:r w:rsidRPr="003A1A2E">
        <w:rPr>
          <w:rFonts w:ascii="Times New Roman" w:hAnsi="Times New Roman" w:cs="Times New Roman"/>
          <w:color w:val="auto"/>
          <w:sz w:val="24"/>
          <w:szCs w:val="24"/>
          <w:lang w:val="en-AU"/>
        </w:rPr>
        <w:t xml:space="preserve"> visually inspected</w:t>
      </w:r>
      <w:r w:rsidR="00C00C22" w:rsidRPr="003A1A2E">
        <w:rPr>
          <w:rFonts w:ascii="Times New Roman" w:hAnsi="Times New Roman" w:cs="Times New Roman"/>
          <w:color w:val="auto"/>
          <w:sz w:val="24"/>
          <w:szCs w:val="24"/>
          <w:lang w:val="en-AU"/>
        </w:rPr>
        <w:t>,</w:t>
      </w:r>
      <w:r w:rsidRPr="003A1A2E">
        <w:rPr>
          <w:rFonts w:ascii="Times New Roman" w:hAnsi="Times New Roman" w:cs="Times New Roman"/>
          <w:color w:val="auto"/>
          <w:sz w:val="24"/>
          <w:szCs w:val="24"/>
          <w:lang w:val="en-AU"/>
        </w:rPr>
        <w:t xml:space="preserve"> </w:t>
      </w:r>
      <w:r w:rsidR="000806E1" w:rsidRPr="003A1A2E">
        <w:rPr>
          <w:rFonts w:ascii="Times New Roman" w:hAnsi="Times New Roman" w:cs="Times New Roman"/>
          <w:color w:val="auto"/>
          <w:sz w:val="24"/>
          <w:szCs w:val="24"/>
          <w:lang w:val="en-AU"/>
        </w:rPr>
        <w:t>erroneous discharge times</w:t>
      </w:r>
      <w:r w:rsidR="00C00C22" w:rsidRPr="003A1A2E">
        <w:rPr>
          <w:rFonts w:ascii="Times New Roman" w:hAnsi="Times New Roman" w:cs="Times New Roman"/>
          <w:color w:val="auto"/>
          <w:sz w:val="24"/>
          <w:szCs w:val="24"/>
          <w:lang w:val="en-AU"/>
        </w:rPr>
        <w:t xml:space="preserve"> were excluded, and missed discharges included</w:t>
      </w:r>
      <w:r w:rsidR="006E2AF3" w:rsidRPr="003A1A2E">
        <w:rPr>
          <w:rFonts w:ascii="Times New Roman" w:hAnsi="Times New Roman" w:cs="Times New Roman"/>
          <w:color w:val="auto"/>
          <w:sz w:val="24"/>
          <w:szCs w:val="24"/>
          <w:vertAlign w:val="superscript"/>
          <w:lang w:val="en-AU"/>
        </w:rPr>
        <w:fldChar w:fldCharType="begin" w:fldLock="1"/>
      </w:r>
      <w:r w:rsidR="00D87B12">
        <w:rPr>
          <w:rFonts w:ascii="Times New Roman" w:hAnsi="Times New Roman" w:cs="Times New Roman"/>
          <w:color w:val="auto"/>
          <w:sz w:val="24"/>
          <w:szCs w:val="24"/>
          <w:vertAlign w:val="superscript"/>
          <w:lang w:val="en-AU"/>
        </w:rPr>
        <w:instrText>ADDIN CSL_CITATION {"citationItems":[{"id":"ITEM-1","itemData":{"DOI":"10.1016/j.jelekin.2020.102426","ISSN":"18735711","PMID":"32438235","abstract":"Recent work demonstrated that it is possible to identify motor unit discharge times from high-density surface EMG (HDEMG) decomposition. Since then, the number of studies that use HDEMG decomposition for motor unit investigations has increased considerably. Although HDEMG decomposition is a semi-automatic process, the analysis and interpretation of the motor unit pulse trains requires a thorough inspection of the output of the decomposition result. Here, we report guidelines to perform an accurate extraction of motor unit discharge times and interpretation of the signals. This tutorial includes a discussion of the differences between the extraction of global EMG signal features versus the identification of motor unit activity for physiological investigations followed by a comprehensive guide on how to acquire, inspect, and decompose HDEMG signals, and robust extraction of motor unit discharge characteristics.","author":[{"dropping-particle":"","family":"Vecchio","given":"A.","non-dropping-particle":"Del","parse-names":false,"suffix":""},{"dropping-particle":"","family":"Holobar","given":"A.","non-dropping-particle":"","parse-names":false,"suffix":""},{"dropping-particle":"","family":"Falla","given":"D.","non-dropping-particle":"","parse-names":false,"suffix":""},{"dropping-particle":"","family":"Felici","given":"F.","non-dropping-particle":"","parse-names":false,"suffix":""},{"dropping-particle":"","family":"Enoka","given":"R. M.","non-dropping-particle":"","parse-names":false,"suffix":""},{"dropping-particle":"","family":"Farina","given":"D.","non-dropping-particle":"","parse-names":false,"suffix":""}],"container-title":"Journal of Electromyography and Kinesiology","id":"ITEM-1","issued":{"date-parts":[["2020"]]},"page":"102426","publisher":"Elsevier Ltd","title":"Tutorial: Analysis of motor unit discharge characteristics from high-density surface EMG signals","type":"article-journal","volume":"53"},"uris":["http://www.mendeley.com/documents/?uuid=abe2731f-79e8-4c5a-a658-867a56e1b252"]}],"mendeley":{"formattedCitation":"&lt;sup&gt;24&lt;/sup&gt;","plainTextFormattedCitation":"24","previouslyFormattedCitation":"&lt;sup&gt;24&lt;/sup&gt;"},"properties":{"noteIndex":0},"schema":"https://github.com/citation-style-language/schema/raw/master/csl-citation.json"}</w:instrText>
      </w:r>
      <w:r w:rsidR="006E2AF3" w:rsidRPr="003A1A2E">
        <w:rPr>
          <w:rFonts w:ascii="Times New Roman" w:hAnsi="Times New Roman" w:cs="Times New Roman"/>
          <w:color w:val="auto"/>
          <w:sz w:val="24"/>
          <w:szCs w:val="24"/>
          <w:vertAlign w:val="superscript"/>
          <w:lang w:val="en-AU"/>
        </w:rPr>
        <w:fldChar w:fldCharType="separate"/>
      </w:r>
      <w:r w:rsidR="00D87B12" w:rsidRPr="00D87B12">
        <w:rPr>
          <w:rFonts w:ascii="Times New Roman" w:hAnsi="Times New Roman" w:cs="Times New Roman"/>
          <w:noProof/>
          <w:color w:val="auto"/>
          <w:sz w:val="24"/>
          <w:szCs w:val="24"/>
          <w:vertAlign w:val="superscript"/>
          <w:lang w:val="en-AU"/>
        </w:rPr>
        <w:t>24</w:t>
      </w:r>
      <w:r w:rsidR="006E2AF3" w:rsidRPr="003A1A2E">
        <w:rPr>
          <w:rFonts w:ascii="Times New Roman" w:hAnsi="Times New Roman" w:cs="Times New Roman"/>
          <w:color w:val="auto"/>
          <w:sz w:val="24"/>
          <w:szCs w:val="24"/>
          <w:vertAlign w:val="superscript"/>
          <w:lang w:val="en-AU"/>
        </w:rPr>
        <w:fldChar w:fldCharType="end"/>
      </w:r>
      <w:r w:rsidR="000806E1" w:rsidRPr="003A1A2E">
        <w:rPr>
          <w:rFonts w:ascii="Times New Roman" w:hAnsi="Times New Roman" w:cs="Times New Roman"/>
          <w:color w:val="auto"/>
          <w:sz w:val="24"/>
          <w:szCs w:val="24"/>
          <w:lang w:val="en-AU"/>
        </w:rPr>
        <w:t>.</w:t>
      </w:r>
      <w:r w:rsidR="00AC5AF2" w:rsidRPr="003A1A2E">
        <w:rPr>
          <w:rFonts w:ascii="Times New Roman" w:hAnsi="Times New Roman" w:cs="Times New Roman"/>
          <w:color w:val="auto"/>
          <w:sz w:val="24"/>
          <w:szCs w:val="24"/>
          <w:lang w:val="en-AU"/>
        </w:rPr>
        <w:t xml:space="preserve"> Manual</w:t>
      </w:r>
      <w:r w:rsidR="00423CEA" w:rsidRPr="003A1A2E">
        <w:rPr>
          <w:rFonts w:ascii="Times New Roman" w:hAnsi="Times New Roman" w:cs="Times New Roman"/>
          <w:color w:val="auto"/>
          <w:sz w:val="24"/>
          <w:szCs w:val="24"/>
          <w:lang w:val="en-AU"/>
        </w:rPr>
        <w:t xml:space="preserve"> editing and visual</w:t>
      </w:r>
      <w:r w:rsidR="00AC5AF2" w:rsidRPr="003A1A2E">
        <w:rPr>
          <w:rFonts w:ascii="Times New Roman" w:hAnsi="Times New Roman" w:cs="Times New Roman"/>
          <w:color w:val="auto"/>
          <w:sz w:val="24"/>
          <w:szCs w:val="24"/>
          <w:lang w:val="en-AU"/>
        </w:rPr>
        <w:t xml:space="preserve"> inspection is required to reduce automatic decomposition discharge errors and improve data reliability</w:t>
      </w:r>
      <w:r w:rsidR="006E2AF3" w:rsidRPr="003A1A2E">
        <w:rPr>
          <w:rFonts w:ascii="Times New Roman" w:hAnsi="Times New Roman" w:cs="Times New Roman"/>
          <w:color w:val="auto"/>
          <w:sz w:val="24"/>
          <w:szCs w:val="24"/>
          <w:lang w:val="en-AU"/>
        </w:rPr>
        <w:fldChar w:fldCharType="begin" w:fldLock="1"/>
      </w:r>
      <w:r w:rsidR="00D87B12">
        <w:rPr>
          <w:rFonts w:ascii="Times New Roman" w:hAnsi="Times New Roman" w:cs="Times New Roman"/>
          <w:color w:val="auto"/>
          <w:sz w:val="24"/>
          <w:szCs w:val="24"/>
          <w:lang w:val="en-AU"/>
        </w:rPr>
        <w:instrText>ADDIN CSL_CITATION {"citationItems":[{"id":"ITEM-1","itemData":{"DOI":"10.1016/j.clinph.2015.10.065","ISSN":"18728952","PMID":"26778718","abstract":"Objective: To assess the intra- and inter-session reliability of estimates of motor unit behavior and muscle fiber properties derived from high-density surface electromyography (HDEMG). Methods: Ten healthy subjects performed submaximal isometric knee extensions during three recording sessions (separate days) at 10%, 30%, 50% and 70% of their maximum voluntary effort. The discharge timings of motor units of the vastus lateralis and medialis muscles were automatically identified from HDEMG by a decomposition algorithm. We characterized the number of detected motor units, their discharge rates, the coefficient of variation of their inter-spike intervals (CoVisi), the action potential conduction velocity and peak-to-peak amplitude. Reliability was assessed for each motor unit characteristics by intra-class correlation coefficient (ICC). Additionally, a pulse-to-noise ratio (PNR) was calculated, to verify the accuracy of the decomposition. Results: Good to excellent reliability within and between sessions was found for all motor unit characteristics at all force levels (ICCs &gt; 0.8), with the exception of CoVisi that presented poor reliability (ICC &lt; 0.6). PNR was high and similar for both muscles with values ranging between 45.1 and 47.6 dB (accuracy &gt; 95%). Conclusion: Motor unit features can be assessed non-invasively and reliably within and across sessions over a wide range of force levels. Significance: These results suggest that it is possible to characterize motor units in longitudinal intervention studies.","author":[{"dropping-particle":"","family":"Martinez-Valdes","given":"E.","non-dropping-particle":"","parse-names":false,"suffix":""},{"dropping-particle":"","family":"Laine","given":"C. M.","non-dropping-particle":"","parse-names":false,"suffix":""},{"dropping-particle":"","family":"Falla","given":"D.","non-dropping-particle":"","parse-names":false,"suffix":""},{"dropping-particle":"","family":"Mayer","given":"F.","non-dropping-particle":"","parse-names":false,"suffix":""},{"dropping-particle":"","family":"Farina","given":"D.","non-dropping-particle":"","parse-names":false,"suffix":""}],"container-title":"Clinical Neurophysiology","id":"ITEM-1","issue":"6","issued":{"date-parts":[["2016"]]},"page":"2534-2541","publisher":"International Federation of Clinical Neurophysiology","title":"High-density surface electromyography provides reliable estimates of motor unit behavior","type":"article-journal","volume":"127"},"uris":["http://www.mendeley.com/documents/?uuid=e9384a22-e240-4cd9-b847-3fb54a64b43b"]}],"mendeley":{"formattedCitation":"&lt;sup&gt;25&lt;/sup&gt;","plainTextFormattedCitation":"25","previouslyFormattedCitation":"&lt;sup&gt;25&lt;/sup&gt;"},"properties":{"noteIndex":0},"schema":"https://github.com/citation-style-language/schema/raw/master/csl-citation.json"}</w:instrText>
      </w:r>
      <w:r w:rsidR="006E2AF3" w:rsidRPr="003A1A2E">
        <w:rPr>
          <w:rFonts w:ascii="Times New Roman" w:hAnsi="Times New Roman" w:cs="Times New Roman"/>
          <w:color w:val="auto"/>
          <w:sz w:val="24"/>
          <w:szCs w:val="24"/>
          <w:lang w:val="en-AU"/>
        </w:rPr>
        <w:fldChar w:fldCharType="separate"/>
      </w:r>
      <w:r w:rsidR="00D87B12" w:rsidRPr="00D87B12">
        <w:rPr>
          <w:rFonts w:ascii="Times New Roman" w:hAnsi="Times New Roman" w:cs="Times New Roman"/>
          <w:noProof/>
          <w:color w:val="auto"/>
          <w:sz w:val="24"/>
          <w:szCs w:val="24"/>
          <w:vertAlign w:val="superscript"/>
          <w:lang w:val="en-AU"/>
        </w:rPr>
        <w:t>25</w:t>
      </w:r>
      <w:r w:rsidR="006E2AF3" w:rsidRPr="003A1A2E">
        <w:rPr>
          <w:rFonts w:ascii="Times New Roman" w:hAnsi="Times New Roman" w:cs="Times New Roman"/>
          <w:color w:val="auto"/>
          <w:sz w:val="24"/>
          <w:szCs w:val="24"/>
          <w:lang w:val="en-AU"/>
        </w:rPr>
        <w:fldChar w:fldCharType="end"/>
      </w:r>
      <w:r w:rsidR="00AC5AF2" w:rsidRPr="003A1A2E">
        <w:rPr>
          <w:rFonts w:ascii="Times New Roman" w:hAnsi="Times New Roman" w:cs="Times New Roman"/>
          <w:color w:val="auto"/>
          <w:sz w:val="24"/>
          <w:szCs w:val="24"/>
          <w:lang w:val="en-AU"/>
        </w:rPr>
        <w:t>.</w:t>
      </w:r>
      <w:bookmarkStart w:id="11" w:name="_Hlk112749914"/>
      <w:r w:rsidR="00276D0B" w:rsidRPr="003A1A2E">
        <w:rPr>
          <w:rFonts w:ascii="Times New Roman" w:hAnsi="Times New Roman" w:cs="Times New Roman"/>
          <w:color w:val="0D0D0D" w:themeColor="text1" w:themeTint="F2"/>
          <w:sz w:val="24"/>
          <w:szCs w:val="24"/>
          <w:lang w:val="en-AU"/>
        </w:rPr>
        <w:t xml:space="preserve"> Reliability </w:t>
      </w:r>
      <w:bookmarkStart w:id="12" w:name="_Hlk112749988"/>
      <w:r w:rsidR="00276D0B" w:rsidRPr="003A1A2E">
        <w:rPr>
          <w:rFonts w:ascii="Times New Roman" w:hAnsi="Times New Roman" w:cs="Times New Roman"/>
          <w:color w:val="0D0D0D" w:themeColor="text1" w:themeTint="F2"/>
          <w:sz w:val="24"/>
          <w:szCs w:val="24"/>
          <w:lang w:val="en-AU"/>
        </w:rPr>
        <w:t xml:space="preserve">for manual </w:t>
      </w:r>
      <w:bookmarkEnd w:id="12"/>
      <w:r w:rsidR="00276D0B" w:rsidRPr="003A1A2E">
        <w:rPr>
          <w:rFonts w:ascii="Times New Roman" w:hAnsi="Times New Roman" w:cs="Times New Roman"/>
          <w:color w:val="0D0D0D" w:themeColor="text1" w:themeTint="F2"/>
          <w:sz w:val="24"/>
          <w:szCs w:val="24"/>
          <w:lang w:val="en-AU"/>
        </w:rPr>
        <w:t xml:space="preserve">inspection is very high across operators for motor unit mean discharge rate and recruitment with </w:t>
      </w:r>
      <w:bookmarkStart w:id="13" w:name="_Hlk112763847"/>
      <w:r w:rsidR="00276D0B" w:rsidRPr="003A1A2E">
        <w:rPr>
          <w:rFonts w:ascii="Times New Roman" w:hAnsi="Times New Roman" w:cs="Times New Roman"/>
          <w:color w:val="0D0D0D" w:themeColor="text1" w:themeTint="F2"/>
          <w:sz w:val="24"/>
          <w:szCs w:val="24"/>
          <w:lang w:val="en-AU"/>
        </w:rPr>
        <w:t xml:space="preserve">intra-class correlation coefficient </w:t>
      </w:r>
      <w:bookmarkEnd w:id="13"/>
      <w:r w:rsidR="00276D0B" w:rsidRPr="003A1A2E">
        <w:rPr>
          <w:rFonts w:ascii="Times New Roman" w:hAnsi="Times New Roman" w:cs="Times New Roman"/>
          <w:color w:val="0D0D0D" w:themeColor="text1" w:themeTint="F2"/>
          <w:sz w:val="24"/>
          <w:szCs w:val="24"/>
          <w:lang w:val="en-AU"/>
        </w:rPr>
        <w:t>(ICC) of &gt;0.99</w:t>
      </w:r>
      <w:r w:rsidR="00276D0B" w:rsidRPr="003A1A2E">
        <w:rPr>
          <w:rFonts w:ascii="Times New Roman" w:hAnsi="Times New Roman" w:cs="Times New Roman"/>
          <w:color w:val="0D0D0D" w:themeColor="text1" w:themeTint="F2"/>
          <w:sz w:val="24"/>
          <w:szCs w:val="24"/>
          <w:lang w:val="en-AU"/>
        </w:rPr>
        <w:fldChar w:fldCharType="begin" w:fldLock="1"/>
      </w:r>
      <w:r w:rsidR="00D87B12">
        <w:rPr>
          <w:rFonts w:ascii="Times New Roman" w:hAnsi="Times New Roman" w:cs="Times New Roman"/>
          <w:color w:val="0D0D0D" w:themeColor="text1" w:themeTint="F2"/>
          <w:sz w:val="24"/>
          <w:szCs w:val="24"/>
          <w:lang w:val="en-AU"/>
        </w:rPr>
        <w:instrText>ADDIN CSL_CITATION {"citationItems":[{"id":"ITEM-1","itemData":{"DOI":"10.1016/j.jelekin.2021.102548","ISSN":"18735711","PMID":"33838590","abstract":"There is a growing interest in decomposing high-density surface electromyography (HDsEMG) into motor unit spike trains to improve knowledge on the neural control of muscle contraction. However, the reliability of decomposition approaches is sometimes questioned, especially because they require manual editing of the outputs. We aimed to assess the inter-operator reliability of the identification of motor unit spike trains. Eight operators with varying experience in HDsEMG decomposition were provided with the same data extracted using the convolutive kernel compensation method. They were asked to manually edit them following established procedures. Data included signals from three lower leg muscles and different submaximal intensities. After manual analysis, 126 ± 5 motor units were retained (range across operators: 119–134). A total of 3380 rate of agreement values were calculated (28 pairwise comparisons × 11 contractions/muscles × 4–28 motor units). The median rate of agreement value was 99.6%. Inter-operator reliability was excellent for both mean discharge rate and time at recruitment (intraclass correlation coefficient &gt; 0.99). These results show that when provided with the same decomposed data and the same basic instructions, operators converge toward almost identical results. Our data have been made available so that they can be used for training new operators.","author":[{"dropping-particle":"","family":"Hug","given":"François","non-dropping-particle":"","parse-names":false,"suffix":""},{"dropping-particle":"","family":"Avrillon","given":"Simon","non-dropping-particle":"","parse-names":false,"suffix":""},{"dropping-particle":"","family":"Vecchio","given":"Alessandro","non-dropping-particle":"Del","parse-names":false,"suffix":""},{"dropping-particle":"","family":"Casolo","given":"Andrea","non-dropping-particle":"","parse-names":false,"suffix":""},{"dropping-particle":"","family":"Ibanez","given":"Jaime","non-dropping-particle":"","parse-names":false,"suffix":""},{"dropping-particle":"","family":"Nuccio","given":"Stefano","non-dropping-particle":"","parse-names":false,"suffix":""},{"dropping-particle":"","family":"Rossato","given":"Julien","non-dropping-particle":"","parse-names":false,"suffix":""},{"dropping-particle":"","family":"Holobar","given":"Aleš","non-dropping-particle":"","parse-names":false,"suffix":""},{"dropping-particle":"","family":"Farina","given":"Dario","non-dropping-particle":"","parse-names":false,"suffix":""}],"container-title":"Journal of Electromyography and Kinesiology","id":"ITEM-1","issue":"February","issued":{"date-parts":[["2021"]]},"title":"Analysis of motor unit spike trains estimated from high-density surface electromyography is highly reliable across operators","type":"article-journal","volume":"58"},"uris":["http://www.mendeley.com/documents/?uuid=bf30f366-32bf-4a54-a0f8-9416d05712d2"]}],"mendeley":{"formattedCitation":"&lt;sup&gt;26&lt;/sup&gt;","plainTextFormattedCitation":"26","previouslyFormattedCitation":"&lt;sup&gt;26&lt;/sup&gt;"},"properties":{"noteIndex":0},"schema":"https://github.com/citation-style-language/schema/raw/master/csl-citation.json"}</w:instrText>
      </w:r>
      <w:r w:rsidR="00276D0B" w:rsidRPr="003A1A2E">
        <w:rPr>
          <w:rFonts w:ascii="Times New Roman" w:hAnsi="Times New Roman" w:cs="Times New Roman"/>
          <w:color w:val="0D0D0D" w:themeColor="text1" w:themeTint="F2"/>
          <w:sz w:val="24"/>
          <w:szCs w:val="24"/>
          <w:lang w:val="en-AU"/>
        </w:rPr>
        <w:fldChar w:fldCharType="separate"/>
      </w:r>
      <w:r w:rsidR="00D87B12" w:rsidRPr="00D87B12">
        <w:rPr>
          <w:rFonts w:ascii="Times New Roman" w:hAnsi="Times New Roman" w:cs="Times New Roman"/>
          <w:noProof/>
          <w:color w:val="0D0D0D" w:themeColor="text1" w:themeTint="F2"/>
          <w:sz w:val="24"/>
          <w:szCs w:val="24"/>
          <w:vertAlign w:val="superscript"/>
          <w:lang w:val="en-AU"/>
        </w:rPr>
        <w:t>26</w:t>
      </w:r>
      <w:r w:rsidR="00276D0B" w:rsidRPr="003A1A2E">
        <w:rPr>
          <w:rFonts w:ascii="Times New Roman" w:hAnsi="Times New Roman" w:cs="Times New Roman"/>
          <w:color w:val="0D0D0D" w:themeColor="text1" w:themeTint="F2"/>
          <w:sz w:val="24"/>
          <w:szCs w:val="24"/>
          <w:lang w:val="en-AU"/>
        </w:rPr>
        <w:fldChar w:fldCharType="end"/>
      </w:r>
      <w:r w:rsidR="00276D0B" w:rsidRPr="003A1A2E">
        <w:rPr>
          <w:rFonts w:ascii="Times New Roman" w:hAnsi="Times New Roman" w:cs="Times New Roman"/>
          <w:color w:val="0D0D0D" w:themeColor="text1" w:themeTint="F2"/>
          <w:sz w:val="24"/>
          <w:szCs w:val="24"/>
          <w:lang w:val="en-AU"/>
        </w:rPr>
        <w:t>.</w:t>
      </w:r>
      <w:bookmarkEnd w:id="11"/>
      <w:r w:rsidR="002F486F" w:rsidRPr="003A1A2E">
        <w:rPr>
          <w:rFonts w:ascii="Times New Roman" w:hAnsi="Times New Roman" w:cs="Times New Roman"/>
          <w:color w:val="auto"/>
          <w:sz w:val="24"/>
          <w:szCs w:val="24"/>
          <w:lang w:val="en-AU"/>
        </w:rPr>
        <w:t xml:space="preserve"> </w:t>
      </w:r>
      <w:r w:rsidR="000806E1" w:rsidRPr="003A1A2E">
        <w:rPr>
          <w:rFonts w:ascii="Times New Roman" w:hAnsi="Times New Roman" w:cs="Times New Roman"/>
          <w:color w:val="auto"/>
          <w:sz w:val="24"/>
          <w:szCs w:val="24"/>
          <w:lang w:val="en-AU"/>
        </w:rPr>
        <w:t>O</w:t>
      </w:r>
      <w:r w:rsidRPr="003A1A2E">
        <w:rPr>
          <w:rFonts w:ascii="Times New Roman" w:hAnsi="Times New Roman" w:cs="Times New Roman"/>
          <w:color w:val="auto"/>
          <w:sz w:val="24"/>
          <w:szCs w:val="24"/>
          <w:lang w:val="en-AU"/>
        </w:rPr>
        <w:t xml:space="preserve">nly </w:t>
      </w:r>
      <w:r w:rsidR="00F26051" w:rsidRPr="003A1A2E">
        <w:rPr>
          <w:rFonts w:ascii="Times New Roman" w:hAnsi="Times New Roman" w:cs="Times New Roman"/>
          <w:color w:val="auto"/>
          <w:sz w:val="24"/>
          <w:szCs w:val="24"/>
          <w:lang w:val="en-AU"/>
        </w:rPr>
        <w:t xml:space="preserve">motor units </w:t>
      </w:r>
      <w:r w:rsidRPr="003A1A2E">
        <w:rPr>
          <w:rFonts w:ascii="Times New Roman" w:hAnsi="Times New Roman" w:cs="Times New Roman"/>
          <w:color w:val="auto"/>
          <w:sz w:val="24"/>
          <w:szCs w:val="24"/>
          <w:lang w:val="en-AU"/>
        </w:rPr>
        <w:t>with a pulse-to-noise ratio &gt;30dB</w:t>
      </w:r>
      <w:r w:rsidR="00E84B5C" w:rsidRPr="003A1A2E">
        <w:rPr>
          <w:rFonts w:ascii="Times New Roman" w:hAnsi="Times New Roman" w:cs="Times New Roman"/>
          <w:color w:val="auto"/>
          <w:sz w:val="24"/>
          <w:szCs w:val="24"/>
          <w:lang w:val="en-AU"/>
        </w:rPr>
        <w:t xml:space="preserve"> and</w:t>
      </w:r>
      <w:r w:rsidR="0097008C" w:rsidRPr="003A1A2E">
        <w:rPr>
          <w:rFonts w:ascii="Times New Roman" w:hAnsi="Times New Roman" w:cs="Times New Roman"/>
          <w:color w:val="auto"/>
          <w:sz w:val="24"/>
          <w:szCs w:val="24"/>
          <w:lang w:val="en-AU"/>
        </w:rPr>
        <w:t xml:space="preserve"> sensitivity &gt; 90%, </w:t>
      </w:r>
      <w:r w:rsidR="008A4401" w:rsidRPr="003A1A2E">
        <w:rPr>
          <w:rFonts w:ascii="Times New Roman" w:hAnsi="Times New Roman" w:cs="Times New Roman"/>
          <w:color w:val="auto"/>
          <w:sz w:val="24"/>
          <w:szCs w:val="24"/>
          <w:lang w:val="en-AU"/>
        </w:rPr>
        <w:t>were</w:t>
      </w:r>
      <w:r w:rsidRPr="003A1A2E">
        <w:rPr>
          <w:rFonts w:ascii="Times New Roman" w:hAnsi="Times New Roman" w:cs="Times New Roman"/>
          <w:color w:val="auto"/>
          <w:sz w:val="24"/>
          <w:szCs w:val="24"/>
          <w:lang w:val="en-AU"/>
        </w:rPr>
        <w:t xml:space="preserve"> </w:t>
      </w:r>
      <w:r w:rsidR="00FB4490" w:rsidRPr="003A1A2E">
        <w:rPr>
          <w:rFonts w:ascii="Times New Roman" w:hAnsi="Times New Roman" w:cs="Times New Roman"/>
          <w:color w:val="auto"/>
          <w:sz w:val="24"/>
          <w:szCs w:val="24"/>
          <w:lang w:val="en-AU"/>
        </w:rPr>
        <w:t xml:space="preserve">considered </w:t>
      </w:r>
      <w:r w:rsidRPr="003A1A2E">
        <w:rPr>
          <w:rFonts w:ascii="Times New Roman" w:hAnsi="Times New Roman" w:cs="Times New Roman"/>
          <w:color w:val="auto"/>
          <w:sz w:val="24"/>
          <w:szCs w:val="24"/>
          <w:lang w:val="en-AU"/>
        </w:rPr>
        <w:t>for data analysi</w:t>
      </w:r>
      <w:r w:rsidR="00380803" w:rsidRPr="003A1A2E">
        <w:rPr>
          <w:rFonts w:ascii="Times New Roman" w:hAnsi="Times New Roman" w:cs="Times New Roman"/>
          <w:color w:val="auto"/>
          <w:sz w:val="24"/>
          <w:szCs w:val="24"/>
          <w:lang w:val="en-AU"/>
        </w:rPr>
        <w:t>s</w:t>
      </w:r>
      <w:r w:rsidR="006E2AF3" w:rsidRPr="003A1A2E">
        <w:rPr>
          <w:rFonts w:ascii="Times New Roman" w:hAnsi="Times New Roman" w:cs="Times New Roman"/>
          <w:color w:val="auto"/>
          <w:sz w:val="24"/>
          <w:szCs w:val="24"/>
          <w:lang w:val="en-AU"/>
        </w:rPr>
        <w:fldChar w:fldCharType="begin" w:fldLock="1"/>
      </w:r>
      <w:r w:rsidR="00D87B12">
        <w:rPr>
          <w:rFonts w:ascii="Times New Roman" w:hAnsi="Times New Roman" w:cs="Times New Roman"/>
          <w:color w:val="auto"/>
          <w:sz w:val="24"/>
          <w:szCs w:val="24"/>
          <w:lang w:val="en-AU"/>
        </w:rPr>
        <w:instrText>ADDIN CSL_CITATION {"citationItems":[{"id":"ITEM-1","itemData":{"DOI":"10.1113/JP277396","ISSN":"14697793","PMID":"30768687","abstract":"Key points: We propose and validate a method for accurately identifying the activity of populations of motor neurons during contractions at maximal rate of force development in humans. The behaviour of the motor neuron pool during rapid voluntary contractions in humans is presented. We show with this approach that the motor neuron recruitment speed and maximal motor unit discharge rate largely explains the individual ability in generating rapid force contractions. The results also indicate that the synaptic inputs received by the motor neurons before force is generated dictate human potential to generate force rapidly. This is the first characterization of the discharge behaviour of a representative sample of human motor neurons during rapid contractions. Abstract: During rapid contractions, motor neurons are recruited in a short burst and begin to discharge at high frequencies (up to &gt;200 Hz). In the present study, we investigated the behaviour of relatively large populations of motor neurons during rapid (explosive) contractions in humans, applying a new approach to accurately identify motor neuron activity simultaneous to measuring the rate of force development. The activity of spinal motor neurons was assessed by high-density electromyographic decomposition from the tibialis anterior muscle of 20 men during isometric explosive contractions. The speed of motor neuron recruitment and the instantaneous motor unit discharge rate were analysed as a function of the impulse (the time–force integral) and the maximal rate of force development. The peak of motor unit discharge rate occurred before force generation and discharge rates decreased thereafter. The maximal motor unit discharge rate was associated with the explosive force variables, at the whole population level (r2 = 0.71 ± 0.12; P &lt; 0.001). Moreover, the peak motor unit discharge and maximal rate of force variables were correlated with an estimate of the supraspinal drive, which was measured as the speed of motor unit recruitment before the generation of afferent feedback (P &lt; 0.05). We show for the first time the full association between the effective neural drive to the muscle and human maximal rate of force development. The results obtained in the present study indicate that the variability in the maximal contractile explosive force of the human tibialis anterior muscle is determined by the neural activation preceding force generation.","author":[{"dropping-particle":"","family":"Vecchio","given":"Alessandro","non-dropping-particle":"Del","parse-names":false,"suffix":""},{"dropping-particle":"","family":"Negro","given":"Francesco","non-dropping-particle":"","parse-names":false,"suffix":""},{"dropping-particle":"","family":"Holobar","given":"Ales","non-dropping-particle":"","parse-names":false,"suffix":""},{"dropping-particle":"","family":"Casolo","given":"Andrea","non-dropping-particle":"","parse-names":false,"suffix":""},{"dropping-particle":"","family":"Folland","given":"Jonathan P.","non-dropping-particle":"","parse-names":false,"suffix":""},{"dropping-particle":"","family":"Felici","given":"Francesco","non-dropping-particle":"","parse-names":false,"suffix":""},{"dropping-particle":"","family":"Farina","given":"Dario","non-dropping-particle":"","parse-names":false,"suffix":""}],"container-title":"Journal of Physiology","id":"ITEM-1","issue":"9","issued":{"date-parts":[["2019"]]},"page":"2445-2456","title":"You are as fast as your motor neurons: speed of recruitment and maximal discharge of motor neurons determine the maximal rate of force development in humans","type":"article-journal","volume":"597"},"uris":["http://www.mendeley.com/documents/?uuid=bd6a925f-1ec0-458e-95ad-3fea7397441c"]}],"mendeley":{"formattedCitation":"&lt;sup&gt;27&lt;/sup&gt;","plainTextFormattedCitation":"27","previouslyFormattedCitation":"&lt;sup&gt;27&lt;/sup&gt;"},"properties":{"noteIndex":0},"schema":"https://github.com/citation-style-language/schema/raw/master/csl-citation.json"}</w:instrText>
      </w:r>
      <w:r w:rsidR="006E2AF3" w:rsidRPr="003A1A2E">
        <w:rPr>
          <w:rFonts w:ascii="Times New Roman" w:hAnsi="Times New Roman" w:cs="Times New Roman"/>
          <w:color w:val="auto"/>
          <w:sz w:val="24"/>
          <w:szCs w:val="24"/>
          <w:lang w:val="en-AU"/>
        </w:rPr>
        <w:fldChar w:fldCharType="separate"/>
      </w:r>
      <w:r w:rsidR="00D87B12" w:rsidRPr="00D87B12">
        <w:rPr>
          <w:rFonts w:ascii="Times New Roman" w:hAnsi="Times New Roman" w:cs="Times New Roman"/>
          <w:noProof/>
          <w:color w:val="auto"/>
          <w:sz w:val="24"/>
          <w:szCs w:val="24"/>
          <w:vertAlign w:val="superscript"/>
          <w:lang w:val="en-AU"/>
        </w:rPr>
        <w:t>27</w:t>
      </w:r>
      <w:r w:rsidR="006E2AF3" w:rsidRPr="003A1A2E">
        <w:rPr>
          <w:rFonts w:ascii="Times New Roman" w:hAnsi="Times New Roman" w:cs="Times New Roman"/>
          <w:color w:val="auto"/>
          <w:sz w:val="24"/>
          <w:szCs w:val="24"/>
          <w:lang w:val="en-AU"/>
        </w:rPr>
        <w:fldChar w:fldCharType="end"/>
      </w:r>
      <w:r w:rsidR="00380803" w:rsidRPr="003A1A2E">
        <w:rPr>
          <w:rFonts w:ascii="Times New Roman" w:hAnsi="Times New Roman" w:cs="Times New Roman"/>
          <w:color w:val="auto"/>
          <w:sz w:val="24"/>
          <w:szCs w:val="24"/>
          <w:lang w:val="en-AU"/>
        </w:rPr>
        <w:t>.</w:t>
      </w:r>
      <w:r w:rsidR="00276D0B" w:rsidRPr="003A1A2E">
        <w:rPr>
          <w:rFonts w:ascii="Times New Roman" w:hAnsi="Times New Roman" w:cs="Times New Roman"/>
          <w:color w:val="0D0D0D" w:themeColor="text1" w:themeTint="F2"/>
          <w:sz w:val="24"/>
          <w:szCs w:val="24"/>
        </w:rPr>
        <w:t xml:space="preserve"> </w:t>
      </w:r>
      <w:r w:rsidR="00FF3302">
        <w:rPr>
          <w:rFonts w:ascii="Times New Roman" w:hAnsi="Times New Roman" w:cs="Times New Roman"/>
          <w:color w:val="0D0D0D" w:themeColor="text1" w:themeTint="F2"/>
          <w:sz w:val="24"/>
          <w:szCs w:val="24"/>
        </w:rPr>
        <w:t>The a</w:t>
      </w:r>
      <w:r w:rsidR="00276D0B" w:rsidRPr="003A1A2E">
        <w:rPr>
          <w:rFonts w:ascii="Times New Roman" w:hAnsi="Times New Roman" w:cs="Times New Roman"/>
          <w:color w:val="0D0D0D" w:themeColor="text1" w:themeTint="F2"/>
          <w:sz w:val="24"/>
          <w:szCs w:val="24"/>
        </w:rPr>
        <w:t xml:space="preserve">ssessor who performed </w:t>
      </w:r>
      <w:r w:rsidR="00276D0B" w:rsidRPr="003A1A2E">
        <w:rPr>
          <w:rFonts w:ascii="Times New Roman" w:hAnsi="Times New Roman" w:cs="Times New Roman"/>
          <w:color w:val="0D0D0D" w:themeColor="text1" w:themeTint="F2"/>
          <w:sz w:val="24"/>
          <w:szCs w:val="24"/>
          <w:lang w:val="en-AU"/>
        </w:rPr>
        <w:t xml:space="preserve">motor unit analysis process was not blinded by group. </w:t>
      </w:r>
      <w:r w:rsidR="00FF7193" w:rsidRPr="003A1A2E">
        <w:rPr>
          <w:rFonts w:ascii="Times New Roman" w:hAnsi="Times New Roman" w:cs="Times New Roman"/>
          <w:color w:val="auto"/>
          <w:sz w:val="24"/>
          <w:szCs w:val="24"/>
          <w:lang w:val="en-AU"/>
        </w:rPr>
        <w:t xml:space="preserve"> </w:t>
      </w:r>
    </w:p>
    <w:p w14:paraId="7CC93248" w14:textId="77777777" w:rsidR="003C63D6" w:rsidRPr="003A1A2E" w:rsidRDefault="003C63D6" w:rsidP="00504A0D">
      <w:pPr>
        <w:pStyle w:val="BodyA"/>
        <w:spacing w:after="0"/>
        <w:ind w:firstLine="0"/>
        <w:rPr>
          <w:rFonts w:ascii="Times New Roman" w:hAnsi="Times New Roman" w:cs="Times New Roman"/>
          <w:color w:val="auto"/>
          <w:sz w:val="24"/>
          <w:szCs w:val="24"/>
          <w:lang w:val="en-AU"/>
        </w:rPr>
      </w:pPr>
    </w:p>
    <w:p w14:paraId="4C35819B" w14:textId="5DE6DADB" w:rsidR="003C63D6" w:rsidRPr="003A1A2E" w:rsidRDefault="00C23BC0" w:rsidP="00504A0D">
      <w:pPr>
        <w:pStyle w:val="BodyA"/>
        <w:spacing w:after="0"/>
        <w:ind w:firstLine="0"/>
        <w:rPr>
          <w:rFonts w:ascii="Times New Roman" w:hAnsi="Times New Roman" w:cs="Times New Roman"/>
          <w:i/>
          <w:iCs/>
          <w:color w:val="auto"/>
          <w:sz w:val="24"/>
          <w:szCs w:val="24"/>
          <w:lang w:val="en-AU"/>
        </w:rPr>
      </w:pPr>
      <w:r w:rsidRPr="003A1A2E">
        <w:rPr>
          <w:rFonts w:ascii="Times New Roman" w:hAnsi="Times New Roman" w:cs="Times New Roman"/>
          <w:i/>
          <w:iCs/>
          <w:color w:val="auto"/>
          <w:sz w:val="24"/>
          <w:szCs w:val="24"/>
          <w:lang w:val="en-AU"/>
        </w:rPr>
        <w:t>2.</w:t>
      </w:r>
      <w:r w:rsidR="00FD712D" w:rsidRPr="003A1A2E">
        <w:rPr>
          <w:rFonts w:ascii="Times New Roman" w:hAnsi="Times New Roman" w:cs="Times New Roman"/>
          <w:i/>
          <w:iCs/>
          <w:color w:val="auto"/>
          <w:sz w:val="24"/>
          <w:szCs w:val="24"/>
          <w:lang w:val="en-AU"/>
        </w:rPr>
        <w:t>4</w:t>
      </w:r>
      <w:r w:rsidR="00FD0C3C" w:rsidRPr="003A1A2E">
        <w:rPr>
          <w:rFonts w:ascii="Times New Roman" w:hAnsi="Times New Roman" w:cs="Times New Roman"/>
          <w:i/>
          <w:iCs/>
          <w:color w:val="auto"/>
          <w:sz w:val="24"/>
          <w:szCs w:val="24"/>
          <w:lang w:val="en-AU"/>
        </w:rPr>
        <w:t xml:space="preserve"> </w:t>
      </w:r>
      <w:r w:rsidR="00486988" w:rsidRPr="003A1A2E">
        <w:rPr>
          <w:rFonts w:ascii="Times New Roman" w:hAnsi="Times New Roman" w:cs="Times New Roman"/>
          <w:i/>
          <w:iCs/>
          <w:color w:val="auto"/>
          <w:sz w:val="24"/>
          <w:szCs w:val="24"/>
          <w:lang w:val="en-AU"/>
        </w:rPr>
        <w:t>Motor neurone excitability (</w:t>
      </w:r>
      <w:r w:rsidR="00FD0C3C" w:rsidRPr="003A1A2E">
        <w:rPr>
          <w:rFonts w:ascii="Times New Roman" w:hAnsi="Times New Roman" w:cs="Times New Roman"/>
          <w:i/>
          <w:iCs/>
          <w:color w:val="auto"/>
          <w:sz w:val="24"/>
          <w:szCs w:val="24"/>
          <w:lang w:val="en-AU"/>
        </w:rPr>
        <w:t>ΔF and peak discharge rate</w:t>
      </w:r>
      <w:r w:rsidR="00486988" w:rsidRPr="003A1A2E">
        <w:rPr>
          <w:rFonts w:ascii="Times New Roman" w:hAnsi="Times New Roman" w:cs="Times New Roman"/>
          <w:i/>
          <w:iCs/>
          <w:color w:val="auto"/>
          <w:sz w:val="24"/>
          <w:szCs w:val="24"/>
          <w:lang w:val="en-AU"/>
        </w:rPr>
        <w:t>)</w:t>
      </w:r>
    </w:p>
    <w:p w14:paraId="378EFAC5" w14:textId="55E3206C" w:rsidR="00223DE0" w:rsidRPr="003A1A2E" w:rsidRDefault="00FB4490" w:rsidP="00223DE0">
      <w:pPr>
        <w:pStyle w:val="BodyA"/>
        <w:spacing w:after="0"/>
        <w:rPr>
          <w:rFonts w:ascii="Times New Roman" w:hAnsi="Times New Roman" w:cs="Times New Roman"/>
          <w:color w:val="auto"/>
          <w:sz w:val="24"/>
          <w:szCs w:val="24"/>
          <w:lang w:val="en-AU"/>
        </w:rPr>
      </w:pPr>
      <w:r w:rsidRPr="003A1A2E">
        <w:rPr>
          <w:rFonts w:ascii="Times New Roman" w:hAnsi="Times New Roman" w:cs="Times New Roman"/>
          <w:color w:val="auto"/>
          <w:sz w:val="24"/>
          <w:szCs w:val="24"/>
          <w:lang w:val="en-AU"/>
        </w:rPr>
        <w:t>After</w:t>
      </w:r>
      <w:r w:rsidR="003C63D6" w:rsidRPr="003A1A2E">
        <w:rPr>
          <w:rFonts w:ascii="Times New Roman" w:hAnsi="Times New Roman" w:cs="Times New Roman"/>
          <w:color w:val="auto"/>
          <w:sz w:val="24"/>
          <w:szCs w:val="24"/>
          <w:lang w:val="en-AU"/>
        </w:rPr>
        <w:t xml:space="preserve"> discharge events for each motor unit were converted into instantaneous discharge rates</w:t>
      </w:r>
      <w:r w:rsidRPr="003A1A2E">
        <w:rPr>
          <w:rFonts w:ascii="Times New Roman" w:hAnsi="Times New Roman" w:cs="Times New Roman"/>
          <w:color w:val="auto"/>
          <w:sz w:val="24"/>
          <w:szCs w:val="24"/>
          <w:lang w:val="en-AU"/>
        </w:rPr>
        <w:t xml:space="preserve">, </w:t>
      </w:r>
      <w:r w:rsidR="003C63D6" w:rsidRPr="003A1A2E">
        <w:rPr>
          <w:rFonts w:ascii="Times New Roman" w:hAnsi="Times New Roman" w:cs="Times New Roman"/>
          <w:color w:val="auto"/>
          <w:sz w:val="24"/>
          <w:szCs w:val="24"/>
          <w:lang w:val="en-AU"/>
        </w:rPr>
        <w:t xml:space="preserve">a 5th-order polynomial </w:t>
      </w:r>
      <w:r w:rsidR="00DD61E8" w:rsidRPr="003A1A2E">
        <w:rPr>
          <w:rFonts w:ascii="Times New Roman" w:hAnsi="Times New Roman" w:cs="Times New Roman"/>
          <w:color w:val="auto"/>
          <w:sz w:val="24"/>
          <w:szCs w:val="24"/>
          <w:lang w:val="en-AU"/>
        </w:rPr>
        <w:t xml:space="preserve">was fitted </w:t>
      </w:r>
      <w:r w:rsidR="00E84B5C" w:rsidRPr="003A1A2E">
        <w:rPr>
          <w:rFonts w:ascii="Times New Roman" w:hAnsi="Times New Roman" w:cs="Times New Roman"/>
          <w:color w:val="auto"/>
          <w:sz w:val="24"/>
          <w:szCs w:val="24"/>
          <w:lang w:val="en-AU"/>
        </w:rPr>
        <w:t xml:space="preserve">to </w:t>
      </w:r>
      <w:r w:rsidR="00DD61E8" w:rsidRPr="003A1A2E">
        <w:rPr>
          <w:rFonts w:ascii="Times New Roman" w:hAnsi="Times New Roman" w:cs="Times New Roman"/>
          <w:color w:val="auto"/>
          <w:sz w:val="24"/>
          <w:szCs w:val="24"/>
          <w:lang w:val="en-AU"/>
        </w:rPr>
        <w:t>the discharge rates for each motor unit</w:t>
      </w:r>
      <w:r w:rsidR="003C63D6" w:rsidRPr="003A1A2E">
        <w:rPr>
          <w:rFonts w:ascii="Times New Roman" w:hAnsi="Times New Roman" w:cs="Times New Roman"/>
          <w:color w:val="auto"/>
          <w:sz w:val="24"/>
          <w:szCs w:val="24"/>
          <w:lang w:val="en-AU"/>
        </w:rPr>
        <w:t xml:space="preserve">. The maximum value obtained from the polynomial curve was considered the peak discharge rate. </w:t>
      </w:r>
      <w:r w:rsidR="00226907" w:rsidRPr="003A1A2E">
        <w:rPr>
          <w:rFonts w:ascii="Times New Roman" w:hAnsi="Times New Roman" w:cs="Times New Roman"/>
          <w:color w:val="auto"/>
          <w:sz w:val="24"/>
          <w:szCs w:val="24"/>
          <w:lang w:val="en-AU"/>
        </w:rPr>
        <w:t xml:space="preserve">Recruitment threshold was considered the </w:t>
      </w:r>
      <w:r w:rsidR="003C63D6" w:rsidRPr="003A1A2E">
        <w:rPr>
          <w:rFonts w:ascii="Times New Roman" w:hAnsi="Times New Roman" w:cs="Times New Roman"/>
          <w:color w:val="auto"/>
          <w:sz w:val="24"/>
          <w:szCs w:val="24"/>
          <w:lang w:val="en-AU"/>
        </w:rPr>
        <w:t>relative torque (%) produced at the time each motor unit was recruite</w:t>
      </w:r>
      <w:r w:rsidR="00226907" w:rsidRPr="003A1A2E">
        <w:rPr>
          <w:rFonts w:ascii="Times New Roman" w:hAnsi="Times New Roman" w:cs="Times New Roman"/>
          <w:color w:val="auto"/>
          <w:sz w:val="24"/>
          <w:szCs w:val="24"/>
          <w:lang w:val="en-AU"/>
        </w:rPr>
        <w:t xml:space="preserve">d and it </w:t>
      </w:r>
      <w:r w:rsidR="003C63D6" w:rsidRPr="003A1A2E">
        <w:rPr>
          <w:rFonts w:ascii="Times New Roman" w:hAnsi="Times New Roman" w:cs="Times New Roman"/>
          <w:color w:val="auto"/>
          <w:sz w:val="24"/>
          <w:szCs w:val="24"/>
          <w:lang w:val="en-AU"/>
        </w:rPr>
        <w:t>was used to characterise the populations of motor units identified by the decomposition algorithm for each group. PIC amplitude was estimated using the paired motor unit analysis</w:t>
      </w:r>
      <w:r w:rsidR="006E2AF3" w:rsidRPr="003A1A2E">
        <w:rPr>
          <w:rFonts w:ascii="Times New Roman" w:hAnsi="Times New Roman" w:cs="Times New Roman"/>
          <w:color w:val="auto"/>
          <w:sz w:val="24"/>
          <w:szCs w:val="24"/>
          <w:lang w:val="en-AU"/>
        </w:rPr>
        <w:fldChar w:fldCharType="begin" w:fldLock="1"/>
      </w:r>
      <w:r w:rsidR="00B27A07">
        <w:rPr>
          <w:rFonts w:ascii="Times New Roman" w:hAnsi="Times New Roman" w:cs="Times New Roman"/>
          <w:color w:val="auto"/>
          <w:sz w:val="24"/>
          <w:szCs w:val="24"/>
          <w:lang w:val="en-AU"/>
        </w:rPr>
        <w:instrText>ADDIN CSL_CITATION {"citationItems":[{"id":"ITEM-1","itemData":{"DOI":"10.1152/jn.00024.2001","ISSN":"00223077","PMID":"11929906","abstract":"The main purpose of this study was to estimate the contribution of intrinsic activation of human motoneurons (e.g., by plateau potentials) during voluntary and reflexive muscle contractions. Pairs of motor units were recorded from either the tibialis anterior or soleus muscle during three different conditions: 1) during a brief muscle vibration followed by a slow relaxation of a steady isometric contraction; 2) during a triangular isometric torque contraction; and 3) during passive sinusoidal muscle stretch superimposed on a steady isometric contraction. In each case, the firing rate of a tonically firing control motor unit was used as a measure of the effective synaptic excitation (i.e., synaptic drive) to a slightly higher-threshold test motor unit that was recruited and de-recruited during a contraction trial. The firing rate of the control unit was compared at recruitment and de-recruitment of the test unit. This was done to determine whether the estimated synaptic drive needed to recruit a motor unit was less than the amount needed to sustain firing as a result of an added depolarization produced from intrinsic sources. After test unit recruitment, the firing rate of the control unit could be decreased significantly (on average by 3.6 Hz from an initial recruitment rate of 9.8 Hz) before the test unit was de-recruited during a descending synaptic drive. Similar decreases in control unit rate occurred in all three experimental conditions. This represents a possible 40% reduction in the estimated synaptic drive needed to maintain firing of a motor unit compared with the estimated amount needed to recruit the unit initially. The firing rates of both the control and test units were modulated together in a highly parallel fashion, suggesting that the unit pairs were driven by common synaptic inputs. This tight correlation further validated the use of the control unit firing rate as a monitor of synaptic drive to the test motor unit. The estimates of intrinsically mediated depolarization of human motoneurons (≈40% during moderate contractions) are consistent with values obtained for plateau potentials obtained from intracellular recordings of motoneurons in reduced animal preparations, although various alternative mechanisms are discussed. This suggests that similar intrinsic conductances provide a substantial activation of human motoneurons during moderate physiological activity.","author":[{"dropping-particle":"","family":"Gorassini","given":"Monica","non-dropping-particle":"","parse-names":false,"suffix":""},{"dropping-particle":"","family":"Yang","given":"Jaynie F.","non-dropping-particle":"","parse-names":false,"suffix":""},{"dropping-particle":"","family":"Siu","given":"Merek","non-dropping-particle":"","parse-names":false,"suffix":""},{"dropping-particle":"","family":"Bennett","given":"David J.","non-dropping-particle":"","parse-names":false,"suffix":""}],"container-title":"Journal of Neurophysiology","id":"ITEM-1","issue":"4","issued":{"date-parts":[["2002"]]},"page":"1850-1858","title":"Intrinsic activation of human motoneurons: Possible contribution to motor unit excitation","type":"article-journal","volume":"87"},"uris":["http://www.mendeley.com/documents/?uuid=8901de22-b1ec-48d4-a966-b5f7ebd53dce"]}],"mendeley":{"formattedCitation":"&lt;sup&gt;19&lt;/sup&gt;","plainTextFormattedCitation":"19","previouslyFormattedCitation":"&lt;sup&gt;19&lt;/sup&gt;"},"properties":{"noteIndex":0},"schema":"https://github.com/citation-style-language/schema/raw/master/csl-citation.json"}</w:instrText>
      </w:r>
      <w:r w:rsidR="006E2AF3" w:rsidRPr="003A1A2E">
        <w:rPr>
          <w:rFonts w:ascii="Times New Roman" w:hAnsi="Times New Roman" w:cs="Times New Roman"/>
          <w:color w:val="auto"/>
          <w:sz w:val="24"/>
          <w:szCs w:val="24"/>
          <w:lang w:val="en-AU"/>
        </w:rPr>
        <w:fldChar w:fldCharType="separate"/>
      </w:r>
      <w:r w:rsidR="00273762" w:rsidRPr="003A1A2E">
        <w:rPr>
          <w:rFonts w:ascii="Times New Roman" w:hAnsi="Times New Roman" w:cs="Times New Roman"/>
          <w:noProof/>
          <w:color w:val="auto"/>
          <w:sz w:val="24"/>
          <w:szCs w:val="24"/>
          <w:vertAlign w:val="superscript"/>
          <w:lang w:val="en-AU"/>
        </w:rPr>
        <w:t>19</w:t>
      </w:r>
      <w:r w:rsidR="006E2AF3" w:rsidRPr="003A1A2E">
        <w:rPr>
          <w:rFonts w:ascii="Times New Roman" w:hAnsi="Times New Roman" w:cs="Times New Roman"/>
          <w:color w:val="auto"/>
          <w:sz w:val="24"/>
          <w:szCs w:val="24"/>
          <w:lang w:val="en-AU"/>
        </w:rPr>
        <w:fldChar w:fldCharType="end"/>
      </w:r>
      <w:r w:rsidR="00F97C83" w:rsidRPr="003A1A2E">
        <w:rPr>
          <w:rFonts w:ascii="Times New Roman" w:hAnsi="Times New Roman" w:cs="Times New Roman"/>
          <w:color w:val="auto"/>
          <w:sz w:val="24"/>
          <w:szCs w:val="24"/>
          <w:lang w:val="en-AU"/>
        </w:rPr>
        <w:t xml:space="preserve"> </w:t>
      </w:r>
      <w:r w:rsidR="00D14D6D" w:rsidRPr="003A1A2E">
        <w:rPr>
          <w:rFonts w:ascii="Times New Roman" w:hAnsi="Times New Roman" w:cs="Times New Roman"/>
          <w:color w:val="auto"/>
          <w:sz w:val="24"/>
          <w:szCs w:val="24"/>
          <w:lang w:val="en-AU"/>
        </w:rPr>
        <w:t>(</w:t>
      </w:r>
      <w:r w:rsidR="00D14D6D" w:rsidRPr="003A1A2E">
        <w:rPr>
          <w:rFonts w:ascii="Times New Roman" w:hAnsi="Times New Roman" w:cs="Times New Roman"/>
          <w:b/>
          <w:bCs/>
          <w:color w:val="auto"/>
          <w:sz w:val="24"/>
          <w:szCs w:val="24"/>
          <w:lang w:val="en-AU"/>
        </w:rPr>
        <w:t>Fig</w:t>
      </w:r>
      <w:r w:rsidR="001323B9" w:rsidRPr="003A1A2E">
        <w:rPr>
          <w:rFonts w:ascii="Times New Roman" w:hAnsi="Times New Roman" w:cs="Times New Roman"/>
          <w:b/>
          <w:bCs/>
          <w:color w:val="auto"/>
          <w:sz w:val="24"/>
          <w:szCs w:val="24"/>
          <w:lang w:val="en-AU"/>
        </w:rPr>
        <w:t xml:space="preserve"> </w:t>
      </w:r>
      <w:r w:rsidR="00D14D6D" w:rsidRPr="003A1A2E">
        <w:rPr>
          <w:rFonts w:ascii="Times New Roman" w:hAnsi="Times New Roman" w:cs="Times New Roman"/>
          <w:b/>
          <w:bCs/>
          <w:color w:val="auto"/>
          <w:sz w:val="24"/>
          <w:szCs w:val="24"/>
          <w:lang w:val="en-AU"/>
        </w:rPr>
        <w:t>1</w:t>
      </w:r>
      <w:r w:rsidR="00D14D6D" w:rsidRPr="003A1A2E">
        <w:rPr>
          <w:rFonts w:ascii="Times New Roman" w:hAnsi="Times New Roman" w:cs="Times New Roman"/>
          <w:color w:val="auto"/>
          <w:sz w:val="24"/>
          <w:szCs w:val="24"/>
          <w:lang w:val="en-AU"/>
        </w:rPr>
        <w:t>)</w:t>
      </w:r>
      <w:r w:rsidR="003C63D6" w:rsidRPr="003A1A2E">
        <w:rPr>
          <w:rFonts w:ascii="Times New Roman" w:hAnsi="Times New Roman" w:cs="Times New Roman"/>
          <w:color w:val="auto"/>
          <w:sz w:val="24"/>
          <w:szCs w:val="24"/>
          <w:lang w:val="en-AU"/>
        </w:rPr>
        <w:t>. Motor units with a low</w:t>
      </w:r>
      <w:r w:rsidR="00386CA0" w:rsidRPr="003A1A2E">
        <w:rPr>
          <w:rFonts w:ascii="Times New Roman" w:hAnsi="Times New Roman" w:cs="Times New Roman"/>
          <w:color w:val="auto"/>
          <w:sz w:val="24"/>
          <w:szCs w:val="24"/>
          <w:lang w:val="en-AU"/>
        </w:rPr>
        <w:t>er</w:t>
      </w:r>
      <w:r w:rsidR="003C63D6" w:rsidRPr="003A1A2E">
        <w:rPr>
          <w:rFonts w:ascii="Times New Roman" w:hAnsi="Times New Roman" w:cs="Times New Roman"/>
          <w:color w:val="auto"/>
          <w:sz w:val="24"/>
          <w:szCs w:val="24"/>
          <w:lang w:val="en-AU"/>
        </w:rPr>
        <w:t xml:space="preserve"> recruitment threshold (control units) were paired with </w:t>
      </w:r>
      <w:r w:rsidR="00226907" w:rsidRPr="003A1A2E">
        <w:rPr>
          <w:rFonts w:ascii="Times New Roman" w:hAnsi="Times New Roman" w:cs="Times New Roman"/>
          <w:color w:val="auto"/>
          <w:sz w:val="24"/>
          <w:szCs w:val="24"/>
          <w:lang w:val="en-AU"/>
        </w:rPr>
        <w:t xml:space="preserve">others with </w:t>
      </w:r>
      <w:r w:rsidR="003C63D6" w:rsidRPr="003A1A2E">
        <w:rPr>
          <w:rFonts w:ascii="Times New Roman" w:hAnsi="Times New Roman" w:cs="Times New Roman"/>
          <w:color w:val="auto"/>
          <w:sz w:val="24"/>
          <w:szCs w:val="24"/>
          <w:lang w:val="en-AU"/>
        </w:rPr>
        <w:t>higher</w:t>
      </w:r>
      <w:r w:rsidR="00386CA0" w:rsidRPr="003A1A2E">
        <w:rPr>
          <w:rFonts w:ascii="Times New Roman" w:hAnsi="Times New Roman" w:cs="Times New Roman"/>
          <w:color w:val="auto"/>
          <w:sz w:val="24"/>
          <w:szCs w:val="24"/>
          <w:lang w:val="en-AU"/>
        </w:rPr>
        <w:t>-</w:t>
      </w:r>
      <w:r w:rsidR="003C63D6" w:rsidRPr="003A1A2E">
        <w:rPr>
          <w:rFonts w:ascii="Times New Roman" w:hAnsi="Times New Roman" w:cs="Times New Roman"/>
          <w:color w:val="auto"/>
          <w:sz w:val="24"/>
          <w:szCs w:val="24"/>
          <w:lang w:val="en-AU"/>
        </w:rPr>
        <w:t xml:space="preserve">recruitment threshold (test units). ΔF was calculated as the change in discharge rates of the control motor unit </w:t>
      </w:r>
      <w:r w:rsidR="00FF3302">
        <w:rPr>
          <w:rFonts w:ascii="Times New Roman" w:hAnsi="Times New Roman" w:cs="Times New Roman"/>
          <w:color w:val="auto"/>
          <w:sz w:val="24"/>
          <w:szCs w:val="24"/>
          <w:lang w:val="en-AU"/>
        </w:rPr>
        <w:t>in the time between</w:t>
      </w:r>
      <w:r w:rsidR="00FF3302" w:rsidRPr="003A1A2E">
        <w:rPr>
          <w:rFonts w:ascii="Times New Roman" w:hAnsi="Times New Roman" w:cs="Times New Roman"/>
          <w:color w:val="auto"/>
          <w:sz w:val="24"/>
          <w:szCs w:val="24"/>
          <w:lang w:val="en-AU"/>
        </w:rPr>
        <w:t xml:space="preserve"> </w:t>
      </w:r>
      <w:r w:rsidR="003C63D6" w:rsidRPr="003A1A2E">
        <w:rPr>
          <w:rFonts w:ascii="Times New Roman" w:hAnsi="Times New Roman" w:cs="Times New Roman"/>
          <w:color w:val="auto"/>
          <w:sz w:val="24"/>
          <w:szCs w:val="24"/>
          <w:lang w:val="en-AU"/>
        </w:rPr>
        <w:t xml:space="preserve">recruitment to </w:t>
      </w:r>
      <w:r w:rsidR="00226907" w:rsidRPr="003A1A2E">
        <w:rPr>
          <w:rFonts w:ascii="Times New Roman" w:hAnsi="Times New Roman" w:cs="Times New Roman"/>
          <w:color w:val="auto"/>
          <w:sz w:val="24"/>
          <w:szCs w:val="24"/>
          <w:lang w:val="en-AU"/>
        </w:rPr>
        <w:t xml:space="preserve">the </w:t>
      </w:r>
      <w:r w:rsidR="003C63D6" w:rsidRPr="003A1A2E">
        <w:rPr>
          <w:rFonts w:ascii="Times New Roman" w:hAnsi="Times New Roman" w:cs="Times New Roman"/>
          <w:color w:val="auto"/>
          <w:sz w:val="24"/>
          <w:szCs w:val="24"/>
          <w:lang w:val="en-AU"/>
        </w:rPr>
        <w:t>de-</w:t>
      </w:r>
      <w:r w:rsidR="003C63D6" w:rsidRPr="003A1A2E">
        <w:rPr>
          <w:rFonts w:ascii="Times New Roman" w:hAnsi="Times New Roman" w:cs="Times New Roman"/>
          <w:color w:val="auto"/>
          <w:sz w:val="24"/>
          <w:szCs w:val="24"/>
          <w:lang w:val="en-AU"/>
        </w:rPr>
        <w:lastRenderedPageBreak/>
        <w:t>recruitment of the test unit</w:t>
      </w:r>
      <w:r w:rsidR="006E2AF3" w:rsidRPr="003A1A2E">
        <w:rPr>
          <w:rFonts w:ascii="Times New Roman" w:hAnsi="Times New Roman" w:cs="Times New Roman"/>
          <w:color w:val="auto"/>
          <w:sz w:val="24"/>
          <w:szCs w:val="24"/>
          <w:lang w:val="en-AU"/>
        </w:rPr>
        <w:fldChar w:fldCharType="begin" w:fldLock="1"/>
      </w:r>
      <w:r w:rsidR="00B27A07">
        <w:rPr>
          <w:rFonts w:ascii="Times New Roman" w:hAnsi="Times New Roman" w:cs="Times New Roman"/>
          <w:color w:val="auto"/>
          <w:sz w:val="24"/>
          <w:szCs w:val="24"/>
          <w:lang w:val="en-AU"/>
        </w:rPr>
        <w:instrText>ADDIN CSL_CITATION {"citationItems":[{"id":"ITEM-1","itemData":{"DOI":"10.1002/mus.20261","ISSN":"0148639X","PMID":"15736297","abstract":"The dendrites of motoneurons are not, as once thought, passive conduits for synaptic inputs. Instead they have voltage-dependent channels that provide the capacity to generate a very strong persistent inward current (PIC). The amplitude of the PIC is proportional to the level of neuromodulatory input from the brainstem, which is mediated primarily by the monoamines serotonin and norepinephrine. During normal motor behavior, monoaminergic drive is likely to be moderately strong and the dendritic PIC generates many of the characteristic features of motor unit firing patterns. Most of the PIC activates at or below recruitment threshold and thus motor unit firing patterns exhibit a linear increase just above recruitment. The dendritic PIC allows motor unit derecruitment to occur at a lower input level than recruitment, thus providing sustained tonic firing with little or no synaptic input, especially in low-threshold units. However the dendritic PIC can be readily deactivated by synaptic inhibition. The overall amplification due to the dendritic PIC and other effects of monoamines on motoneurons greatly increases the input-output gain of the motor pool. Thus the brainstem neuromodulatory input provides a mechanism by which the excitability of motoneurons can be varied for different motor behaviors. This control system is lost in spinal cord injury but PICs nonetheless recover near-normal amplitudes in the months following the initial injury. The relationship of these findings to the cause of the spasticity syndrome developing after spinal cord injury is discussed.","author":[{"dropping-particle":"","family":"Heckman","given":"C. J.","non-dropping-particle":"","parse-names":false,"suffix":""},{"dropping-particle":"","family":"Gorassini","given":"Monica A.","non-dropping-particle":"","parse-names":false,"suffix":""},{"dropping-particle":"","family":"Bennett","given":"David J.","non-dropping-particle":"","parse-names":false,"suffix":""}],"container-title":"Muscle and Nerve","id":"ITEM-1","issue":"2","issued":{"date-parts":[["2005"]]},"page":"135-156","title":"Persistent inward currents in motoneuron dendrites: Implications for motor output","type":"article-journal","volume":"31"},"uris":["http://www.mendeley.com/documents/?uuid=7ca178aa-2502-45ee-a785-5f567bfdbc8e"]},{"id":"ITEM-2","itemData":{"DOI":"10.1152/jn.00024.2001","ISSN":"00223077","PMID":"11929906","abstract":"The main purpose of this study was to estimate the contribution of intrinsic activation of human motoneurons (e.g., by plateau potentials) during voluntary and reflexive muscle contractions. Pairs of motor units were recorded from either the tibialis anterior or soleus muscle during three different conditions: 1) during a brief muscle vibration followed by a slow relaxation of a steady isometric contraction; 2) during a triangular isometric torque contraction; and 3) during passive sinusoidal muscle stretch superimposed on a steady isometric contraction. In each case, the firing rate of a tonically firing control motor unit was used as a measure of the effective synaptic excitation (i.e., synaptic drive) to a slightly higher-threshold test motor unit that was recruited and de-recruited during a contraction trial. The firing rate of the control unit was compared at recruitment and de-recruitment of the test unit. This was done to determine whether the estimated synaptic drive needed to recruit a motor unit was less than the amount needed to sustain firing as a result of an added depolarization produced from intrinsic sources. After test unit recruitment, the firing rate of the control unit could be decreased significantly (on average by 3.6 Hz from an initial recruitment rate of 9.8 Hz) before the test unit was de-recruited during a descending synaptic drive. Similar decreases in control unit rate occurred in all three experimental conditions. This represents a possible 40% reduction in the estimated synaptic drive needed to maintain firing of a motor unit compared with the estimated amount needed to recruit the unit initially. The firing rates of both the control and test units were modulated together in a highly parallel fashion, suggesting that the unit pairs were driven by common synaptic inputs. This tight correlation further validated the use of the control unit firing rate as a monitor of synaptic drive to the test motor unit. The estimates of intrinsically mediated depolarization of human motoneurons (≈40% during moderate contractions) are consistent with values obtained for plateau potentials obtained from intracellular recordings of motoneurons in reduced animal preparations, although various alternative mechanisms are discussed. This suggests that similar intrinsic conductances provide a substantial activation of human motoneurons during moderate physiological activity.","author":[{"dropping-particle":"","family":"Gorassini","given":"Monica","non-dropping-particle":"","parse-names":false,"suffix":""},{"dropping-particle":"","family":"Yang","given":"Jaynie F.","non-dropping-particle":"","parse-names":false,"suffix":""},{"dropping-particle":"","family":"Siu","given":"Merek","non-dropping-particle":"","parse-names":false,"suffix":""},{"dropping-particle":"","family":"Bennett","given":"David J.","non-dropping-particle":"","parse-names":false,"suffix":""}],"container-title":"Journal of Neurophysiology","id":"ITEM-2","issue":"4","issued":{"date-parts":[["2002"]]},"page":"1850-1858","title":"Intrinsic activation of human motoneurons: Possible contribution to motor unit excitation","type":"article-journal","volume":"87"},"uris":["http://www.mendeley.com/documents/?uuid=8901de22-b1ec-48d4-a966-b5f7ebd53dce"]}],"mendeley":{"formattedCitation":"&lt;sup&gt;12,19&lt;/sup&gt;","plainTextFormattedCitation":"12,19","previouslyFormattedCitation":"&lt;sup&gt;12,19&lt;/sup&gt;"},"properties":{"noteIndex":0},"schema":"https://github.com/citation-style-language/schema/raw/master/csl-citation.json"}</w:instrText>
      </w:r>
      <w:r w:rsidR="006E2AF3" w:rsidRPr="003A1A2E">
        <w:rPr>
          <w:rFonts w:ascii="Times New Roman" w:hAnsi="Times New Roman" w:cs="Times New Roman"/>
          <w:color w:val="auto"/>
          <w:sz w:val="24"/>
          <w:szCs w:val="24"/>
          <w:lang w:val="en-AU"/>
        </w:rPr>
        <w:fldChar w:fldCharType="separate"/>
      </w:r>
      <w:r w:rsidR="00273762" w:rsidRPr="003A1A2E">
        <w:rPr>
          <w:rFonts w:ascii="Times New Roman" w:hAnsi="Times New Roman" w:cs="Times New Roman"/>
          <w:noProof/>
          <w:color w:val="auto"/>
          <w:sz w:val="24"/>
          <w:szCs w:val="24"/>
          <w:vertAlign w:val="superscript"/>
          <w:lang w:val="en-AU"/>
        </w:rPr>
        <w:t>12,19</w:t>
      </w:r>
      <w:r w:rsidR="006E2AF3" w:rsidRPr="003A1A2E">
        <w:rPr>
          <w:rFonts w:ascii="Times New Roman" w:hAnsi="Times New Roman" w:cs="Times New Roman"/>
          <w:color w:val="auto"/>
          <w:sz w:val="24"/>
          <w:szCs w:val="24"/>
          <w:lang w:val="en-AU"/>
        </w:rPr>
        <w:fldChar w:fldCharType="end"/>
      </w:r>
      <w:r w:rsidR="00F73F79" w:rsidRPr="003A1A2E">
        <w:rPr>
          <w:rFonts w:ascii="Times New Roman" w:hAnsi="Times New Roman" w:cs="Times New Roman"/>
          <w:color w:val="auto"/>
          <w:sz w:val="24"/>
          <w:szCs w:val="24"/>
          <w:lang w:val="en-AU"/>
        </w:rPr>
        <w:t xml:space="preserve">. </w:t>
      </w:r>
      <w:r w:rsidR="00226907" w:rsidRPr="003A1A2E">
        <w:rPr>
          <w:rFonts w:ascii="Times New Roman" w:hAnsi="Times New Roman" w:cs="Times New Roman"/>
          <w:color w:val="auto"/>
          <w:sz w:val="24"/>
          <w:szCs w:val="24"/>
          <w:lang w:val="en-AU"/>
        </w:rPr>
        <w:t>Pairs of motor units were produced using</w:t>
      </w:r>
      <w:r w:rsidR="003C63D6" w:rsidRPr="003A1A2E">
        <w:rPr>
          <w:rFonts w:ascii="Times New Roman" w:hAnsi="Times New Roman" w:cs="Times New Roman"/>
          <w:color w:val="auto"/>
          <w:sz w:val="24"/>
          <w:szCs w:val="24"/>
          <w:lang w:val="en-AU"/>
        </w:rPr>
        <w:t xml:space="preserve"> the following criteria</w:t>
      </w:r>
      <w:r w:rsidR="00226907" w:rsidRPr="003A1A2E">
        <w:rPr>
          <w:rFonts w:ascii="Times New Roman" w:hAnsi="Times New Roman" w:cs="Times New Roman"/>
          <w:color w:val="auto"/>
          <w:sz w:val="24"/>
          <w:szCs w:val="24"/>
          <w:lang w:val="en-AU"/>
        </w:rPr>
        <w:t>:</w:t>
      </w:r>
      <w:r w:rsidR="003C63D6" w:rsidRPr="003A1A2E">
        <w:rPr>
          <w:rFonts w:ascii="Times New Roman" w:hAnsi="Times New Roman" w:cs="Times New Roman"/>
          <w:color w:val="auto"/>
          <w:sz w:val="24"/>
          <w:szCs w:val="24"/>
          <w:lang w:val="en-AU"/>
        </w:rPr>
        <w:t xml:space="preserve"> (1) rate-to-rate correlation between the smoothed discharge rate polynomials of the test and control units </w:t>
      </w:r>
      <w:r w:rsidR="001C5330">
        <w:rPr>
          <w:rFonts w:ascii="Times New Roman" w:hAnsi="Times New Roman" w:cs="Times New Roman"/>
          <w:color w:val="auto"/>
          <w:sz w:val="24"/>
          <w:szCs w:val="24"/>
          <w:lang w:val="en-AU"/>
        </w:rPr>
        <w:t>with an</w:t>
      </w:r>
      <w:r w:rsidR="00B62748" w:rsidRPr="003A1A2E">
        <w:rPr>
          <w:rFonts w:ascii="Times New Roman" w:hAnsi="Times New Roman" w:cs="Times New Roman"/>
          <w:color w:val="auto"/>
          <w:sz w:val="24"/>
          <w:szCs w:val="24"/>
          <w:lang w:val="en-AU"/>
        </w:rPr>
        <w:t xml:space="preserve"> </w:t>
      </w:r>
      <w:r w:rsidR="003C63D6" w:rsidRPr="003A1A2E">
        <w:rPr>
          <w:rFonts w:ascii="Times New Roman" w:hAnsi="Times New Roman" w:cs="Times New Roman"/>
          <w:color w:val="auto"/>
          <w:sz w:val="24"/>
          <w:szCs w:val="24"/>
          <w:lang w:val="en-AU"/>
        </w:rPr>
        <w:t xml:space="preserve">r ≥ 0.7; (2) test units </w:t>
      </w:r>
      <w:r w:rsidRPr="003A1A2E">
        <w:rPr>
          <w:rFonts w:ascii="Times New Roman" w:hAnsi="Times New Roman" w:cs="Times New Roman"/>
          <w:color w:val="auto"/>
          <w:sz w:val="24"/>
          <w:szCs w:val="24"/>
          <w:lang w:val="en-AU"/>
        </w:rPr>
        <w:t xml:space="preserve">were </w:t>
      </w:r>
      <w:r w:rsidR="003C63D6" w:rsidRPr="003A1A2E">
        <w:rPr>
          <w:rFonts w:ascii="Times New Roman" w:hAnsi="Times New Roman" w:cs="Times New Roman"/>
          <w:color w:val="auto"/>
          <w:sz w:val="24"/>
          <w:szCs w:val="24"/>
          <w:lang w:val="en-AU"/>
        </w:rPr>
        <w:t>recruited 1.0 s after</w:t>
      </w:r>
      <w:r w:rsidR="002E7828" w:rsidRPr="003A1A2E">
        <w:rPr>
          <w:rFonts w:ascii="Times New Roman" w:hAnsi="Times New Roman" w:cs="Times New Roman"/>
          <w:color w:val="auto"/>
          <w:sz w:val="24"/>
          <w:szCs w:val="24"/>
          <w:lang w:val="en-AU"/>
        </w:rPr>
        <w:t xml:space="preserve"> the</w:t>
      </w:r>
      <w:r w:rsidR="003C63D6" w:rsidRPr="003A1A2E">
        <w:rPr>
          <w:rFonts w:ascii="Times New Roman" w:hAnsi="Times New Roman" w:cs="Times New Roman"/>
          <w:color w:val="auto"/>
          <w:sz w:val="24"/>
          <w:szCs w:val="24"/>
          <w:lang w:val="en-AU"/>
        </w:rPr>
        <w:t xml:space="preserve"> control units; and (3) the control unit show</w:t>
      </w:r>
      <w:r w:rsidR="000B157B" w:rsidRPr="003A1A2E">
        <w:rPr>
          <w:rFonts w:ascii="Times New Roman" w:hAnsi="Times New Roman" w:cs="Times New Roman"/>
          <w:color w:val="auto"/>
          <w:sz w:val="24"/>
          <w:szCs w:val="24"/>
          <w:lang w:val="en-AU"/>
        </w:rPr>
        <w:t>ed</w:t>
      </w:r>
      <w:r w:rsidR="002E7828" w:rsidRPr="003A1A2E">
        <w:rPr>
          <w:rFonts w:ascii="Times New Roman" w:hAnsi="Times New Roman" w:cs="Times New Roman"/>
          <w:color w:val="auto"/>
          <w:sz w:val="24"/>
          <w:szCs w:val="24"/>
          <w:lang w:val="en-AU"/>
        </w:rPr>
        <w:t xml:space="preserve"> no</w:t>
      </w:r>
      <w:r w:rsidR="003C63D6" w:rsidRPr="003A1A2E">
        <w:rPr>
          <w:rFonts w:ascii="Times New Roman" w:hAnsi="Times New Roman" w:cs="Times New Roman"/>
          <w:color w:val="auto"/>
          <w:sz w:val="24"/>
          <w:szCs w:val="24"/>
          <w:lang w:val="en-AU"/>
        </w:rPr>
        <w:t xml:space="preserve"> discharge rate saturation after the moment of test unit recruitment (i.e. discharge rate from the control unit at the moment the test unit was recruited</w:t>
      </w:r>
      <w:r w:rsidR="00DF7632" w:rsidRPr="003A1A2E">
        <w:rPr>
          <w:rFonts w:ascii="Times New Roman" w:hAnsi="Times New Roman" w:cs="Times New Roman"/>
          <w:color w:val="auto"/>
          <w:sz w:val="24"/>
          <w:szCs w:val="24"/>
          <w:lang w:val="en-AU"/>
        </w:rPr>
        <w:t>,</w:t>
      </w:r>
      <w:r w:rsidR="003C63D6" w:rsidRPr="003A1A2E">
        <w:rPr>
          <w:rFonts w:ascii="Times New Roman" w:hAnsi="Times New Roman" w:cs="Times New Roman"/>
          <w:color w:val="auto"/>
          <w:sz w:val="24"/>
          <w:szCs w:val="24"/>
          <w:lang w:val="en-AU"/>
        </w:rPr>
        <w:t xml:space="preserve"> minus the peak discharge rate at the control unit &gt; 0.5 pps)</w:t>
      </w:r>
      <w:r w:rsidR="006E2AF3" w:rsidRPr="003A1A2E">
        <w:rPr>
          <w:rFonts w:ascii="Times New Roman" w:hAnsi="Times New Roman" w:cs="Times New Roman"/>
          <w:color w:val="auto"/>
          <w:sz w:val="24"/>
          <w:szCs w:val="24"/>
          <w:lang w:val="en-AU"/>
        </w:rPr>
        <w:fldChar w:fldCharType="begin" w:fldLock="1"/>
      </w:r>
      <w:r w:rsidR="00B27A07">
        <w:rPr>
          <w:rFonts w:ascii="Times New Roman" w:hAnsi="Times New Roman" w:cs="Times New Roman"/>
          <w:color w:val="auto"/>
          <w:sz w:val="24"/>
          <w:szCs w:val="24"/>
          <w:lang w:val="en-AU"/>
        </w:rPr>
        <w:instrText>ADDIN CSL_CITATION {"citationItems":[{"id":"ITEM-1","itemData":{"DOI":"10.1152/jn.00469.2013","ISSN":"15221598","PMID":"24523524","abstract":"Persistent inward current (PIC) plays an important role in setting the input-output gain of motoneurons. In humans, these currents are estimated by calculating the difference between synaptic input at motor unit recruitment and derecruitment (ΔF) derived from paired motor unit recordings. The primary objective of this study was to use the relationship between reciprocal inhibition (RI) and PIC to estimate the contribution of PIC relative to other motoneuron properties that result in nonlinear motor unit firing behavior. This study also assessed the contribution of other intrinsic properties (spike threshold accommodation and spike frequency adaptation) to ΔF estimates of PIC in human motor units by using ramps with varying rates of rise and duration. It was hypothesized that slower rates of ramp rise and longer ramp durations would inflate ΔF estimates of PIC, and RI and PIC values would only be correlated during the ramp with the fastest rate of rise and shortest duration when spike threshold accommodation and spike frequency adaptation is minimized. Fourteen university-aged participants took part in this study. Paired motor unit recordings were made from the right soleus muscle during ramp contractions of plantar flexors with three different rates of rise and durations. ΔF estimates of PIC increased with decreased rates of ramp rise (P &lt; 0.01) and increased ramp durations (P &lt; 0.01), most likely due to spike frequency adaptation. A correlation (r = 0.41; P &lt; 0.03) between ΔF and RI provides evidence that PIC is the primary contributor to ΔF in shorter ramps with faster rates of rise. © 2014 the American Physiological Society.","author":[{"dropping-particle":"","family":"Vandenberk","given":"Michael S.","non-dropping-particle":"","parse-names":false,"suffix":""},{"dropping-particle":"","family":"Kalmar","given":"Jayne M.","non-dropping-particle":"","parse-names":false,"suffix":""}],"container-title":"Journal of Neurophysiology","id":"ITEM-1","issue":"9","issued":{"date-parts":[["2014"]]},"page":"1877-1884","title":"An evaluation of paired motor unit estimates of persistent inward current in human motoneurons","type":"article-journal","volume":"111"},"uris":["http://www.mendeley.com/documents/?uuid=d1dd1fbc-e7d7-421d-905a-95522892e5c2"]},{"id":"ITEM-2","itemData":{"DOI":"10.1152/jn.00024.2001","ISSN":"00223077","PMID":"11929906","abstract":"The main purpose of this study was to estimate the contribution of intrinsic activation of human motoneurons (e.g., by plateau potentials) during voluntary and reflexive muscle contractions. Pairs of motor units were recorded from either the tibialis anterior or soleus muscle during three different conditions: 1) during a brief muscle vibration followed by a slow relaxation of a steady isometric contraction; 2) during a triangular isometric torque contraction; and 3) during passive sinusoidal muscle stretch superimposed on a steady isometric contraction. In each case, the firing rate of a tonically firing control motor unit was used as a measure of the effective synaptic excitation (i.e., synaptic drive) to a slightly higher-threshold test motor unit that was recruited and de-recruited during a contraction trial. The firing rate of the control unit was compared at recruitment and de-recruitment of the test unit. This was done to determine whether the estimated synaptic drive needed to recruit a motor unit was less than the amount needed to sustain firing as a result of an added depolarization produced from intrinsic sources. After test unit recruitment, the firing rate of the control unit could be decreased significantly (on average by 3.6 Hz from an initial recruitment rate of 9.8 Hz) before the test unit was de-recruited during a descending synaptic drive. Similar decreases in control unit rate occurred in all three experimental conditions. This represents a possible 40% reduction in the estimated synaptic drive needed to maintain firing of a motor unit compared with the estimated amount needed to recruit the unit initially. The firing rates of both the control and test units were modulated together in a highly parallel fashion, suggesting that the unit pairs were driven by common synaptic inputs. This tight correlation further validated the use of the control unit firing rate as a monitor of synaptic drive to the test motor unit. The estimates of intrinsically mediated depolarization of human motoneurons (≈40% during moderate contractions) are consistent with values obtained for plateau potentials obtained from intracellular recordings of motoneurons in reduced animal preparations, although various alternative mechanisms are discussed. This suggests that similar intrinsic conductances provide a substantial activation of human motoneurons during moderate physiological activity.","author":[{"dropping-particle":"","family":"Gorassini","given":"Monica","non-dropping-particle":"","parse-names":false,"suffix":""},{"dropping-particle":"","family":"Yang","given":"Jaynie F.","non-dropping-particle":"","parse-names":false,"suffix":""},{"dropping-particle":"","family":"Siu","given":"Merek","non-dropping-particle":"","parse-names":false,"suffix":""},{"dropping-particle":"","family":"Bennett","given":"David J.","non-dropping-particle":"","parse-names":false,"suffix":""}],"container-title":"Journal of Neurophysiology","id":"ITEM-2","issue":"4","issued":{"date-parts":[["2002"]]},"page":"1850-1858","title":"Intrinsic activation of human motoneurons: Possible contribution to motor unit excitation","type":"article-journal","volume":"87"},"uris":["http://www.mendeley.com/documents/?uuid=8901de22-b1ec-48d4-a966-b5f7ebd53dce"]}],"mendeley":{"formattedCitation":"&lt;sup&gt;14,19&lt;/sup&gt;","plainTextFormattedCitation":"14,19","previouslyFormattedCitation":"&lt;sup&gt;14,19&lt;/sup&gt;"},"properties":{"noteIndex":0},"schema":"https://github.com/citation-style-language/schema/raw/master/csl-citation.json"}</w:instrText>
      </w:r>
      <w:r w:rsidR="006E2AF3" w:rsidRPr="003A1A2E">
        <w:rPr>
          <w:rFonts w:ascii="Times New Roman" w:hAnsi="Times New Roman" w:cs="Times New Roman"/>
          <w:color w:val="auto"/>
          <w:sz w:val="24"/>
          <w:szCs w:val="24"/>
          <w:lang w:val="en-AU"/>
        </w:rPr>
        <w:fldChar w:fldCharType="separate"/>
      </w:r>
      <w:r w:rsidR="00273762" w:rsidRPr="003A1A2E">
        <w:rPr>
          <w:rFonts w:ascii="Times New Roman" w:hAnsi="Times New Roman" w:cs="Times New Roman"/>
          <w:noProof/>
          <w:color w:val="auto"/>
          <w:sz w:val="24"/>
          <w:szCs w:val="24"/>
          <w:vertAlign w:val="superscript"/>
          <w:lang w:val="en-AU"/>
        </w:rPr>
        <w:t>14,19</w:t>
      </w:r>
      <w:r w:rsidR="006E2AF3" w:rsidRPr="003A1A2E">
        <w:rPr>
          <w:rFonts w:ascii="Times New Roman" w:hAnsi="Times New Roman" w:cs="Times New Roman"/>
          <w:color w:val="auto"/>
          <w:sz w:val="24"/>
          <w:szCs w:val="24"/>
          <w:lang w:val="en-AU"/>
        </w:rPr>
        <w:fldChar w:fldCharType="end"/>
      </w:r>
      <w:r w:rsidR="00541EA0" w:rsidRPr="003A1A2E">
        <w:rPr>
          <w:rFonts w:ascii="Times New Roman" w:hAnsi="Times New Roman" w:cs="Times New Roman"/>
          <w:color w:val="auto"/>
          <w:sz w:val="24"/>
          <w:szCs w:val="24"/>
          <w:lang w:val="en-AU"/>
        </w:rPr>
        <w:t>.</w:t>
      </w:r>
      <w:r w:rsidR="003C63D6" w:rsidRPr="003A1A2E">
        <w:rPr>
          <w:rFonts w:ascii="Times New Roman" w:hAnsi="Times New Roman" w:cs="Times New Roman"/>
          <w:color w:val="auto"/>
          <w:sz w:val="24"/>
          <w:szCs w:val="24"/>
          <w:lang w:val="en-AU"/>
        </w:rPr>
        <w:t xml:space="preserve"> ΔFs obtained for each control unit were averaged to obtain a single ΔF for each test motor unit</w:t>
      </w:r>
      <w:r w:rsidR="001C5330">
        <w:rPr>
          <w:rFonts w:ascii="Times New Roman" w:hAnsi="Times New Roman" w:cs="Times New Roman"/>
          <w:color w:val="auto"/>
          <w:sz w:val="24"/>
          <w:szCs w:val="24"/>
          <w:lang w:val="en-AU"/>
        </w:rPr>
        <w:t xml:space="preserve">. </w:t>
      </w:r>
      <w:r w:rsidR="00223DE0" w:rsidRPr="003A1A2E">
        <w:rPr>
          <w:rFonts w:ascii="Times New Roman" w:hAnsi="Times New Roman" w:cs="Times New Roman"/>
          <w:color w:val="auto"/>
          <w:sz w:val="24"/>
          <w:szCs w:val="24"/>
          <w:lang w:val="en-AU"/>
        </w:rPr>
        <w:t xml:space="preserve">Peak discharge rate and recruitment threshold reported in this manuscript are only from the test motor units used in the ΔFs analysis. </w:t>
      </w:r>
    </w:p>
    <w:p w14:paraId="21DA939B" w14:textId="0337390D" w:rsidR="003C63D6" w:rsidRPr="003A1A2E" w:rsidRDefault="003C63D6" w:rsidP="009C31FE">
      <w:pPr>
        <w:pStyle w:val="BodyA"/>
        <w:spacing w:after="0"/>
        <w:rPr>
          <w:rFonts w:ascii="Times New Roman" w:hAnsi="Times New Roman" w:cs="Times New Roman"/>
          <w:color w:val="auto"/>
          <w:sz w:val="24"/>
          <w:szCs w:val="24"/>
          <w:lang w:val="en-AU"/>
        </w:rPr>
      </w:pPr>
    </w:p>
    <w:p w14:paraId="1F4A7B2D" w14:textId="6C6713F4" w:rsidR="003C63D6" w:rsidRPr="003A1A2E" w:rsidRDefault="00B87B5F" w:rsidP="00504A0D">
      <w:pPr>
        <w:pStyle w:val="BodyA"/>
        <w:spacing w:after="0"/>
        <w:ind w:firstLine="0"/>
        <w:rPr>
          <w:rFonts w:ascii="Times New Roman" w:hAnsi="Times New Roman" w:cs="Times New Roman"/>
          <w:color w:val="auto"/>
          <w:sz w:val="24"/>
          <w:szCs w:val="24"/>
          <w:lang w:val="en-AU"/>
        </w:rPr>
      </w:pPr>
      <w:r w:rsidRPr="003A1A2E">
        <w:rPr>
          <w:rFonts w:ascii="Times New Roman" w:hAnsi="Times New Roman" w:cs="Times New Roman"/>
          <w:noProof/>
          <w:color w:val="auto"/>
          <w:sz w:val="24"/>
          <w:szCs w:val="24"/>
          <w:lang w:val="en-AU" w:eastAsia="en-AU"/>
        </w:rPr>
        <w:drawing>
          <wp:inline distT="0" distB="0" distL="0" distR="0" wp14:anchorId="38659B95" wp14:editId="7004CE5B">
            <wp:extent cx="3196424" cy="463687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8470" cy="4639841"/>
                    </a:xfrm>
                    <a:prstGeom prst="rect">
                      <a:avLst/>
                    </a:prstGeom>
                    <a:noFill/>
                    <a:ln>
                      <a:noFill/>
                    </a:ln>
                  </pic:spPr>
                </pic:pic>
              </a:graphicData>
            </a:graphic>
          </wp:inline>
        </w:drawing>
      </w:r>
    </w:p>
    <w:p w14:paraId="0E031F22" w14:textId="79C290DC" w:rsidR="00C05218" w:rsidRPr="003A1A2E" w:rsidRDefault="00C05218" w:rsidP="00D20EB5">
      <w:pPr>
        <w:spacing w:line="480" w:lineRule="auto"/>
        <w:rPr>
          <w:sz w:val="22"/>
          <w:szCs w:val="22"/>
        </w:rPr>
      </w:pPr>
      <w:r w:rsidRPr="003A1A2E">
        <w:rPr>
          <w:b/>
          <w:bCs/>
          <w:sz w:val="22"/>
          <w:szCs w:val="22"/>
        </w:rPr>
        <w:t>Fig</w:t>
      </w:r>
      <w:r w:rsidR="00430154" w:rsidRPr="003A1A2E">
        <w:rPr>
          <w:b/>
          <w:bCs/>
          <w:sz w:val="22"/>
          <w:szCs w:val="22"/>
        </w:rPr>
        <w:t xml:space="preserve"> </w:t>
      </w:r>
      <w:r w:rsidRPr="003A1A2E">
        <w:rPr>
          <w:b/>
          <w:bCs/>
          <w:sz w:val="22"/>
          <w:szCs w:val="22"/>
        </w:rPr>
        <w:t>1</w:t>
      </w:r>
      <w:r w:rsidRPr="003A1A2E">
        <w:rPr>
          <w:sz w:val="22"/>
          <w:szCs w:val="22"/>
        </w:rPr>
        <w:t xml:space="preserve"> </w:t>
      </w:r>
      <w:r w:rsidR="00D20EB5" w:rsidRPr="003A1A2E">
        <w:rPr>
          <w:sz w:val="22"/>
          <w:szCs w:val="22"/>
        </w:rPr>
        <w:t xml:space="preserve">Data illustrating </w:t>
      </w:r>
      <w:r w:rsidRPr="003A1A2E">
        <w:rPr>
          <w:sz w:val="22"/>
          <w:szCs w:val="22"/>
        </w:rPr>
        <w:t xml:space="preserve">the paired motor unit method </w:t>
      </w:r>
      <w:r w:rsidR="00B432AF" w:rsidRPr="003A1A2E">
        <w:rPr>
          <w:sz w:val="22"/>
          <w:szCs w:val="22"/>
        </w:rPr>
        <w:t>to measure the delta frequency</w:t>
      </w:r>
      <w:r w:rsidRPr="003A1A2E">
        <w:rPr>
          <w:sz w:val="22"/>
          <w:szCs w:val="22"/>
        </w:rPr>
        <w:t xml:space="preserve"> (ΔF)</w:t>
      </w:r>
      <w:r w:rsidR="0026372D" w:rsidRPr="003A1A2E">
        <w:rPr>
          <w:sz w:val="22"/>
          <w:szCs w:val="22"/>
        </w:rPr>
        <w:t xml:space="preserve"> </w:t>
      </w:r>
      <w:r w:rsidR="00D20EB5" w:rsidRPr="003A1A2E">
        <w:rPr>
          <w:sz w:val="22"/>
          <w:szCs w:val="22"/>
        </w:rPr>
        <w:t xml:space="preserve">from a single participant, </w:t>
      </w:r>
      <w:r w:rsidR="0026372D" w:rsidRPr="003A1A2E">
        <w:rPr>
          <w:sz w:val="22"/>
          <w:szCs w:val="22"/>
        </w:rPr>
        <w:t>during</w:t>
      </w:r>
      <w:r w:rsidRPr="003A1A2E">
        <w:rPr>
          <w:sz w:val="22"/>
          <w:szCs w:val="22"/>
        </w:rPr>
        <w:t xml:space="preserve"> </w:t>
      </w:r>
      <w:r w:rsidR="0026372D" w:rsidRPr="003A1A2E">
        <w:rPr>
          <w:sz w:val="22"/>
          <w:szCs w:val="22"/>
        </w:rPr>
        <w:t xml:space="preserve">a triangular shaped contraction </w:t>
      </w:r>
      <w:r w:rsidR="006E3664" w:rsidRPr="003A1A2E">
        <w:rPr>
          <w:sz w:val="22"/>
          <w:szCs w:val="22"/>
        </w:rPr>
        <w:t xml:space="preserve">reaching </w:t>
      </w:r>
      <w:r w:rsidRPr="003A1A2E">
        <w:rPr>
          <w:sz w:val="22"/>
          <w:szCs w:val="22"/>
        </w:rPr>
        <w:t xml:space="preserve">20% </w:t>
      </w:r>
      <w:r w:rsidR="00D20EB5" w:rsidRPr="003A1A2E">
        <w:rPr>
          <w:sz w:val="22"/>
          <w:szCs w:val="22"/>
        </w:rPr>
        <w:t xml:space="preserve">of </w:t>
      </w:r>
      <w:r w:rsidRPr="003A1A2E">
        <w:rPr>
          <w:sz w:val="22"/>
          <w:szCs w:val="22"/>
        </w:rPr>
        <w:t>peak</w:t>
      </w:r>
      <w:r w:rsidR="00D20EB5" w:rsidRPr="003A1A2E">
        <w:rPr>
          <w:sz w:val="22"/>
          <w:szCs w:val="22"/>
        </w:rPr>
        <w:t xml:space="preserve"> isometric</w:t>
      </w:r>
      <w:r w:rsidRPr="003A1A2E">
        <w:rPr>
          <w:sz w:val="22"/>
          <w:szCs w:val="22"/>
        </w:rPr>
        <w:t xml:space="preserve"> torque (</w:t>
      </w:r>
      <w:r w:rsidRPr="003A1A2E">
        <w:rPr>
          <w:b/>
          <w:bCs/>
          <w:sz w:val="22"/>
          <w:szCs w:val="22"/>
        </w:rPr>
        <w:t>A</w:t>
      </w:r>
      <w:r w:rsidRPr="003A1A2E">
        <w:rPr>
          <w:sz w:val="22"/>
          <w:szCs w:val="22"/>
        </w:rPr>
        <w:t xml:space="preserve">). </w:t>
      </w:r>
      <w:r w:rsidR="005A2AC3" w:rsidRPr="003A1A2E">
        <w:rPr>
          <w:sz w:val="22"/>
          <w:szCs w:val="22"/>
        </w:rPr>
        <w:t xml:space="preserve">Motor unit discharge rate for </w:t>
      </w:r>
      <w:r w:rsidR="003E6191" w:rsidRPr="003A1A2E">
        <w:rPr>
          <w:sz w:val="22"/>
          <w:szCs w:val="22"/>
        </w:rPr>
        <w:t xml:space="preserve">a </w:t>
      </w:r>
      <w:r w:rsidR="005A2AC3" w:rsidRPr="003A1A2E">
        <w:rPr>
          <w:sz w:val="22"/>
          <w:szCs w:val="22"/>
        </w:rPr>
        <w:t>test unit (</w:t>
      </w:r>
      <w:r w:rsidR="005A2AC3" w:rsidRPr="003A1A2E">
        <w:rPr>
          <w:b/>
          <w:bCs/>
          <w:sz w:val="22"/>
          <w:szCs w:val="22"/>
        </w:rPr>
        <w:t>B</w:t>
      </w:r>
      <w:r w:rsidR="005A2AC3" w:rsidRPr="003A1A2E">
        <w:rPr>
          <w:sz w:val="22"/>
          <w:szCs w:val="22"/>
        </w:rPr>
        <w:t xml:space="preserve">) and </w:t>
      </w:r>
      <w:r w:rsidR="003E6191" w:rsidRPr="003A1A2E">
        <w:rPr>
          <w:sz w:val="22"/>
          <w:szCs w:val="22"/>
        </w:rPr>
        <w:t xml:space="preserve">a </w:t>
      </w:r>
      <w:r w:rsidR="005A2AC3" w:rsidRPr="003A1A2E">
        <w:rPr>
          <w:sz w:val="22"/>
          <w:szCs w:val="22"/>
        </w:rPr>
        <w:t>control unit (</w:t>
      </w:r>
      <w:r w:rsidR="005A2AC3" w:rsidRPr="003A1A2E">
        <w:rPr>
          <w:b/>
          <w:bCs/>
          <w:sz w:val="22"/>
          <w:szCs w:val="22"/>
        </w:rPr>
        <w:t>C</w:t>
      </w:r>
      <w:r w:rsidR="005A2AC3" w:rsidRPr="003A1A2E">
        <w:rPr>
          <w:sz w:val="22"/>
          <w:szCs w:val="22"/>
        </w:rPr>
        <w:t>) are shown in different colours.</w:t>
      </w:r>
      <w:r w:rsidR="00481AC7" w:rsidRPr="003A1A2E">
        <w:rPr>
          <w:sz w:val="22"/>
          <w:szCs w:val="22"/>
        </w:rPr>
        <w:t xml:space="preserve"> The purple </w:t>
      </w:r>
      <w:r w:rsidR="00481AC7" w:rsidRPr="003A1A2E">
        <w:rPr>
          <w:sz w:val="22"/>
          <w:szCs w:val="22"/>
        </w:rPr>
        <w:lastRenderedPageBreak/>
        <w:t>continuous line represents the 5</w:t>
      </w:r>
      <w:r w:rsidR="00481AC7" w:rsidRPr="003A1A2E">
        <w:rPr>
          <w:sz w:val="22"/>
          <w:szCs w:val="22"/>
          <w:vertAlign w:val="superscript"/>
        </w:rPr>
        <w:t>th</w:t>
      </w:r>
      <w:r w:rsidR="00481AC7" w:rsidRPr="003A1A2E">
        <w:rPr>
          <w:sz w:val="22"/>
          <w:szCs w:val="22"/>
        </w:rPr>
        <w:t>-order polynomial equation fit to the instantaneous discharge rate of the control unit.</w:t>
      </w:r>
      <w:r w:rsidR="005A2AC3" w:rsidRPr="003A1A2E">
        <w:rPr>
          <w:sz w:val="22"/>
          <w:szCs w:val="22"/>
        </w:rPr>
        <w:t xml:space="preserve"> </w:t>
      </w:r>
      <w:r w:rsidR="00481AC7" w:rsidRPr="003A1A2E">
        <w:rPr>
          <w:sz w:val="22"/>
          <w:szCs w:val="22"/>
        </w:rPr>
        <w:t xml:space="preserve">The </w:t>
      </w:r>
      <w:r w:rsidR="00460E9A" w:rsidRPr="003A1A2E">
        <w:rPr>
          <w:sz w:val="22"/>
          <w:szCs w:val="22"/>
        </w:rPr>
        <w:t>shaded area represent</w:t>
      </w:r>
      <w:r w:rsidR="00481AC7" w:rsidRPr="003A1A2E">
        <w:rPr>
          <w:sz w:val="22"/>
          <w:szCs w:val="22"/>
        </w:rPr>
        <w:t>s an estimate of PICs amplitude (</w:t>
      </w:r>
      <w:r w:rsidRPr="003A1A2E">
        <w:rPr>
          <w:sz w:val="22"/>
          <w:szCs w:val="22"/>
        </w:rPr>
        <w:t>ΔF</w:t>
      </w:r>
      <w:r w:rsidR="00481AC7" w:rsidRPr="003A1A2E">
        <w:rPr>
          <w:sz w:val="22"/>
          <w:szCs w:val="22"/>
        </w:rPr>
        <w:t>)</w:t>
      </w:r>
      <w:r w:rsidR="005A2AC3" w:rsidRPr="003A1A2E">
        <w:rPr>
          <w:sz w:val="22"/>
          <w:szCs w:val="22"/>
        </w:rPr>
        <w:t>.</w:t>
      </w:r>
    </w:p>
    <w:p w14:paraId="7DA271BD" w14:textId="53793C12" w:rsidR="00C05218" w:rsidRPr="003A1A2E" w:rsidRDefault="00C05218" w:rsidP="00C05218"/>
    <w:p w14:paraId="6D02621E" w14:textId="77777777" w:rsidR="00C05218" w:rsidRPr="003A1A2E" w:rsidRDefault="00C05218" w:rsidP="00C05218"/>
    <w:p w14:paraId="336428E2" w14:textId="24853302" w:rsidR="006947F5" w:rsidRPr="003A1A2E" w:rsidRDefault="006E48F0" w:rsidP="00504A0D">
      <w:pPr>
        <w:pStyle w:val="BodyA"/>
        <w:spacing w:after="0"/>
        <w:ind w:firstLine="0"/>
        <w:rPr>
          <w:rFonts w:ascii="Times New Roman" w:hAnsi="Times New Roman" w:cs="Times New Roman"/>
          <w:i/>
          <w:iCs/>
          <w:color w:val="auto"/>
          <w:sz w:val="24"/>
          <w:szCs w:val="24"/>
          <w:lang w:val="en-AU"/>
        </w:rPr>
      </w:pPr>
      <w:r w:rsidRPr="003A1A2E">
        <w:rPr>
          <w:rFonts w:ascii="Times New Roman" w:hAnsi="Times New Roman" w:cs="Times New Roman"/>
          <w:i/>
          <w:iCs/>
          <w:color w:val="auto"/>
          <w:sz w:val="24"/>
          <w:szCs w:val="24"/>
          <w:lang w:val="en-AU"/>
        </w:rPr>
        <w:t>2.</w:t>
      </w:r>
      <w:r w:rsidR="00FD712D" w:rsidRPr="003A1A2E">
        <w:rPr>
          <w:rFonts w:ascii="Times New Roman" w:hAnsi="Times New Roman" w:cs="Times New Roman"/>
          <w:i/>
          <w:iCs/>
          <w:color w:val="auto"/>
          <w:sz w:val="24"/>
          <w:szCs w:val="24"/>
          <w:lang w:val="en-AU"/>
        </w:rPr>
        <w:t>5</w:t>
      </w:r>
      <w:r w:rsidRPr="003A1A2E">
        <w:rPr>
          <w:rFonts w:ascii="Times New Roman" w:hAnsi="Times New Roman" w:cs="Times New Roman"/>
          <w:i/>
          <w:iCs/>
          <w:color w:val="auto"/>
          <w:sz w:val="24"/>
          <w:szCs w:val="24"/>
          <w:lang w:val="en-AU"/>
        </w:rPr>
        <w:t xml:space="preserve"> </w:t>
      </w:r>
      <w:r w:rsidR="006A2EC2" w:rsidRPr="003A1A2E">
        <w:rPr>
          <w:rFonts w:ascii="Times New Roman" w:hAnsi="Times New Roman" w:cs="Times New Roman"/>
          <w:i/>
          <w:iCs/>
          <w:color w:val="auto"/>
          <w:sz w:val="24"/>
          <w:szCs w:val="24"/>
          <w:lang w:val="en-AU"/>
        </w:rPr>
        <w:t>Statistical analysis</w:t>
      </w:r>
    </w:p>
    <w:p w14:paraId="632E3286" w14:textId="2E73960F" w:rsidR="00E875F7" w:rsidRPr="003A1A2E" w:rsidRDefault="00BC3636" w:rsidP="00A73603">
      <w:pPr>
        <w:pStyle w:val="BodyA"/>
        <w:spacing w:after="0"/>
        <w:rPr>
          <w:rFonts w:ascii="Times New Roman" w:hAnsi="Times New Roman" w:cs="Times New Roman"/>
          <w:color w:val="auto"/>
          <w:sz w:val="24"/>
          <w:szCs w:val="24"/>
          <w:lang w:val="en-AU"/>
        </w:rPr>
      </w:pPr>
      <w:r w:rsidRPr="003A1A2E">
        <w:rPr>
          <w:rFonts w:ascii="Times New Roman" w:hAnsi="Times New Roman" w:cs="Times New Roman"/>
          <w:color w:val="auto"/>
          <w:sz w:val="24"/>
          <w:szCs w:val="24"/>
          <w:lang w:val="en-AU"/>
        </w:rPr>
        <w:t xml:space="preserve">All </w:t>
      </w:r>
      <w:r w:rsidR="00D16FBF" w:rsidRPr="003A1A2E">
        <w:rPr>
          <w:rFonts w:ascii="Times New Roman" w:hAnsi="Times New Roman" w:cs="Times New Roman"/>
          <w:color w:val="auto"/>
          <w:sz w:val="24"/>
          <w:szCs w:val="24"/>
          <w:lang w:val="en-AU"/>
        </w:rPr>
        <w:t xml:space="preserve">statistical </w:t>
      </w:r>
      <w:r w:rsidRPr="003A1A2E">
        <w:rPr>
          <w:rFonts w:ascii="Times New Roman" w:hAnsi="Times New Roman" w:cs="Times New Roman"/>
          <w:color w:val="auto"/>
          <w:sz w:val="24"/>
          <w:szCs w:val="24"/>
          <w:lang w:val="en-AU"/>
        </w:rPr>
        <w:t>analys</w:t>
      </w:r>
      <w:r w:rsidR="00B62748">
        <w:rPr>
          <w:rFonts w:ascii="Times New Roman" w:hAnsi="Times New Roman" w:cs="Times New Roman"/>
          <w:color w:val="auto"/>
          <w:sz w:val="24"/>
          <w:szCs w:val="24"/>
          <w:lang w:val="en-AU"/>
        </w:rPr>
        <w:t>e</w:t>
      </w:r>
      <w:r w:rsidRPr="003A1A2E">
        <w:rPr>
          <w:rFonts w:ascii="Times New Roman" w:hAnsi="Times New Roman" w:cs="Times New Roman"/>
          <w:color w:val="auto"/>
          <w:sz w:val="24"/>
          <w:szCs w:val="24"/>
          <w:lang w:val="en-AU"/>
        </w:rPr>
        <w:t xml:space="preserve">s were </w:t>
      </w:r>
      <w:r w:rsidR="003C63D6" w:rsidRPr="003A1A2E">
        <w:rPr>
          <w:rFonts w:ascii="Times New Roman" w:hAnsi="Times New Roman" w:cs="Times New Roman"/>
          <w:color w:val="auto"/>
          <w:sz w:val="24"/>
          <w:szCs w:val="24"/>
          <w:lang w:val="en-AU"/>
        </w:rPr>
        <w:t>undertaken</w:t>
      </w:r>
      <w:r w:rsidRPr="003A1A2E">
        <w:rPr>
          <w:rFonts w:ascii="Times New Roman" w:hAnsi="Times New Roman" w:cs="Times New Roman"/>
          <w:color w:val="auto"/>
          <w:sz w:val="24"/>
          <w:szCs w:val="24"/>
          <w:lang w:val="en-AU"/>
        </w:rPr>
        <w:t xml:space="preserve"> using R</w:t>
      </w:r>
      <w:r w:rsidR="00136A8F" w:rsidRPr="003A1A2E">
        <w:rPr>
          <w:rFonts w:ascii="Times New Roman" w:hAnsi="Times New Roman" w:cs="Times New Roman"/>
          <w:color w:val="auto"/>
          <w:sz w:val="24"/>
          <w:szCs w:val="24"/>
          <w:lang w:val="en-AU"/>
        </w:rPr>
        <w:t xml:space="preserve"> studio</w:t>
      </w:r>
      <w:r w:rsidRPr="003A1A2E">
        <w:rPr>
          <w:rFonts w:ascii="Times New Roman" w:hAnsi="Times New Roman" w:cs="Times New Roman"/>
          <w:color w:val="auto"/>
          <w:sz w:val="24"/>
          <w:szCs w:val="24"/>
          <w:lang w:val="en-AU"/>
        </w:rPr>
        <w:t xml:space="preserve"> (version </w:t>
      </w:r>
      <w:r w:rsidR="00136A8F" w:rsidRPr="003A1A2E">
        <w:rPr>
          <w:rFonts w:ascii="Times New Roman" w:hAnsi="Times New Roman" w:cs="Times New Roman"/>
          <w:color w:val="auto"/>
          <w:sz w:val="24"/>
          <w:szCs w:val="24"/>
          <w:lang w:val="en-AU"/>
        </w:rPr>
        <w:t xml:space="preserve">1.3.1093). Models were fitted using the </w:t>
      </w:r>
      <w:r w:rsidR="00434A38" w:rsidRPr="003A1A2E">
        <w:rPr>
          <w:rFonts w:ascii="Times New Roman" w:hAnsi="Times New Roman" w:cs="Times New Roman"/>
          <w:i/>
          <w:iCs/>
          <w:color w:val="auto"/>
          <w:sz w:val="24"/>
          <w:szCs w:val="24"/>
          <w:lang w:val="en-AU"/>
        </w:rPr>
        <w:t>lme</w:t>
      </w:r>
      <w:r w:rsidR="001E0BEA" w:rsidRPr="003A1A2E">
        <w:rPr>
          <w:rFonts w:ascii="Times New Roman" w:hAnsi="Times New Roman" w:cs="Times New Roman"/>
          <w:i/>
          <w:iCs/>
          <w:color w:val="auto"/>
          <w:sz w:val="24"/>
          <w:szCs w:val="24"/>
          <w:lang w:val="en-AU"/>
        </w:rPr>
        <w:t>4</w:t>
      </w:r>
      <w:r w:rsidR="00223DE0" w:rsidRPr="003A1A2E">
        <w:rPr>
          <w:rFonts w:ascii="Times New Roman" w:hAnsi="Times New Roman" w:cs="Times New Roman"/>
          <w:i/>
          <w:iCs/>
          <w:color w:val="auto"/>
          <w:sz w:val="24"/>
          <w:szCs w:val="24"/>
          <w:lang w:val="en-AU"/>
        </w:rPr>
        <w:t xml:space="preserve"> </w:t>
      </w:r>
      <w:r w:rsidR="00223DE0" w:rsidRPr="003A1A2E">
        <w:rPr>
          <w:rFonts w:ascii="Times New Roman" w:hAnsi="Times New Roman" w:cs="Times New Roman"/>
          <w:color w:val="auto"/>
          <w:sz w:val="24"/>
          <w:szCs w:val="24"/>
          <w:lang w:val="en-AU"/>
        </w:rPr>
        <w:t>and</w:t>
      </w:r>
      <w:r w:rsidR="00223DE0" w:rsidRPr="003A1A2E">
        <w:rPr>
          <w:rFonts w:ascii="Times New Roman" w:hAnsi="Times New Roman" w:cs="Times New Roman"/>
          <w:i/>
          <w:iCs/>
          <w:color w:val="auto"/>
          <w:sz w:val="24"/>
          <w:szCs w:val="24"/>
          <w:lang w:val="en-AU"/>
        </w:rPr>
        <w:t xml:space="preserve"> lmerTest</w:t>
      </w:r>
      <w:r w:rsidR="00434A38" w:rsidRPr="003A1A2E">
        <w:rPr>
          <w:rFonts w:ascii="Times New Roman" w:hAnsi="Times New Roman" w:cs="Times New Roman"/>
          <w:color w:val="auto"/>
          <w:sz w:val="24"/>
          <w:szCs w:val="24"/>
          <w:lang w:val="en-AU"/>
        </w:rPr>
        <w:t xml:space="preserve"> </w:t>
      </w:r>
      <w:r w:rsidR="00136A8F" w:rsidRPr="003A1A2E">
        <w:rPr>
          <w:rFonts w:ascii="Times New Roman" w:hAnsi="Times New Roman" w:cs="Times New Roman"/>
          <w:color w:val="auto"/>
          <w:sz w:val="24"/>
          <w:szCs w:val="24"/>
          <w:lang w:val="en-AU"/>
        </w:rPr>
        <w:t>package</w:t>
      </w:r>
      <w:r w:rsidR="00E5786A" w:rsidRPr="003A1A2E">
        <w:rPr>
          <w:rFonts w:ascii="Times New Roman" w:hAnsi="Times New Roman" w:cs="Times New Roman"/>
          <w:color w:val="auto"/>
          <w:sz w:val="24"/>
          <w:szCs w:val="24"/>
          <w:lang w:val="en-AU"/>
        </w:rPr>
        <w:fldChar w:fldCharType="begin" w:fldLock="1"/>
      </w:r>
      <w:r w:rsidR="005827E6">
        <w:rPr>
          <w:rFonts w:ascii="Times New Roman" w:hAnsi="Times New Roman" w:cs="Times New Roman"/>
          <w:color w:val="auto"/>
          <w:sz w:val="24"/>
          <w:szCs w:val="24"/>
          <w:lang w:val="en-AU"/>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f59c45c4-b5bd-436c-ab8d-15e89e8f9a6c"]}],"mendeley":{"formattedCitation":"&lt;sup&gt;28&lt;/sup&gt;","plainTextFormattedCitation":"28","previouslyFormattedCitation":"&lt;sup&gt;29&lt;/sup&gt;"},"properties":{"noteIndex":0},"schema":"https://github.com/citation-style-language/schema/raw/master/csl-citation.json"}</w:instrText>
      </w:r>
      <w:r w:rsidR="00E5786A" w:rsidRPr="003A1A2E">
        <w:rPr>
          <w:rFonts w:ascii="Times New Roman" w:hAnsi="Times New Roman" w:cs="Times New Roman"/>
          <w:color w:val="auto"/>
          <w:sz w:val="24"/>
          <w:szCs w:val="24"/>
          <w:lang w:val="en-AU"/>
        </w:rPr>
        <w:fldChar w:fldCharType="separate"/>
      </w:r>
      <w:r w:rsidR="005827E6" w:rsidRPr="005827E6">
        <w:rPr>
          <w:rFonts w:ascii="Times New Roman" w:hAnsi="Times New Roman" w:cs="Times New Roman"/>
          <w:noProof/>
          <w:color w:val="auto"/>
          <w:sz w:val="24"/>
          <w:szCs w:val="24"/>
          <w:vertAlign w:val="superscript"/>
          <w:lang w:val="en-AU"/>
        </w:rPr>
        <w:t>28</w:t>
      </w:r>
      <w:r w:rsidR="00E5786A" w:rsidRPr="003A1A2E">
        <w:rPr>
          <w:rFonts w:ascii="Times New Roman" w:hAnsi="Times New Roman" w:cs="Times New Roman"/>
          <w:color w:val="auto"/>
          <w:sz w:val="24"/>
          <w:szCs w:val="24"/>
          <w:lang w:val="en-AU"/>
        </w:rPr>
        <w:fldChar w:fldCharType="end"/>
      </w:r>
      <w:r w:rsidR="00136A8F" w:rsidRPr="003A1A2E">
        <w:rPr>
          <w:rFonts w:ascii="Times New Roman" w:hAnsi="Times New Roman" w:cs="Times New Roman"/>
          <w:color w:val="auto"/>
          <w:sz w:val="24"/>
          <w:szCs w:val="24"/>
          <w:lang w:val="en-AU"/>
        </w:rPr>
        <w:t xml:space="preserve">. </w:t>
      </w:r>
      <w:r w:rsidR="003C63D6" w:rsidRPr="003A1A2E">
        <w:rPr>
          <w:rFonts w:ascii="Times New Roman" w:hAnsi="Times New Roman" w:cs="Times New Roman"/>
          <w:color w:val="auto"/>
          <w:sz w:val="24"/>
          <w:szCs w:val="24"/>
          <w:lang w:val="en-AU"/>
        </w:rPr>
        <w:t>A</w:t>
      </w:r>
      <w:r w:rsidR="00073559" w:rsidRPr="003A1A2E">
        <w:rPr>
          <w:rFonts w:ascii="Times New Roman" w:hAnsi="Times New Roman" w:cs="Times New Roman"/>
          <w:color w:val="auto"/>
          <w:sz w:val="24"/>
          <w:szCs w:val="24"/>
          <w:lang w:val="en-AU"/>
        </w:rPr>
        <w:t xml:space="preserve"> linear</w:t>
      </w:r>
      <w:r w:rsidR="002A6E72" w:rsidRPr="003A1A2E">
        <w:rPr>
          <w:rFonts w:ascii="Times New Roman" w:hAnsi="Times New Roman" w:cs="Times New Roman"/>
          <w:color w:val="auto"/>
          <w:sz w:val="24"/>
          <w:szCs w:val="24"/>
          <w:lang w:val="en-AU"/>
        </w:rPr>
        <w:t xml:space="preserve"> mixed</w:t>
      </w:r>
      <w:r w:rsidR="00904479" w:rsidRPr="003A1A2E">
        <w:rPr>
          <w:rFonts w:ascii="Times New Roman" w:hAnsi="Times New Roman" w:cs="Times New Roman"/>
          <w:color w:val="auto"/>
          <w:sz w:val="24"/>
          <w:szCs w:val="24"/>
          <w:lang w:val="en-AU"/>
        </w:rPr>
        <w:t>-effect</w:t>
      </w:r>
      <w:r w:rsidR="002A6E72" w:rsidRPr="003A1A2E">
        <w:rPr>
          <w:rFonts w:ascii="Times New Roman" w:hAnsi="Times New Roman" w:cs="Times New Roman"/>
          <w:color w:val="auto"/>
          <w:sz w:val="24"/>
          <w:szCs w:val="24"/>
          <w:lang w:val="en-AU"/>
        </w:rPr>
        <w:t xml:space="preserve"> model </w:t>
      </w:r>
      <w:r w:rsidR="003C63D6" w:rsidRPr="003A1A2E">
        <w:rPr>
          <w:rFonts w:ascii="Times New Roman" w:hAnsi="Times New Roman" w:cs="Times New Roman"/>
          <w:color w:val="auto"/>
          <w:sz w:val="24"/>
          <w:szCs w:val="24"/>
          <w:lang w:val="en-AU"/>
        </w:rPr>
        <w:t>was</w:t>
      </w:r>
      <w:r w:rsidR="002A6E72" w:rsidRPr="003A1A2E">
        <w:rPr>
          <w:rFonts w:ascii="Times New Roman" w:hAnsi="Times New Roman" w:cs="Times New Roman"/>
          <w:color w:val="auto"/>
          <w:sz w:val="24"/>
          <w:szCs w:val="24"/>
          <w:lang w:val="en-AU"/>
        </w:rPr>
        <w:t xml:space="preserve"> </w:t>
      </w:r>
      <w:r w:rsidR="00904479" w:rsidRPr="003A1A2E">
        <w:rPr>
          <w:rFonts w:ascii="Times New Roman" w:hAnsi="Times New Roman" w:cs="Times New Roman"/>
          <w:color w:val="auto"/>
          <w:sz w:val="24"/>
          <w:szCs w:val="24"/>
          <w:lang w:val="en-AU"/>
        </w:rPr>
        <w:t xml:space="preserve">used to compare </w:t>
      </w:r>
      <w:r w:rsidR="003C63D6" w:rsidRPr="003A1A2E">
        <w:rPr>
          <w:rFonts w:ascii="Times New Roman" w:hAnsi="Times New Roman" w:cs="Times New Roman"/>
          <w:color w:val="auto"/>
          <w:sz w:val="24"/>
          <w:szCs w:val="24"/>
          <w:lang w:val="en-AU"/>
        </w:rPr>
        <w:t xml:space="preserve">ΔF of </w:t>
      </w:r>
      <w:r w:rsidR="0011111E" w:rsidRPr="003A1A2E">
        <w:rPr>
          <w:rFonts w:ascii="Times New Roman" w:hAnsi="Times New Roman" w:cs="Times New Roman"/>
          <w:iCs/>
          <w:color w:val="auto"/>
          <w:sz w:val="24"/>
          <w:szCs w:val="24"/>
          <w:lang w:val="en-AU"/>
        </w:rPr>
        <w:t>soleus</w:t>
      </w:r>
      <w:r w:rsidR="0011111E" w:rsidRPr="003A1A2E">
        <w:rPr>
          <w:rFonts w:ascii="Times New Roman" w:hAnsi="Times New Roman" w:cs="Times New Roman"/>
          <w:color w:val="auto"/>
          <w:sz w:val="24"/>
          <w:szCs w:val="24"/>
          <w:lang w:val="en-AU"/>
        </w:rPr>
        <w:t xml:space="preserve"> </w:t>
      </w:r>
      <w:r w:rsidR="003C63D6" w:rsidRPr="003A1A2E">
        <w:rPr>
          <w:rFonts w:ascii="Times New Roman" w:hAnsi="Times New Roman" w:cs="Times New Roman"/>
          <w:color w:val="auto"/>
          <w:sz w:val="24"/>
          <w:szCs w:val="24"/>
          <w:lang w:val="en-AU"/>
        </w:rPr>
        <w:t xml:space="preserve">between groups. </w:t>
      </w:r>
      <w:r w:rsidR="00CF40B7" w:rsidRPr="003A1A2E">
        <w:rPr>
          <w:rFonts w:ascii="Times New Roman" w:hAnsi="Times New Roman" w:cs="Times New Roman"/>
          <w:color w:val="auto"/>
          <w:sz w:val="24"/>
          <w:szCs w:val="24"/>
          <w:lang w:val="en-AU"/>
        </w:rPr>
        <w:t>The AT group was significantly older than the control grou</w:t>
      </w:r>
      <w:r w:rsidR="00CF40B7">
        <w:rPr>
          <w:rFonts w:ascii="Times New Roman" w:hAnsi="Times New Roman" w:cs="Times New Roman"/>
          <w:color w:val="auto"/>
          <w:sz w:val="24"/>
          <w:szCs w:val="24"/>
          <w:lang w:val="en-AU"/>
        </w:rPr>
        <w:t>p. A</w:t>
      </w:r>
      <w:r w:rsidR="00CF40B7" w:rsidRPr="003A1A2E">
        <w:rPr>
          <w:rFonts w:ascii="Times New Roman" w:hAnsi="Times New Roman" w:cs="Times New Roman"/>
          <w:color w:val="auto"/>
          <w:sz w:val="24"/>
          <w:szCs w:val="24"/>
          <w:lang w:val="en-AU"/>
        </w:rPr>
        <w:t>s age is a factor that can affect the estimates of PICs</w:t>
      </w:r>
      <w:r w:rsidR="00CF40B7" w:rsidRPr="003A1A2E">
        <w:rPr>
          <w:rFonts w:ascii="Times New Roman" w:hAnsi="Times New Roman" w:cs="Times New Roman"/>
          <w:color w:val="auto"/>
          <w:sz w:val="24"/>
          <w:szCs w:val="24"/>
          <w:lang w:val="en-AU"/>
        </w:rPr>
        <w:fldChar w:fldCharType="begin" w:fldLock="1"/>
      </w:r>
      <w:r w:rsidR="00CF40B7" w:rsidRPr="003A1A2E">
        <w:rPr>
          <w:rFonts w:ascii="Times New Roman" w:hAnsi="Times New Roman" w:cs="Times New Roman"/>
          <w:color w:val="auto"/>
          <w:sz w:val="24"/>
          <w:szCs w:val="24"/>
          <w:lang w:val="en-AU"/>
        </w:rPr>
        <w:instrText>ADDIN CSL_CITATION {"citationItems":[{"id":"ITEM-1","itemData":{"DOI":"10.1007/s11357-021-00478-z","ISBN":"0123456789","ISSN":"2509-2715","author":[{"dropping-particle":"","family":"Orssatto","given":"Lucas B. R.","non-dropping-particle":"","parse-names":false,"suffix":""},{"dropping-particle":"","family":"Borg","given":"David N.","non-dropping-particle":"","parse-names":false,"suffix":""},{"dropping-particle":"","family":"Blazevich","given":"Anthony J.","non-dropping-particle":"","parse-names":false,"suffix":""},{"dropping-particle":"","family":"Sakugawa","given":"Raphael L.","non-dropping-particle":"","parse-names":false,"suffix":""},{"dropping-particle":"","family":"Shield","given":"Anthony J.","non-dropping-particle":"","parse-names":false,"suffix":""},{"dropping-particle":"","family":"Trajano","given":"Gabriel S.","non-dropping-particle":"","parse-names":false,"suffix":""}],"container-title":"GeroScience","id":"ITEM-1","issued":{"date-parts":[["2021"]]},"page":"2719-2735","title":"Intrinsic motoneuron excitability is reduced in soleus and tibialis anterior of older adults","type":"article-journal"},"uris":["http://www.mendeley.com/documents/?uuid=58f040f7-7484-488d-b342-ba997ebfe23c"]}],"mendeley":{"formattedCitation":"&lt;sup&gt;8&lt;/sup&gt;","plainTextFormattedCitation":"8","previouslyFormattedCitation":"&lt;sup&gt;8&lt;/sup&gt;"},"properties":{"noteIndex":0},"schema":"https://github.com/citation-style-language/schema/raw/master/csl-citation.json"}</w:instrText>
      </w:r>
      <w:r w:rsidR="00CF40B7" w:rsidRPr="003A1A2E">
        <w:rPr>
          <w:rFonts w:ascii="Times New Roman" w:hAnsi="Times New Roman" w:cs="Times New Roman"/>
          <w:color w:val="auto"/>
          <w:sz w:val="24"/>
          <w:szCs w:val="24"/>
          <w:lang w:val="en-AU"/>
        </w:rPr>
        <w:fldChar w:fldCharType="separate"/>
      </w:r>
      <w:r w:rsidR="00CF40B7" w:rsidRPr="003A1A2E">
        <w:rPr>
          <w:rFonts w:ascii="Times New Roman" w:hAnsi="Times New Roman" w:cs="Times New Roman"/>
          <w:noProof/>
          <w:color w:val="auto"/>
          <w:sz w:val="24"/>
          <w:szCs w:val="24"/>
          <w:vertAlign w:val="superscript"/>
          <w:lang w:val="en-AU"/>
        </w:rPr>
        <w:t>8</w:t>
      </w:r>
      <w:r w:rsidR="00CF40B7" w:rsidRPr="003A1A2E">
        <w:rPr>
          <w:rFonts w:ascii="Times New Roman" w:hAnsi="Times New Roman" w:cs="Times New Roman"/>
          <w:color w:val="auto"/>
          <w:sz w:val="24"/>
          <w:szCs w:val="24"/>
          <w:lang w:val="en-AU"/>
        </w:rPr>
        <w:fldChar w:fldCharType="end"/>
      </w:r>
      <w:r w:rsidR="00CF40B7">
        <w:rPr>
          <w:rFonts w:ascii="Times New Roman" w:hAnsi="Times New Roman" w:cs="Times New Roman"/>
          <w:color w:val="auto"/>
          <w:sz w:val="24"/>
          <w:szCs w:val="24"/>
          <w:lang w:val="en-AU"/>
        </w:rPr>
        <w:t>, a</w:t>
      </w:r>
      <w:r w:rsidR="00CF40B7" w:rsidRPr="003A1A2E">
        <w:rPr>
          <w:rFonts w:ascii="Times New Roman" w:hAnsi="Times New Roman" w:cs="Times New Roman"/>
          <w:color w:val="auto"/>
          <w:sz w:val="24"/>
          <w:szCs w:val="24"/>
          <w:lang w:val="en-AU"/>
        </w:rPr>
        <w:t xml:space="preserve"> random intercept and slope (age) were included for each participant in the study to account for the influence of age and</w:t>
      </w:r>
      <w:r w:rsidR="00CF40B7" w:rsidRPr="003A1A2E">
        <w:rPr>
          <w:rFonts w:ascii="Times New Roman" w:hAnsi="Times New Roman" w:cs="Times New Roman"/>
          <w:color w:val="auto"/>
          <w:lang w:val="en-AU"/>
        </w:rPr>
        <w:t xml:space="preserve"> </w:t>
      </w:r>
      <w:r w:rsidR="00CF40B7" w:rsidRPr="003A1A2E">
        <w:rPr>
          <w:rFonts w:ascii="Times New Roman" w:hAnsi="Times New Roman" w:cs="Times New Roman"/>
          <w:color w:val="auto"/>
          <w:sz w:val="24"/>
          <w:szCs w:val="24"/>
          <w:lang w:val="en-AU"/>
        </w:rPr>
        <w:t>the correlation between repeated observations (cluster of motor unit) for each participant</w:t>
      </w:r>
      <w:r w:rsidR="00CF40B7" w:rsidRPr="003A1A2E">
        <w:rPr>
          <w:rFonts w:ascii="Times New Roman" w:hAnsi="Times New Roman" w:cs="Times New Roman"/>
          <w:color w:val="auto"/>
          <w:sz w:val="24"/>
          <w:szCs w:val="24"/>
          <w:lang w:val="en-AU"/>
        </w:rPr>
        <w:fldChar w:fldCharType="begin" w:fldLock="1"/>
      </w:r>
      <w:r w:rsidR="005827E6">
        <w:rPr>
          <w:rFonts w:ascii="Times New Roman" w:hAnsi="Times New Roman" w:cs="Times New Roman"/>
          <w:color w:val="auto"/>
          <w:sz w:val="24"/>
          <w:szCs w:val="24"/>
          <w:lang w:val="en-AU"/>
        </w:rPr>
        <w:instrText>ADDIN CSL_CITATION {"citationItems":[{"id":"ITEM-1","itemData":{"DOI":"10.1152/japplphysiol.00310.2019","ISSN":"15221601","PMID":"31369324","abstract":"Conflicting results havebeen reported on whether closed kinetic chain exercises (such as a leg press) may induce more balanced activation of vastus medialis (VM) and lateralis (VL) muscles compared with open kinetic chain exercise (such as pure knee extension). This study aimed to 1) compare between-vasti motor unit activity and 2) analyze the combined motor unit behavior from both muscles between open and closed kinetic chain exercises. Thirteen participants (four women, mean ± SD age: 27 ± 5 yr) performed isometric knee extension and leg press at 10, 30, 50, 70% of the maximum voluntary torque. High density surface EMG signals were recorded from the VM and VL and motor unit firings were automatically identified by convolutive blind source separation. We estimated the total synaptic input received by the two muscles by analyzing the difference in discharge rate from recruitment to target torque for motor units matched by recruitment threshold. When controlling for recruitment threshold and discharge rate at recruitment, the motor unit discharge rates were higher for knee extension compared with the leg press exercise at 50% [estimate = 1.2 pulses per second (pps), standard error (SE) = 0.3 pps, P = 0.0138] and 70% (estimate = 2.0 pps, SE = 0.3 pps, P = 0.0001) of maximal torque. However, no difference between the vasti muscles were detected in both exercises. The estimates of synaptic input to the muscles confirmed these results. In conclusion, the estimated synaptic input received by VM and VL was similar within and across exercises. However, both muscles had higher firing rates and estimated synaptic input at the highest torque levels during knee extension. Taken together, the results show that knee-extension is more suitable than leg-press exercise at increasing the concurrent activation of the vasti muscles.","author":[{"dropping-particle":"","family":"Boccia","given":"Gennaro","non-dropping-particle":"","parse-names":false,"suffix":""},{"dropping-particle":"","family":"Martinez-Valdes","given":"Eduardo","non-dropping-particle":"","parse-names":false,"suffix":""},{"dropping-particle":"","family":"Negro","given":"Francesco","non-dropping-particle":"","parse-names":false,"suffix":""},{"dropping-particle":"","family":"Rainoldi","given":"Alberto","non-dropping-particle":"","parse-names":false,"suffix":""},{"dropping-particle":"","family":"Falla","given":"Deborah","non-dropping-particle":"","parse-names":false,"suffix":""}],"container-title":"Journal of Applied Physiology","id":"ITEM-1","issue":"4","issued":{"date-parts":[["2019"]]},"page":"950-958","title":"Motor unit discharge rate and the estimated synaptic input to the vasti muscles is higher in open compared with closed kinetic chain exercise","type":"article-journal","volume":"127"},"uris":["http://www.mendeley.com/documents/?uuid=bf0127df-d50e-4335-a8d3-76e195dcd286"]}],"mendeley":{"formattedCitation":"&lt;sup&gt;29&lt;/sup&gt;","plainTextFormattedCitation":"29","previouslyFormattedCitation":"&lt;sup&gt;30&lt;/sup&gt;"},"properties":{"noteIndex":0},"schema":"https://github.com/citation-style-language/schema/raw/master/csl-citation.json"}</w:instrText>
      </w:r>
      <w:r w:rsidR="00CF40B7" w:rsidRPr="003A1A2E">
        <w:rPr>
          <w:rFonts w:ascii="Times New Roman" w:hAnsi="Times New Roman" w:cs="Times New Roman"/>
          <w:color w:val="auto"/>
          <w:sz w:val="24"/>
          <w:szCs w:val="24"/>
          <w:lang w:val="en-AU"/>
        </w:rPr>
        <w:fldChar w:fldCharType="separate"/>
      </w:r>
      <w:r w:rsidR="005827E6" w:rsidRPr="005827E6">
        <w:rPr>
          <w:rFonts w:ascii="Times New Roman" w:hAnsi="Times New Roman" w:cs="Times New Roman"/>
          <w:noProof/>
          <w:color w:val="auto"/>
          <w:sz w:val="24"/>
          <w:szCs w:val="24"/>
          <w:vertAlign w:val="superscript"/>
          <w:lang w:val="en-AU"/>
        </w:rPr>
        <w:t>29</w:t>
      </w:r>
      <w:r w:rsidR="00CF40B7" w:rsidRPr="003A1A2E">
        <w:rPr>
          <w:rFonts w:ascii="Times New Roman" w:hAnsi="Times New Roman" w:cs="Times New Roman"/>
          <w:color w:val="auto"/>
          <w:sz w:val="24"/>
          <w:szCs w:val="24"/>
          <w:lang w:val="en-AU"/>
        </w:rPr>
        <w:fldChar w:fldCharType="end"/>
      </w:r>
      <w:r w:rsidR="00CF40B7" w:rsidRPr="003A1A2E">
        <w:rPr>
          <w:rFonts w:ascii="Times New Roman" w:hAnsi="Times New Roman" w:cs="Times New Roman"/>
          <w:color w:val="auto"/>
          <w:sz w:val="24"/>
          <w:szCs w:val="24"/>
          <w:lang w:val="en-AU"/>
        </w:rPr>
        <w:t>.</w:t>
      </w:r>
      <w:r w:rsidR="000A2C11" w:rsidRPr="003A1A2E">
        <w:rPr>
          <w:rFonts w:ascii="Times New Roman" w:hAnsi="Times New Roman" w:cs="Times New Roman"/>
          <w:color w:val="auto"/>
          <w:sz w:val="24"/>
          <w:szCs w:val="24"/>
          <w:lang w:val="en-AU"/>
        </w:rPr>
        <w:t xml:space="preserve"> </w:t>
      </w:r>
      <w:r w:rsidR="00B03EC1" w:rsidRPr="003A1A2E">
        <w:rPr>
          <w:rFonts w:ascii="Times New Roman" w:hAnsi="Times New Roman" w:cs="Times New Roman"/>
          <w:color w:val="auto"/>
          <w:sz w:val="24"/>
          <w:szCs w:val="24"/>
          <w:lang w:val="en-AU"/>
        </w:rPr>
        <w:t>Recruitment threshold was</w:t>
      </w:r>
      <w:r w:rsidR="00712EDE" w:rsidRPr="003A1A2E">
        <w:rPr>
          <w:rFonts w:ascii="Times New Roman" w:hAnsi="Times New Roman" w:cs="Times New Roman"/>
          <w:color w:val="auto"/>
          <w:sz w:val="24"/>
          <w:szCs w:val="24"/>
          <w:lang w:val="en-AU"/>
        </w:rPr>
        <w:t xml:space="preserve"> not </w:t>
      </w:r>
      <w:r w:rsidR="009C31FE" w:rsidRPr="003A1A2E">
        <w:rPr>
          <w:rFonts w:ascii="Times New Roman" w:hAnsi="Times New Roman" w:cs="Times New Roman"/>
          <w:color w:val="auto"/>
          <w:sz w:val="24"/>
          <w:szCs w:val="24"/>
          <w:lang w:val="en-AU"/>
        </w:rPr>
        <w:t xml:space="preserve">statistically </w:t>
      </w:r>
      <w:r w:rsidR="00712EDE" w:rsidRPr="003A1A2E">
        <w:rPr>
          <w:rFonts w:ascii="Times New Roman" w:hAnsi="Times New Roman" w:cs="Times New Roman"/>
          <w:color w:val="auto"/>
          <w:sz w:val="24"/>
          <w:szCs w:val="24"/>
          <w:lang w:val="en-AU"/>
        </w:rPr>
        <w:t>different between groups, suggesting similar (low</w:t>
      </w:r>
      <w:r w:rsidR="00386CA0" w:rsidRPr="003A1A2E">
        <w:rPr>
          <w:rFonts w:ascii="Times New Roman" w:hAnsi="Times New Roman" w:cs="Times New Roman"/>
          <w:color w:val="auto"/>
          <w:sz w:val="24"/>
          <w:szCs w:val="24"/>
          <w:lang w:val="en-AU"/>
        </w:rPr>
        <w:t>er-</w:t>
      </w:r>
      <w:r w:rsidR="00712EDE" w:rsidRPr="003A1A2E">
        <w:rPr>
          <w:rFonts w:ascii="Times New Roman" w:hAnsi="Times New Roman" w:cs="Times New Roman"/>
          <w:color w:val="auto"/>
          <w:sz w:val="24"/>
          <w:szCs w:val="24"/>
          <w:lang w:val="en-AU"/>
        </w:rPr>
        <w:t>threshold) population of motor units</w:t>
      </w:r>
      <w:r w:rsidR="00E50677" w:rsidRPr="003A1A2E">
        <w:rPr>
          <w:rFonts w:ascii="Times New Roman" w:hAnsi="Times New Roman" w:cs="Times New Roman"/>
          <w:color w:val="auto"/>
          <w:sz w:val="24"/>
          <w:szCs w:val="24"/>
          <w:lang w:val="en-AU"/>
        </w:rPr>
        <w:t xml:space="preserve"> </w:t>
      </w:r>
      <w:r w:rsidR="00AD20B4" w:rsidRPr="003A1A2E">
        <w:rPr>
          <w:rFonts w:ascii="Times New Roman" w:hAnsi="Times New Roman" w:cs="Times New Roman"/>
          <w:color w:val="auto"/>
          <w:sz w:val="24"/>
          <w:szCs w:val="24"/>
          <w:lang w:val="en-AU"/>
        </w:rPr>
        <w:t xml:space="preserve">were </w:t>
      </w:r>
      <w:r w:rsidR="00E50677" w:rsidRPr="003A1A2E">
        <w:rPr>
          <w:rFonts w:ascii="Times New Roman" w:hAnsi="Times New Roman" w:cs="Times New Roman"/>
          <w:color w:val="auto"/>
          <w:sz w:val="24"/>
          <w:szCs w:val="24"/>
          <w:lang w:val="en-AU"/>
        </w:rPr>
        <w:t>acquired from HD-EMG analysis</w:t>
      </w:r>
      <w:r w:rsidR="00712EDE" w:rsidRPr="003A1A2E">
        <w:rPr>
          <w:rFonts w:ascii="Times New Roman" w:hAnsi="Times New Roman" w:cs="Times New Roman"/>
          <w:color w:val="auto"/>
          <w:sz w:val="24"/>
          <w:szCs w:val="24"/>
          <w:lang w:val="en-AU"/>
        </w:rPr>
        <w:t xml:space="preserve">, thus, </w:t>
      </w:r>
      <w:r w:rsidR="00334D5E" w:rsidRPr="003A1A2E">
        <w:rPr>
          <w:rFonts w:ascii="Times New Roman" w:hAnsi="Times New Roman" w:cs="Times New Roman"/>
          <w:color w:val="auto"/>
          <w:sz w:val="24"/>
          <w:szCs w:val="24"/>
          <w:lang w:val="en-AU"/>
        </w:rPr>
        <w:t>it</w:t>
      </w:r>
      <w:r w:rsidR="00712EDE" w:rsidRPr="003A1A2E">
        <w:rPr>
          <w:rFonts w:ascii="Times New Roman" w:hAnsi="Times New Roman" w:cs="Times New Roman"/>
          <w:color w:val="auto"/>
          <w:sz w:val="24"/>
          <w:szCs w:val="24"/>
          <w:lang w:val="en-AU"/>
        </w:rPr>
        <w:t xml:space="preserve"> was not used in</w:t>
      </w:r>
      <w:r w:rsidR="00B03EC1" w:rsidRPr="003A1A2E">
        <w:rPr>
          <w:rFonts w:ascii="Times New Roman" w:hAnsi="Times New Roman" w:cs="Times New Roman"/>
          <w:color w:val="auto"/>
          <w:sz w:val="24"/>
          <w:szCs w:val="24"/>
          <w:lang w:val="en-AU"/>
        </w:rPr>
        <w:t xml:space="preserve"> the </w:t>
      </w:r>
      <w:r w:rsidR="00712EDE" w:rsidRPr="003A1A2E">
        <w:rPr>
          <w:rFonts w:ascii="Times New Roman" w:hAnsi="Times New Roman" w:cs="Times New Roman"/>
          <w:color w:val="auto"/>
          <w:sz w:val="24"/>
          <w:szCs w:val="24"/>
          <w:lang w:val="en-AU"/>
        </w:rPr>
        <w:t xml:space="preserve">statistical </w:t>
      </w:r>
      <w:r w:rsidR="00B03EC1" w:rsidRPr="003A1A2E">
        <w:rPr>
          <w:rFonts w:ascii="Times New Roman" w:hAnsi="Times New Roman" w:cs="Times New Roman"/>
          <w:color w:val="auto"/>
          <w:sz w:val="24"/>
          <w:szCs w:val="24"/>
          <w:lang w:val="en-AU"/>
        </w:rPr>
        <w:t>model</w:t>
      </w:r>
      <w:r w:rsidR="00712EDE" w:rsidRPr="003A1A2E">
        <w:rPr>
          <w:rFonts w:ascii="Times New Roman" w:hAnsi="Times New Roman" w:cs="Times New Roman"/>
          <w:color w:val="auto"/>
          <w:sz w:val="24"/>
          <w:szCs w:val="24"/>
          <w:lang w:val="en-AU"/>
        </w:rPr>
        <w:t xml:space="preserve">. </w:t>
      </w:r>
      <w:r w:rsidR="001E1D70" w:rsidRPr="003A1A2E">
        <w:rPr>
          <w:rFonts w:ascii="Times New Roman" w:hAnsi="Times New Roman" w:cs="Times New Roman"/>
          <w:color w:val="auto"/>
          <w:sz w:val="24"/>
          <w:szCs w:val="24"/>
          <w:lang w:val="en-AU"/>
        </w:rPr>
        <w:t xml:space="preserve">Separate linear mixed-effects models were used to analyse </w:t>
      </w:r>
      <w:r w:rsidR="009C31FE" w:rsidRPr="003A1A2E">
        <w:rPr>
          <w:rFonts w:ascii="Times New Roman" w:hAnsi="Times New Roman" w:cs="Times New Roman"/>
          <w:color w:val="auto"/>
          <w:sz w:val="24"/>
          <w:szCs w:val="24"/>
          <w:lang w:val="en-AU"/>
        </w:rPr>
        <w:t xml:space="preserve">motor unit </w:t>
      </w:r>
      <w:r w:rsidR="001E1D70" w:rsidRPr="003A1A2E">
        <w:rPr>
          <w:rFonts w:ascii="Times New Roman" w:hAnsi="Times New Roman" w:cs="Times New Roman"/>
          <w:color w:val="auto"/>
          <w:sz w:val="24"/>
          <w:szCs w:val="24"/>
          <w:lang w:val="en-AU"/>
        </w:rPr>
        <w:t xml:space="preserve">peak discharge rate and recruitment threshold </w:t>
      </w:r>
      <w:r w:rsidR="005B1B12" w:rsidRPr="003A1A2E">
        <w:rPr>
          <w:rFonts w:ascii="Times New Roman" w:hAnsi="Times New Roman" w:cs="Times New Roman"/>
          <w:color w:val="auto"/>
          <w:sz w:val="24"/>
          <w:szCs w:val="24"/>
          <w:lang w:val="en-AU"/>
        </w:rPr>
        <w:t>between groups</w:t>
      </w:r>
      <w:r w:rsidR="008113B7" w:rsidRPr="003A1A2E">
        <w:rPr>
          <w:rFonts w:ascii="Times New Roman" w:hAnsi="Times New Roman" w:cs="Times New Roman"/>
          <w:color w:val="auto"/>
          <w:sz w:val="24"/>
          <w:szCs w:val="24"/>
          <w:lang w:val="en-AU"/>
        </w:rPr>
        <w:t>,</w:t>
      </w:r>
      <w:r w:rsidR="005B1B12" w:rsidRPr="003A1A2E">
        <w:rPr>
          <w:rFonts w:ascii="Times New Roman" w:hAnsi="Times New Roman" w:cs="Times New Roman"/>
          <w:color w:val="auto"/>
          <w:sz w:val="24"/>
          <w:szCs w:val="24"/>
          <w:lang w:val="en-AU"/>
        </w:rPr>
        <w:t xml:space="preserve"> these</w:t>
      </w:r>
      <w:r w:rsidR="008113B7" w:rsidRPr="003A1A2E">
        <w:rPr>
          <w:rFonts w:ascii="Times New Roman" w:hAnsi="Times New Roman" w:cs="Times New Roman"/>
          <w:color w:val="auto"/>
          <w:sz w:val="24"/>
          <w:szCs w:val="24"/>
          <w:lang w:val="en-AU"/>
        </w:rPr>
        <w:t xml:space="preserve"> includ</w:t>
      </w:r>
      <w:r w:rsidR="005B1B12" w:rsidRPr="003A1A2E">
        <w:rPr>
          <w:rFonts w:ascii="Times New Roman" w:hAnsi="Times New Roman" w:cs="Times New Roman"/>
          <w:color w:val="auto"/>
          <w:sz w:val="24"/>
          <w:szCs w:val="24"/>
          <w:lang w:val="en-AU"/>
        </w:rPr>
        <w:t>ed</w:t>
      </w:r>
      <w:r w:rsidR="008113B7" w:rsidRPr="003A1A2E">
        <w:rPr>
          <w:rFonts w:ascii="Times New Roman" w:hAnsi="Times New Roman" w:cs="Times New Roman"/>
          <w:color w:val="auto"/>
          <w:sz w:val="24"/>
          <w:szCs w:val="24"/>
          <w:lang w:val="en-AU"/>
        </w:rPr>
        <w:t xml:space="preserve"> a</w:t>
      </w:r>
      <w:r w:rsidR="00A55EA9" w:rsidRPr="003A1A2E">
        <w:rPr>
          <w:rFonts w:ascii="Times New Roman" w:hAnsi="Times New Roman" w:cs="Times New Roman"/>
          <w:color w:val="auto"/>
          <w:sz w:val="24"/>
          <w:szCs w:val="24"/>
          <w:lang w:val="en-AU"/>
        </w:rPr>
        <w:t xml:space="preserve"> random intercept and slope</w:t>
      </w:r>
      <w:r w:rsidR="008113B7" w:rsidRPr="003A1A2E">
        <w:rPr>
          <w:rFonts w:ascii="Times New Roman" w:hAnsi="Times New Roman" w:cs="Times New Roman"/>
          <w:color w:val="auto"/>
          <w:sz w:val="24"/>
          <w:szCs w:val="24"/>
          <w:lang w:val="en-AU"/>
        </w:rPr>
        <w:t xml:space="preserve"> for each participant.</w:t>
      </w:r>
      <w:r w:rsidR="0060751F" w:rsidRPr="003A1A2E">
        <w:rPr>
          <w:rFonts w:ascii="Times New Roman" w:hAnsi="Times New Roman" w:cs="Times New Roman"/>
          <w:color w:val="auto"/>
          <w:sz w:val="24"/>
          <w:szCs w:val="24"/>
          <w:lang w:val="en-AU"/>
        </w:rPr>
        <w:t xml:space="preserve"> </w:t>
      </w:r>
      <w:r w:rsidR="001E1D70" w:rsidRPr="003A1A2E">
        <w:rPr>
          <w:rFonts w:ascii="Times New Roman" w:hAnsi="Times New Roman" w:cs="Times New Roman"/>
          <w:color w:val="auto"/>
          <w:sz w:val="24"/>
          <w:szCs w:val="24"/>
          <w:lang w:val="en-AU"/>
        </w:rPr>
        <w:t xml:space="preserve">The estimated marginal mean difference and 95% confidence intervals (CI) </w:t>
      </w:r>
      <w:r w:rsidR="00334D5E" w:rsidRPr="003A1A2E">
        <w:rPr>
          <w:rFonts w:ascii="Times New Roman" w:hAnsi="Times New Roman" w:cs="Times New Roman"/>
          <w:color w:val="auto"/>
          <w:sz w:val="24"/>
          <w:szCs w:val="24"/>
          <w:lang w:val="en-AU"/>
        </w:rPr>
        <w:t>for</w:t>
      </w:r>
      <w:r w:rsidR="001E1D70" w:rsidRPr="003A1A2E">
        <w:rPr>
          <w:rFonts w:ascii="Times New Roman" w:hAnsi="Times New Roman" w:cs="Times New Roman"/>
          <w:color w:val="auto"/>
          <w:sz w:val="24"/>
          <w:szCs w:val="24"/>
          <w:lang w:val="en-AU"/>
        </w:rPr>
        <w:t xml:space="preserve"> ΔF, peak discharge rate, and recruitment threshold between </w:t>
      </w:r>
      <w:r w:rsidR="00695AFE" w:rsidRPr="003A1A2E">
        <w:rPr>
          <w:rFonts w:ascii="Times New Roman" w:hAnsi="Times New Roman" w:cs="Times New Roman"/>
          <w:color w:val="auto"/>
          <w:sz w:val="24"/>
          <w:szCs w:val="24"/>
          <w:lang w:val="en-AU"/>
        </w:rPr>
        <w:t>groups</w:t>
      </w:r>
      <w:r w:rsidR="001E1D70" w:rsidRPr="003A1A2E">
        <w:rPr>
          <w:rFonts w:ascii="Times New Roman" w:hAnsi="Times New Roman" w:cs="Times New Roman"/>
          <w:color w:val="auto"/>
          <w:sz w:val="24"/>
          <w:szCs w:val="24"/>
          <w:lang w:val="en-AU"/>
        </w:rPr>
        <w:t>, were determined using the</w:t>
      </w:r>
      <w:r w:rsidR="00073559" w:rsidRPr="003A1A2E">
        <w:rPr>
          <w:rFonts w:ascii="Times New Roman" w:hAnsi="Times New Roman" w:cs="Times New Roman"/>
          <w:color w:val="auto"/>
          <w:sz w:val="24"/>
          <w:szCs w:val="24"/>
          <w:lang w:val="en-AU"/>
        </w:rPr>
        <w:t xml:space="preserve"> </w:t>
      </w:r>
      <w:r w:rsidR="00073559" w:rsidRPr="003A1A2E">
        <w:rPr>
          <w:rFonts w:ascii="Times New Roman" w:hAnsi="Times New Roman" w:cs="Times New Roman"/>
          <w:i/>
          <w:iCs/>
          <w:color w:val="auto"/>
          <w:sz w:val="24"/>
          <w:szCs w:val="24"/>
          <w:lang w:val="en-AU"/>
        </w:rPr>
        <w:t>emmeans</w:t>
      </w:r>
      <w:r w:rsidR="00073559" w:rsidRPr="003A1A2E">
        <w:rPr>
          <w:rFonts w:ascii="Times New Roman" w:hAnsi="Times New Roman" w:cs="Times New Roman"/>
          <w:color w:val="auto"/>
          <w:sz w:val="24"/>
          <w:szCs w:val="24"/>
          <w:lang w:val="en-AU"/>
        </w:rPr>
        <w:t xml:space="preserve"> package</w:t>
      </w:r>
      <w:r w:rsidR="00E5786A" w:rsidRPr="003A1A2E">
        <w:rPr>
          <w:rFonts w:ascii="Times New Roman" w:hAnsi="Times New Roman" w:cs="Times New Roman"/>
          <w:color w:val="auto"/>
          <w:sz w:val="24"/>
          <w:szCs w:val="24"/>
          <w:lang w:val="en-AU"/>
        </w:rPr>
        <w:fldChar w:fldCharType="begin" w:fldLock="1"/>
      </w:r>
      <w:r w:rsidR="005827E6">
        <w:rPr>
          <w:rFonts w:ascii="Times New Roman" w:hAnsi="Times New Roman" w:cs="Times New Roman"/>
          <w:color w:val="auto"/>
          <w:sz w:val="24"/>
          <w:szCs w:val="24"/>
          <w:lang w:val="en-AU"/>
        </w:rPr>
        <w:instrText>ADDIN CSL_CITATION {"citationItems":[{"id":"ITEM-1","itemData":{"DOI":"10.18637/jss.v069.i01","ISSN":"15487660","abstract":"Least-squares means are predictions from a linear model, or averages thereof. They are useful in the analysis of experimental data for summarizing the effects of factors, and for testing linear contrasts among predictions. The lsmeans package (Lenth 2016) provides a simple way of obtaining least-squares means and contrasts thereof. It supports many models fitted by R (R Core Team 2015) core packages (as well as a few key contributed ones) that fit linear or mixed models, and provides a simple way of extending it to cover more model classes.","author":[{"dropping-particle":"V.","family":"Lenth","given":"Russell","non-dropping-particle":"","parse-names":false,"suffix":""}],"container-title":"Journal of Statistical Software","id":"ITEM-1","issue":"1","issued":{"date-parts":[["2016"]]},"page":"1-33","title":"Least-squares means: The R package lsmeans","type":"article-journal","volume":"69"},"uris":["http://www.mendeley.com/documents/?uuid=1c6c73d7-47fc-4d5a-8d07-c66f814e3e34"]}],"mendeley":{"formattedCitation":"&lt;sup&gt;30&lt;/sup&gt;","plainTextFormattedCitation":"30","previouslyFormattedCitation":"&lt;sup&gt;31&lt;/sup&gt;"},"properties":{"noteIndex":0},"schema":"https://github.com/citation-style-language/schema/raw/master/csl-citation.json"}</w:instrText>
      </w:r>
      <w:r w:rsidR="00E5786A" w:rsidRPr="003A1A2E">
        <w:rPr>
          <w:rFonts w:ascii="Times New Roman" w:hAnsi="Times New Roman" w:cs="Times New Roman"/>
          <w:color w:val="auto"/>
          <w:sz w:val="24"/>
          <w:szCs w:val="24"/>
          <w:lang w:val="en-AU"/>
        </w:rPr>
        <w:fldChar w:fldCharType="separate"/>
      </w:r>
      <w:r w:rsidR="005827E6" w:rsidRPr="005827E6">
        <w:rPr>
          <w:rFonts w:ascii="Times New Roman" w:hAnsi="Times New Roman" w:cs="Times New Roman"/>
          <w:noProof/>
          <w:color w:val="auto"/>
          <w:sz w:val="24"/>
          <w:szCs w:val="24"/>
          <w:vertAlign w:val="superscript"/>
          <w:lang w:val="en-AU"/>
        </w:rPr>
        <w:t>30</w:t>
      </w:r>
      <w:r w:rsidR="00E5786A" w:rsidRPr="003A1A2E">
        <w:rPr>
          <w:rFonts w:ascii="Times New Roman" w:hAnsi="Times New Roman" w:cs="Times New Roman"/>
          <w:color w:val="auto"/>
          <w:sz w:val="24"/>
          <w:szCs w:val="24"/>
          <w:lang w:val="en-AU"/>
        </w:rPr>
        <w:fldChar w:fldCharType="end"/>
      </w:r>
      <w:r w:rsidR="0093695D" w:rsidRPr="003A1A2E">
        <w:rPr>
          <w:rFonts w:ascii="Times New Roman" w:hAnsi="Times New Roman" w:cs="Times New Roman"/>
          <w:color w:val="auto"/>
          <w:sz w:val="24"/>
          <w:szCs w:val="24"/>
          <w:lang w:val="en-AU"/>
        </w:rPr>
        <w:t>.</w:t>
      </w:r>
      <w:r w:rsidR="0093695D" w:rsidRPr="003A1A2E">
        <w:rPr>
          <w:rFonts w:ascii="Times New Roman" w:hAnsi="Times New Roman" w:cs="Times New Roman"/>
          <w:color w:val="auto"/>
          <w:lang w:val="en-AU"/>
        </w:rPr>
        <w:t xml:space="preserve"> </w:t>
      </w:r>
      <w:r w:rsidR="005B1B12" w:rsidRPr="003A1A2E">
        <w:rPr>
          <w:rFonts w:ascii="Times New Roman" w:hAnsi="Times New Roman" w:cs="Times New Roman"/>
          <w:color w:val="auto"/>
          <w:sz w:val="24"/>
          <w:szCs w:val="24"/>
          <w:lang w:val="en-AU"/>
        </w:rPr>
        <w:t>A</w:t>
      </w:r>
      <w:r w:rsidR="004F04C8" w:rsidRPr="003A1A2E">
        <w:rPr>
          <w:rFonts w:ascii="Times New Roman" w:hAnsi="Times New Roman" w:cs="Times New Roman"/>
          <w:color w:val="auto"/>
          <w:sz w:val="24"/>
          <w:szCs w:val="24"/>
          <w:lang w:val="en-AU"/>
        </w:rPr>
        <w:t>n</w:t>
      </w:r>
      <w:r w:rsidR="001E1D70" w:rsidRPr="003A1A2E">
        <w:rPr>
          <w:rFonts w:ascii="Times New Roman" w:hAnsi="Times New Roman" w:cs="Times New Roman"/>
          <w:color w:val="auto"/>
          <w:sz w:val="24"/>
          <w:szCs w:val="24"/>
          <w:lang w:val="en-AU"/>
        </w:rPr>
        <w:t xml:space="preserve"> α level </w:t>
      </w:r>
      <w:r w:rsidR="005B1B12" w:rsidRPr="003A1A2E">
        <w:rPr>
          <w:rFonts w:ascii="Times New Roman" w:hAnsi="Times New Roman" w:cs="Times New Roman"/>
          <w:color w:val="auto"/>
          <w:sz w:val="24"/>
          <w:szCs w:val="24"/>
          <w:lang w:val="en-AU"/>
        </w:rPr>
        <w:t>of</w:t>
      </w:r>
      <w:r w:rsidR="001E1D70" w:rsidRPr="003A1A2E">
        <w:rPr>
          <w:rFonts w:ascii="Times New Roman" w:hAnsi="Times New Roman" w:cs="Times New Roman"/>
          <w:color w:val="auto"/>
          <w:sz w:val="24"/>
          <w:szCs w:val="24"/>
          <w:lang w:val="en-AU"/>
        </w:rPr>
        <w:t xml:space="preserve"> 5%</w:t>
      </w:r>
      <w:r w:rsidR="005B1B12" w:rsidRPr="003A1A2E">
        <w:rPr>
          <w:rFonts w:ascii="Times New Roman" w:hAnsi="Times New Roman" w:cs="Times New Roman"/>
          <w:color w:val="auto"/>
          <w:sz w:val="24"/>
          <w:szCs w:val="24"/>
          <w:lang w:val="en-AU"/>
        </w:rPr>
        <w:t xml:space="preserve"> was used</w:t>
      </w:r>
      <w:r w:rsidR="001E1D70" w:rsidRPr="003A1A2E">
        <w:rPr>
          <w:rFonts w:ascii="Times New Roman" w:hAnsi="Times New Roman" w:cs="Times New Roman"/>
          <w:color w:val="auto"/>
          <w:sz w:val="24"/>
          <w:szCs w:val="24"/>
          <w:lang w:val="en-AU"/>
        </w:rPr>
        <w:t>.</w:t>
      </w:r>
      <w:r w:rsidR="001C2DF4" w:rsidRPr="003A1A2E">
        <w:rPr>
          <w:rFonts w:ascii="Times New Roman" w:hAnsi="Times New Roman" w:cs="Times New Roman"/>
          <w:color w:val="auto"/>
          <w:sz w:val="24"/>
          <w:szCs w:val="24"/>
          <w:lang w:val="en-AU"/>
        </w:rPr>
        <w:t xml:space="preserve"> </w:t>
      </w:r>
      <w:r w:rsidR="00096158" w:rsidRPr="003A1A2E">
        <w:rPr>
          <w:rFonts w:ascii="Times New Roman" w:hAnsi="Times New Roman" w:cs="Times New Roman"/>
          <w:color w:val="auto"/>
          <w:sz w:val="24"/>
          <w:szCs w:val="24"/>
          <w:lang w:val="en-AU"/>
        </w:rPr>
        <w:t xml:space="preserve">Data is presented </w:t>
      </w:r>
      <w:r w:rsidR="004F04C8" w:rsidRPr="003A1A2E">
        <w:rPr>
          <w:rFonts w:ascii="Times New Roman" w:hAnsi="Times New Roman" w:cs="Times New Roman"/>
          <w:color w:val="auto"/>
          <w:sz w:val="24"/>
          <w:szCs w:val="24"/>
          <w:lang w:val="en-AU"/>
        </w:rPr>
        <w:t xml:space="preserve">throughout the manuscript </w:t>
      </w:r>
      <w:r w:rsidR="00096158" w:rsidRPr="003A1A2E">
        <w:rPr>
          <w:rFonts w:ascii="Times New Roman" w:hAnsi="Times New Roman" w:cs="Times New Roman"/>
          <w:color w:val="auto"/>
          <w:sz w:val="24"/>
          <w:szCs w:val="24"/>
          <w:lang w:val="en-AU"/>
        </w:rPr>
        <w:t>as mean (</w:t>
      </w:r>
      <w:r w:rsidR="00095055" w:rsidRPr="003A1A2E">
        <w:rPr>
          <w:rFonts w:ascii="Times New Roman" w:hAnsi="Times New Roman" w:cs="Times New Roman"/>
          <w:color w:val="auto"/>
          <w:sz w:val="24"/>
          <w:szCs w:val="24"/>
          <w:lang w:val="en-AU"/>
        </w:rPr>
        <w:t>±</w:t>
      </w:r>
      <w:r w:rsidR="001E0BEA" w:rsidRPr="003A1A2E">
        <w:rPr>
          <w:rFonts w:ascii="Times New Roman" w:hAnsi="Times New Roman" w:cs="Times New Roman"/>
          <w:color w:val="auto"/>
          <w:sz w:val="24"/>
          <w:szCs w:val="24"/>
          <w:lang w:val="en-AU"/>
        </w:rPr>
        <w:t xml:space="preserve"> </w:t>
      </w:r>
      <w:r w:rsidR="00096158" w:rsidRPr="003A1A2E">
        <w:rPr>
          <w:rFonts w:ascii="Times New Roman" w:hAnsi="Times New Roman" w:cs="Times New Roman"/>
          <w:color w:val="auto"/>
          <w:sz w:val="24"/>
          <w:szCs w:val="24"/>
          <w:lang w:val="en-AU"/>
        </w:rPr>
        <w:t xml:space="preserve">95% </w:t>
      </w:r>
      <w:r w:rsidR="003029AC" w:rsidRPr="003A1A2E">
        <w:rPr>
          <w:rFonts w:ascii="Times New Roman" w:hAnsi="Times New Roman" w:cs="Times New Roman"/>
          <w:color w:val="auto"/>
          <w:sz w:val="24"/>
          <w:szCs w:val="24"/>
          <w:lang w:val="en-AU"/>
        </w:rPr>
        <w:t>CI</w:t>
      </w:r>
      <w:r w:rsidR="00096158" w:rsidRPr="003A1A2E">
        <w:rPr>
          <w:rFonts w:ascii="Times New Roman" w:hAnsi="Times New Roman" w:cs="Times New Roman"/>
          <w:color w:val="auto"/>
          <w:sz w:val="24"/>
          <w:szCs w:val="24"/>
          <w:lang w:val="en-AU"/>
        </w:rPr>
        <w:t>)</w:t>
      </w:r>
      <w:r w:rsidR="00F22FFC" w:rsidRPr="003A1A2E">
        <w:rPr>
          <w:rFonts w:ascii="Times New Roman" w:hAnsi="Times New Roman" w:cs="Times New Roman"/>
          <w:color w:val="auto"/>
          <w:sz w:val="24"/>
          <w:szCs w:val="24"/>
          <w:lang w:val="en-AU"/>
        </w:rPr>
        <w:t>.</w:t>
      </w:r>
    </w:p>
    <w:p w14:paraId="71FBD60C" w14:textId="77777777" w:rsidR="00E875F7" w:rsidRPr="003A1A2E" w:rsidRDefault="00E875F7" w:rsidP="00504A0D">
      <w:pPr>
        <w:pStyle w:val="BodyA"/>
        <w:spacing w:after="0"/>
        <w:ind w:firstLine="0"/>
        <w:rPr>
          <w:rFonts w:ascii="Times New Roman" w:hAnsi="Times New Roman" w:cs="Times New Roman"/>
          <w:color w:val="auto"/>
          <w:sz w:val="24"/>
          <w:szCs w:val="24"/>
          <w:lang w:val="en-AU"/>
        </w:rPr>
      </w:pPr>
    </w:p>
    <w:p w14:paraId="2D26C17B" w14:textId="45883D58" w:rsidR="00E875F7" w:rsidRPr="003A1A2E" w:rsidRDefault="00A93A35" w:rsidP="00504A0D">
      <w:pPr>
        <w:pStyle w:val="BodyA"/>
        <w:spacing w:after="0"/>
        <w:ind w:firstLine="0"/>
        <w:rPr>
          <w:rFonts w:ascii="Times New Roman" w:hAnsi="Times New Roman" w:cs="Times New Roman"/>
          <w:b/>
          <w:bCs/>
          <w:color w:val="auto"/>
          <w:sz w:val="24"/>
          <w:szCs w:val="24"/>
          <w:lang w:val="en-AU"/>
        </w:rPr>
      </w:pPr>
      <w:r w:rsidRPr="003A1A2E">
        <w:rPr>
          <w:rFonts w:ascii="Times New Roman" w:hAnsi="Times New Roman" w:cs="Times New Roman"/>
          <w:b/>
          <w:bCs/>
          <w:color w:val="auto"/>
          <w:sz w:val="24"/>
          <w:szCs w:val="24"/>
          <w:lang w:val="en-AU"/>
        </w:rPr>
        <w:t>3.</w:t>
      </w:r>
      <w:r w:rsidR="00E875F7" w:rsidRPr="003A1A2E">
        <w:rPr>
          <w:rFonts w:ascii="Times New Roman" w:hAnsi="Times New Roman" w:cs="Times New Roman"/>
          <w:b/>
          <w:bCs/>
          <w:color w:val="auto"/>
          <w:sz w:val="24"/>
          <w:szCs w:val="24"/>
          <w:lang w:val="en-AU"/>
        </w:rPr>
        <w:t xml:space="preserve"> Results</w:t>
      </w:r>
    </w:p>
    <w:p w14:paraId="069E2057" w14:textId="57A917BE" w:rsidR="00CF40B7" w:rsidRPr="003A1A2E" w:rsidRDefault="00CF40B7" w:rsidP="00CF40B7">
      <w:pPr>
        <w:pStyle w:val="BodyA"/>
        <w:spacing w:after="0"/>
        <w:rPr>
          <w:rFonts w:ascii="Times New Roman" w:hAnsi="Times New Roman" w:cs="Times New Roman"/>
          <w:color w:val="auto"/>
          <w:sz w:val="24"/>
          <w:szCs w:val="24"/>
          <w:lang w:val="en-AU"/>
        </w:rPr>
      </w:pPr>
      <w:bookmarkStart w:id="14" w:name="_Hlk69838237"/>
      <w:bookmarkEnd w:id="2"/>
      <w:r w:rsidRPr="003A1A2E">
        <w:rPr>
          <w:rFonts w:ascii="Times New Roman" w:hAnsi="Times New Roman" w:cs="Times New Roman"/>
          <w:color w:val="auto"/>
          <w:sz w:val="24"/>
          <w:szCs w:val="24"/>
          <w:lang w:val="en-AU"/>
        </w:rPr>
        <w:t xml:space="preserve">Ninety-eight motor units (8.9 </w:t>
      </w:r>
      <w:r w:rsidRPr="003A1A2E">
        <w:rPr>
          <w:rFonts w:ascii="Times New Roman" w:hAnsi="Times New Roman" w:cs="Times New Roman"/>
          <w:color w:val="0D0D0D" w:themeColor="text1" w:themeTint="F2"/>
        </w:rPr>
        <w:t xml:space="preserve">± 5.4 </w:t>
      </w:r>
      <w:r w:rsidRPr="003A1A2E">
        <w:rPr>
          <w:rFonts w:ascii="Times New Roman" w:hAnsi="Times New Roman" w:cs="Times New Roman"/>
          <w:color w:val="auto"/>
          <w:sz w:val="24"/>
          <w:szCs w:val="24"/>
          <w:lang w:val="en-AU"/>
        </w:rPr>
        <w:t>per participant) were identified for the AT group and from those, 45 yield</w:t>
      </w:r>
      <w:r w:rsidR="00A46ED6">
        <w:rPr>
          <w:rFonts w:ascii="Times New Roman" w:hAnsi="Times New Roman" w:cs="Times New Roman"/>
          <w:color w:val="auto"/>
          <w:sz w:val="24"/>
          <w:szCs w:val="24"/>
          <w:lang w:val="en-AU"/>
        </w:rPr>
        <w:t xml:space="preserve">ed </w:t>
      </w:r>
      <w:r w:rsidRPr="003A1A2E">
        <w:rPr>
          <w:rFonts w:ascii="Times New Roman" w:hAnsi="Times New Roman" w:cs="Times New Roman"/>
          <w:color w:val="auto"/>
          <w:sz w:val="24"/>
          <w:szCs w:val="24"/>
          <w:lang w:val="en-AU"/>
        </w:rPr>
        <w:t>paired analysis (ΔF)</w:t>
      </w:r>
      <w:r w:rsidR="00A46ED6">
        <w:rPr>
          <w:rFonts w:ascii="Times New Roman" w:hAnsi="Times New Roman" w:cs="Times New Roman"/>
          <w:color w:val="auto"/>
          <w:sz w:val="24"/>
          <w:szCs w:val="24"/>
          <w:lang w:val="en-AU"/>
        </w:rPr>
        <w:t>, while</w:t>
      </w:r>
      <w:r w:rsidRPr="003A1A2E">
        <w:rPr>
          <w:rFonts w:ascii="Times New Roman" w:hAnsi="Times New Roman" w:cs="Times New Roman"/>
          <w:color w:val="auto"/>
          <w:sz w:val="24"/>
          <w:szCs w:val="24"/>
          <w:lang w:val="en-AU"/>
        </w:rPr>
        <w:t xml:space="preserve"> 91 motor units (7.5 </w:t>
      </w:r>
      <w:r w:rsidRPr="003A1A2E">
        <w:rPr>
          <w:rFonts w:ascii="Times New Roman" w:hAnsi="Times New Roman" w:cs="Times New Roman"/>
          <w:color w:val="0D0D0D" w:themeColor="text1" w:themeTint="F2"/>
        </w:rPr>
        <w:t>± 7.0</w:t>
      </w:r>
      <w:r w:rsidRPr="003A1A2E">
        <w:rPr>
          <w:rFonts w:ascii="Times New Roman" w:hAnsi="Times New Roman" w:cs="Times New Roman"/>
          <w:color w:val="auto"/>
          <w:sz w:val="24"/>
          <w:szCs w:val="24"/>
          <w:lang w:val="en-AU"/>
        </w:rPr>
        <w:t xml:space="preserve"> per participant) were identified for the control group, where 60 were able to be used for ΔF analysis. </w:t>
      </w:r>
    </w:p>
    <w:p w14:paraId="7B4B66BE" w14:textId="68423FE7" w:rsidR="00CF40B7" w:rsidRPr="003A1A2E" w:rsidRDefault="00CF40B7" w:rsidP="00CF40B7">
      <w:pPr>
        <w:pStyle w:val="BodyA"/>
        <w:spacing w:after="0"/>
        <w:rPr>
          <w:rFonts w:ascii="Times New Roman" w:hAnsi="Times New Roman" w:cs="Times New Roman"/>
          <w:color w:val="auto"/>
          <w:sz w:val="24"/>
          <w:szCs w:val="24"/>
          <w:lang w:val="en-AU"/>
        </w:rPr>
      </w:pPr>
      <w:r w:rsidRPr="003A1A2E">
        <w:rPr>
          <w:rFonts w:ascii="Times New Roman" w:hAnsi="Times New Roman" w:cs="Times New Roman"/>
          <w:color w:val="auto"/>
          <w:sz w:val="24"/>
          <w:szCs w:val="24"/>
          <w:lang w:val="en-AU"/>
        </w:rPr>
        <w:t>There was no group effect on ΔF (p=0.933, η</w:t>
      </w:r>
      <w:r w:rsidRPr="003A1A2E">
        <w:rPr>
          <w:rFonts w:ascii="Times New Roman" w:hAnsi="Times New Roman" w:cs="Times New Roman"/>
          <w:color w:val="auto"/>
          <w:sz w:val="24"/>
          <w:szCs w:val="24"/>
          <w:vertAlign w:val="superscript"/>
          <w:lang w:val="en-AU"/>
        </w:rPr>
        <w:t>2</w:t>
      </w:r>
      <w:r w:rsidRPr="003A1A2E">
        <w:rPr>
          <w:rFonts w:ascii="Times New Roman" w:hAnsi="Times New Roman" w:cs="Times New Roman"/>
          <w:color w:val="auto"/>
          <w:sz w:val="24"/>
          <w:szCs w:val="24"/>
          <w:vertAlign w:val="subscript"/>
          <w:lang w:val="en-AU"/>
        </w:rPr>
        <w:t>p</w:t>
      </w:r>
      <w:r w:rsidRPr="003A1A2E">
        <w:rPr>
          <w:rFonts w:ascii="Times New Roman" w:hAnsi="Times New Roman" w:cs="Times New Roman"/>
          <w:color w:val="auto"/>
          <w:sz w:val="24"/>
          <w:szCs w:val="24"/>
          <w:lang w:val="en-AU"/>
        </w:rPr>
        <w:t xml:space="preserve">&lt;0.001, Fig 2A) and there was no influence of age </w:t>
      </w:r>
      <w:r w:rsidR="001C5330">
        <w:rPr>
          <w:rFonts w:ascii="Times New Roman" w:hAnsi="Times New Roman" w:cs="Times New Roman"/>
          <w:color w:val="auto"/>
          <w:sz w:val="24"/>
          <w:szCs w:val="24"/>
          <w:lang w:val="en-AU"/>
        </w:rPr>
        <w:t>(</w:t>
      </w:r>
      <w:r w:rsidRPr="003A1A2E">
        <w:rPr>
          <w:rFonts w:ascii="Times New Roman" w:hAnsi="Times New Roman" w:cs="Times New Roman"/>
          <w:color w:val="auto"/>
          <w:sz w:val="24"/>
          <w:szCs w:val="24"/>
          <w:lang w:val="en-AU"/>
        </w:rPr>
        <w:t>p=0.320, η</w:t>
      </w:r>
      <w:r w:rsidRPr="003A1A2E">
        <w:rPr>
          <w:rFonts w:ascii="Times New Roman" w:hAnsi="Times New Roman" w:cs="Times New Roman"/>
          <w:color w:val="auto"/>
          <w:sz w:val="24"/>
          <w:szCs w:val="24"/>
          <w:vertAlign w:val="superscript"/>
          <w:lang w:val="en-AU"/>
        </w:rPr>
        <w:t>2</w:t>
      </w:r>
      <w:r w:rsidRPr="003A1A2E">
        <w:rPr>
          <w:rFonts w:ascii="Times New Roman" w:hAnsi="Times New Roman" w:cs="Times New Roman"/>
          <w:color w:val="auto"/>
          <w:sz w:val="24"/>
          <w:szCs w:val="24"/>
          <w:vertAlign w:val="subscript"/>
          <w:lang w:val="en-AU"/>
        </w:rPr>
        <w:t>p</w:t>
      </w:r>
      <w:r w:rsidRPr="003A1A2E">
        <w:rPr>
          <w:rFonts w:ascii="Times New Roman" w:hAnsi="Times New Roman" w:cs="Times New Roman"/>
          <w:color w:val="auto"/>
          <w:sz w:val="24"/>
          <w:szCs w:val="24"/>
          <w:lang w:val="en-AU"/>
        </w:rPr>
        <w:t xml:space="preserve">=0.07) in the model. We investigated the influence of outliers in the </w:t>
      </w:r>
      <w:r w:rsidRPr="003A1A2E">
        <w:rPr>
          <w:rFonts w:ascii="Times New Roman" w:hAnsi="Times New Roman" w:cs="Times New Roman"/>
          <w:color w:val="auto"/>
          <w:sz w:val="24"/>
          <w:szCs w:val="24"/>
          <w:lang w:val="en-AU"/>
        </w:rPr>
        <w:lastRenderedPageBreak/>
        <w:t>results of ΔF, but our main results (ΔF analysis) remained unchanged (p=0.743, η</w:t>
      </w:r>
      <w:r w:rsidRPr="003A1A2E">
        <w:rPr>
          <w:rFonts w:ascii="Times New Roman" w:hAnsi="Times New Roman" w:cs="Times New Roman"/>
          <w:color w:val="auto"/>
          <w:sz w:val="24"/>
          <w:szCs w:val="24"/>
          <w:vertAlign w:val="superscript"/>
          <w:lang w:val="en-AU"/>
        </w:rPr>
        <w:t>2</w:t>
      </w:r>
      <w:r w:rsidRPr="003A1A2E">
        <w:rPr>
          <w:rFonts w:ascii="Times New Roman" w:hAnsi="Times New Roman" w:cs="Times New Roman"/>
          <w:color w:val="auto"/>
          <w:sz w:val="24"/>
          <w:szCs w:val="24"/>
          <w:vertAlign w:val="subscript"/>
          <w:lang w:val="en-AU"/>
        </w:rPr>
        <w:t>p</w:t>
      </w:r>
      <w:r w:rsidRPr="003A1A2E">
        <w:rPr>
          <w:rFonts w:ascii="Times New Roman" w:hAnsi="Times New Roman" w:cs="Times New Roman"/>
          <w:color w:val="auto"/>
          <w:sz w:val="24"/>
          <w:szCs w:val="24"/>
          <w:lang w:val="en-AU"/>
        </w:rPr>
        <w:t>=0.01). Also, there were no differences between groups in peak discharge rate (p=0.826, η</w:t>
      </w:r>
      <w:r w:rsidRPr="003A1A2E">
        <w:rPr>
          <w:rFonts w:ascii="Times New Roman" w:hAnsi="Times New Roman" w:cs="Times New Roman"/>
          <w:color w:val="auto"/>
          <w:sz w:val="24"/>
          <w:szCs w:val="24"/>
          <w:vertAlign w:val="superscript"/>
          <w:lang w:val="en-AU"/>
        </w:rPr>
        <w:t>2</w:t>
      </w:r>
      <w:r w:rsidRPr="003A1A2E">
        <w:rPr>
          <w:rFonts w:ascii="Times New Roman" w:hAnsi="Times New Roman" w:cs="Times New Roman"/>
          <w:color w:val="auto"/>
          <w:sz w:val="24"/>
          <w:szCs w:val="24"/>
          <w:vertAlign w:val="subscript"/>
          <w:lang w:val="en-AU"/>
        </w:rPr>
        <w:t>p</w:t>
      </w:r>
      <w:r w:rsidRPr="003A1A2E">
        <w:rPr>
          <w:rFonts w:ascii="Times New Roman" w:hAnsi="Times New Roman" w:cs="Times New Roman"/>
          <w:color w:val="auto"/>
          <w:sz w:val="24"/>
          <w:szCs w:val="24"/>
          <w:lang w:val="en-AU"/>
        </w:rPr>
        <w:t>=0.003) and on motor unit recruitment threshold between groups (p=0.111, η</w:t>
      </w:r>
      <w:r w:rsidRPr="003A1A2E">
        <w:rPr>
          <w:rFonts w:ascii="Times New Roman" w:hAnsi="Times New Roman" w:cs="Times New Roman"/>
          <w:color w:val="auto"/>
          <w:sz w:val="24"/>
          <w:szCs w:val="24"/>
          <w:vertAlign w:val="superscript"/>
          <w:lang w:val="en-AU"/>
        </w:rPr>
        <w:t>2</w:t>
      </w:r>
      <w:r w:rsidRPr="003A1A2E">
        <w:rPr>
          <w:rFonts w:ascii="Times New Roman" w:hAnsi="Times New Roman" w:cs="Times New Roman"/>
          <w:color w:val="auto"/>
          <w:sz w:val="24"/>
          <w:szCs w:val="24"/>
          <w:vertAlign w:val="subscript"/>
          <w:lang w:val="en-AU"/>
        </w:rPr>
        <w:t>p</w:t>
      </w:r>
      <w:r w:rsidRPr="003A1A2E">
        <w:rPr>
          <w:rFonts w:ascii="Times New Roman" w:hAnsi="Times New Roman" w:cs="Times New Roman"/>
          <w:color w:val="auto"/>
          <w:sz w:val="24"/>
          <w:szCs w:val="24"/>
          <w:lang w:val="en-AU"/>
        </w:rPr>
        <w:t xml:space="preserve">=0.16). Estimated marginal means and mean differences are presented in </w:t>
      </w:r>
      <w:r w:rsidRPr="003A1A2E">
        <w:rPr>
          <w:rFonts w:ascii="Times New Roman" w:hAnsi="Times New Roman" w:cs="Times New Roman"/>
          <w:b/>
          <w:bCs/>
          <w:color w:val="auto"/>
          <w:sz w:val="24"/>
          <w:szCs w:val="24"/>
          <w:lang w:val="en-AU"/>
        </w:rPr>
        <w:t>Table 1.</w:t>
      </w:r>
    </w:p>
    <w:p w14:paraId="322F877E" w14:textId="3B34CE0E" w:rsidR="00D14D6D" w:rsidRPr="003A1A2E" w:rsidRDefault="00713537" w:rsidP="00295012">
      <w:pPr>
        <w:pStyle w:val="BodyA"/>
        <w:spacing w:after="0"/>
        <w:ind w:firstLine="0"/>
        <w:rPr>
          <w:rFonts w:ascii="Times New Roman" w:hAnsi="Times New Roman" w:cs="Times New Roman"/>
          <w:color w:val="auto"/>
          <w:sz w:val="24"/>
          <w:szCs w:val="24"/>
          <w:lang w:val="en-AU"/>
        </w:rPr>
      </w:pPr>
      <w:r w:rsidRPr="003A1A2E">
        <w:rPr>
          <w:rFonts w:ascii="Times New Roman" w:hAnsi="Times New Roman" w:cs="Times New Roman"/>
          <w:noProof/>
          <w:color w:val="auto"/>
          <w:sz w:val="24"/>
          <w:szCs w:val="24"/>
          <w:lang w:val="en-AU"/>
        </w:rPr>
        <w:lastRenderedPageBreak/>
        <w:drawing>
          <wp:inline distT="0" distB="0" distL="0" distR="0" wp14:anchorId="7466452E" wp14:editId="35167FE2">
            <wp:extent cx="5638800" cy="8862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8862060"/>
                    </a:xfrm>
                    <a:prstGeom prst="rect">
                      <a:avLst/>
                    </a:prstGeom>
                    <a:noFill/>
                    <a:ln>
                      <a:noFill/>
                    </a:ln>
                  </pic:spPr>
                </pic:pic>
              </a:graphicData>
            </a:graphic>
          </wp:inline>
        </w:drawing>
      </w:r>
    </w:p>
    <w:p w14:paraId="390E5F3D" w14:textId="3DBB37A0" w:rsidR="00713537" w:rsidRPr="003A1A2E" w:rsidRDefault="00713537" w:rsidP="00713537">
      <w:pPr>
        <w:spacing w:line="480" w:lineRule="auto"/>
        <w:rPr>
          <w:sz w:val="22"/>
          <w:szCs w:val="22"/>
        </w:rPr>
      </w:pPr>
      <w:r w:rsidRPr="003A1A2E">
        <w:rPr>
          <w:b/>
          <w:bCs/>
          <w:sz w:val="22"/>
          <w:szCs w:val="22"/>
        </w:rPr>
        <w:lastRenderedPageBreak/>
        <w:t>Fig 2</w:t>
      </w:r>
      <w:r w:rsidRPr="003A1A2E">
        <w:rPr>
          <w:sz w:val="22"/>
          <w:szCs w:val="22"/>
        </w:rPr>
        <w:t xml:space="preserve"> ΔF (A), peak discharge rates (B), and recruitment thresholds (C) for each group. Each colour represents data points</w:t>
      </w:r>
      <w:r w:rsidR="00A46ED6">
        <w:rPr>
          <w:sz w:val="22"/>
          <w:szCs w:val="22"/>
        </w:rPr>
        <w:t xml:space="preserve"> for one participant</w:t>
      </w:r>
      <w:r w:rsidRPr="003A1A2E">
        <w:rPr>
          <w:sz w:val="22"/>
          <w:szCs w:val="22"/>
        </w:rPr>
        <w:t xml:space="preserve">. Mean and 95% confidence intervals are offset to the left. pps = pulse per second.  </w:t>
      </w:r>
    </w:p>
    <w:p w14:paraId="274ADA2F" w14:textId="77777777" w:rsidR="008A00AE" w:rsidRPr="003A1A2E" w:rsidRDefault="008A00AE" w:rsidP="00EB18F8">
      <w:pPr>
        <w:spacing w:line="480" w:lineRule="auto"/>
      </w:pPr>
    </w:p>
    <w:tbl>
      <w:tblPr>
        <w:tblW w:w="8789" w:type="dxa"/>
        <w:tblLook w:val="04A0" w:firstRow="1" w:lastRow="0" w:firstColumn="1" w:lastColumn="0" w:noHBand="0" w:noVBand="1"/>
      </w:tblPr>
      <w:tblGrid>
        <w:gridCol w:w="2447"/>
        <w:gridCol w:w="2015"/>
        <w:gridCol w:w="1917"/>
        <w:gridCol w:w="1767"/>
        <w:gridCol w:w="643"/>
      </w:tblGrid>
      <w:tr w:rsidR="006366F2" w:rsidRPr="003A1A2E" w14:paraId="60FDC2FF" w14:textId="77777777" w:rsidTr="00713537">
        <w:trPr>
          <w:trHeight w:val="653"/>
        </w:trPr>
        <w:tc>
          <w:tcPr>
            <w:tcW w:w="2447" w:type="dxa"/>
            <w:tcBorders>
              <w:top w:val="nil"/>
              <w:left w:val="nil"/>
              <w:bottom w:val="nil"/>
              <w:right w:val="nil"/>
            </w:tcBorders>
            <w:shd w:val="clear" w:color="auto" w:fill="auto"/>
            <w:noWrap/>
            <w:vAlign w:val="center"/>
            <w:hideMark/>
          </w:tcPr>
          <w:p w14:paraId="7E14404C" w14:textId="26EA093A" w:rsidR="005C01F6" w:rsidRPr="003A1A2E" w:rsidRDefault="005C01F6">
            <w:pPr>
              <w:rPr>
                <w:b/>
                <w:bCs/>
              </w:rPr>
            </w:pPr>
            <w:r w:rsidRPr="003A1A2E">
              <w:rPr>
                <w:b/>
                <w:bCs/>
              </w:rPr>
              <w:t>Table 1</w:t>
            </w:r>
            <w:r w:rsidR="00E3119E" w:rsidRPr="003A1A2E">
              <w:rPr>
                <w:b/>
                <w:bCs/>
              </w:rPr>
              <w:t xml:space="preserve"> </w:t>
            </w:r>
          </w:p>
        </w:tc>
        <w:tc>
          <w:tcPr>
            <w:tcW w:w="2015" w:type="dxa"/>
            <w:tcBorders>
              <w:top w:val="nil"/>
              <w:left w:val="nil"/>
              <w:bottom w:val="nil"/>
              <w:right w:val="nil"/>
            </w:tcBorders>
            <w:shd w:val="clear" w:color="auto" w:fill="auto"/>
            <w:noWrap/>
            <w:vAlign w:val="center"/>
            <w:hideMark/>
          </w:tcPr>
          <w:p w14:paraId="69F3AA8E" w14:textId="77777777" w:rsidR="005C01F6" w:rsidRPr="003A1A2E" w:rsidRDefault="005C01F6">
            <w:pPr>
              <w:rPr>
                <w:b/>
                <w:bCs/>
                <w:sz w:val="22"/>
                <w:szCs w:val="22"/>
              </w:rPr>
            </w:pPr>
          </w:p>
        </w:tc>
        <w:tc>
          <w:tcPr>
            <w:tcW w:w="1917" w:type="dxa"/>
            <w:tcBorders>
              <w:top w:val="nil"/>
              <w:left w:val="nil"/>
              <w:bottom w:val="nil"/>
              <w:right w:val="nil"/>
            </w:tcBorders>
            <w:shd w:val="clear" w:color="auto" w:fill="auto"/>
            <w:noWrap/>
            <w:vAlign w:val="center"/>
            <w:hideMark/>
          </w:tcPr>
          <w:p w14:paraId="43E2E8AC" w14:textId="77777777" w:rsidR="005C01F6" w:rsidRPr="003A1A2E" w:rsidRDefault="005C01F6">
            <w:pPr>
              <w:rPr>
                <w:sz w:val="20"/>
                <w:szCs w:val="20"/>
              </w:rPr>
            </w:pPr>
          </w:p>
        </w:tc>
        <w:tc>
          <w:tcPr>
            <w:tcW w:w="1767" w:type="dxa"/>
            <w:tcBorders>
              <w:top w:val="nil"/>
              <w:left w:val="nil"/>
              <w:bottom w:val="nil"/>
              <w:right w:val="nil"/>
            </w:tcBorders>
            <w:shd w:val="clear" w:color="auto" w:fill="auto"/>
            <w:noWrap/>
            <w:vAlign w:val="bottom"/>
            <w:hideMark/>
          </w:tcPr>
          <w:p w14:paraId="7304D537" w14:textId="77777777" w:rsidR="005C01F6" w:rsidRPr="003A1A2E" w:rsidRDefault="005C01F6">
            <w:pPr>
              <w:rPr>
                <w:sz w:val="20"/>
                <w:szCs w:val="20"/>
              </w:rPr>
            </w:pPr>
          </w:p>
        </w:tc>
        <w:tc>
          <w:tcPr>
            <w:tcW w:w="643" w:type="dxa"/>
            <w:tcBorders>
              <w:top w:val="nil"/>
              <w:left w:val="nil"/>
              <w:bottom w:val="nil"/>
              <w:right w:val="nil"/>
            </w:tcBorders>
            <w:shd w:val="clear" w:color="auto" w:fill="auto"/>
            <w:noWrap/>
            <w:vAlign w:val="bottom"/>
            <w:hideMark/>
          </w:tcPr>
          <w:p w14:paraId="1B748ACE" w14:textId="77777777" w:rsidR="005C01F6" w:rsidRPr="003A1A2E" w:rsidRDefault="005C01F6">
            <w:pPr>
              <w:rPr>
                <w:sz w:val="20"/>
                <w:szCs w:val="20"/>
              </w:rPr>
            </w:pPr>
          </w:p>
        </w:tc>
      </w:tr>
      <w:tr w:rsidR="006366F2" w:rsidRPr="003A1A2E" w14:paraId="50BF4241" w14:textId="77777777" w:rsidTr="00713537">
        <w:trPr>
          <w:trHeight w:val="653"/>
        </w:trPr>
        <w:tc>
          <w:tcPr>
            <w:tcW w:w="8789" w:type="dxa"/>
            <w:gridSpan w:val="5"/>
            <w:tcBorders>
              <w:top w:val="nil"/>
              <w:left w:val="nil"/>
              <w:bottom w:val="nil"/>
              <w:right w:val="nil"/>
            </w:tcBorders>
            <w:shd w:val="clear" w:color="auto" w:fill="auto"/>
            <w:noWrap/>
            <w:vAlign w:val="center"/>
            <w:hideMark/>
          </w:tcPr>
          <w:p w14:paraId="022E9964" w14:textId="71864A24" w:rsidR="005C01F6" w:rsidRPr="003A1A2E" w:rsidRDefault="00713537" w:rsidP="00E3119E">
            <w:r w:rsidRPr="003A1A2E">
              <w:rPr>
                <w:color w:val="000000"/>
                <w:sz w:val="22"/>
                <w:szCs w:val="22"/>
              </w:rPr>
              <w:t>ΔF, peak discharge rates</w:t>
            </w:r>
            <w:r w:rsidR="00015641" w:rsidRPr="003A1A2E">
              <w:rPr>
                <w:color w:val="000000"/>
                <w:sz w:val="22"/>
                <w:szCs w:val="22"/>
              </w:rPr>
              <w:t xml:space="preserve"> and </w:t>
            </w:r>
            <w:r w:rsidRPr="003A1A2E">
              <w:rPr>
                <w:color w:val="000000"/>
                <w:sz w:val="22"/>
                <w:szCs w:val="22"/>
              </w:rPr>
              <w:t>recruitment threshold estimated marginal means per group.</w:t>
            </w:r>
          </w:p>
        </w:tc>
      </w:tr>
      <w:tr w:rsidR="006366F2" w:rsidRPr="003A1A2E" w14:paraId="7DE93B24" w14:textId="77777777" w:rsidTr="00713537">
        <w:trPr>
          <w:trHeight w:val="628"/>
        </w:trPr>
        <w:tc>
          <w:tcPr>
            <w:tcW w:w="2447" w:type="dxa"/>
            <w:tcBorders>
              <w:top w:val="nil"/>
              <w:left w:val="nil"/>
              <w:bottom w:val="nil"/>
              <w:right w:val="nil"/>
            </w:tcBorders>
            <w:shd w:val="clear" w:color="000000" w:fill="F2F2F2"/>
            <w:vAlign w:val="center"/>
            <w:hideMark/>
          </w:tcPr>
          <w:p w14:paraId="545DA8E8" w14:textId="77777777" w:rsidR="005C01F6" w:rsidRPr="003A1A2E" w:rsidRDefault="005C01F6">
            <w:pPr>
              <w:rPr>
                <w:sz w:val="22"/>
                <w:szCs w:val="22"/>
              </w:rPr>
            </w:pPr>
            <w:r w:rsidRPr="003A1A2E">
              <w:rPr>
                <w:sz w:val="22"/>
                <w:szCs w:val="22"/>
              </w:rPr>
              <w:t>Variable</w:t>
            </w:r>
          </w:p>
        </w:tc>
        <w:tc>
          <w:tcPr>
            <w:tcW w:w="2015" w:type="dxa"/>
            <w:tcBorders>
              <w:top w:val="nil"/>
              <w:left w:val="nil"/>
              <w:bottom w:val="nil"/>
              <w:right w:val="nil"/>
            </w:tcBorders>
            <w:shd w:val="clear" w:color="000000" w:fill="F2F2F2"/>
            <w:noWrap/>
            <w:vAlign w:val="center"/>
            <w:hideMark/>
          </w:tcPr>
          <w:p w14:paraId="2825AF57" w14:textId="77777777" w:rsidR="005C01F6" w:rsidRPr="003A1A2E" w:rsidRDefault="005C01F6" w:rsidP="008A00AE">
            <w:pPr>
              <w:rPr>
                <w:sz w:val="22"/>
                <w:szCs w:val="22"/>
              </w:rPr>
            </w:pPr>
            <w:r w:rsidRPr="003A1A2E">
              <w:rPr>
                <w:sz w:val="22"/>
                <w:szCs w:val="22"/>
              </w:rPr>
              <w:t>AT</w:t>
            </w:r>
          </w:p>
        </w:tc>
        <w:tc>
          <w:tcPr>
            <w:tcW w:w="1917" w:type="dxa"/>
            <w:tcBorders>
              <w:top w:val="nil"/>
              <w:left w:val="nil"/>
              <w:bottom w:val="nil"/>
              <w:right w:val="nil"/>
            </w:tcBorders>
            <w:shd w:val="clear" w:color="000000" w:fill="F2F2F2"/>
            <w:noWrap/>
            <w:vAlign w:val="center"/>
            <w:hideMark/>
          </w:tcPr>
          <w:p w14:paraId="48C45507" w14:textId="77777777" w:rsidR="005C01F6" w:rsidRPr="003A1A2E" w:rsidRDefault="005C01F6">
            <w:pPr>
              <w:rPr>
                <w:sz w:val="22"/>
                <w:szCs w:val="22"/>
              </w:rPr>
            </w:pPr>
            <w:r w:rsidRPr="003A1A2E">
              <w:rPr>
                <w:sz w:val="22"/>
                <w:szCs w:val="22"/>
              </w:rPr>
              <w:t>Control</w:t>
            </w:r>
          </w:p>
        </w:tc>
        <w:tc>
          <w:tcPr>
            <w:tcW w:w="2410" w:type="dxa"/>
            <w:gridSpan w:val="2"/>
            <w:tcBorders>
              <w:top w:val="nil"/>
              <w:left w:val="nil"/>
              <w:bottom w:val="nil"/>
              <w:right w:val="nil"/>
            </w:tcBorders>
            <w:shd w:val="clear" w:color="000000" w:fill="F2F2F2"/>
            <w:noWrap/>
            <w:vAlign w:val="center"/>
            <w:hideMark/>
          </w:tcPr>
          <w:p w14:paraId="2EFEBEC4" w14:textId="0F2DFCE4" w:rsidR="005C01F6" w:rsidRPr="003A1A2E" w:rsidRDefault="00E3119E" w:rsidP="00E3119E">
            <w:pPr>
              <w:rPr>
                <w:sz w:val="22"/>
                <w:szCs w:val="22"/>
              </w:rPr>
            </w:pPr>
            <w:r w:rsidRPr="003A1A2E">
              <w:rPr>
                <w:sz w:val="22"/>
                <w:szCs w:val="22"/>
              </w:rPr>
              <w:t>AT – Control difference</w:t>
            </w:r>
          </w:p>
        </w:tc>
      </w:tr>
      <w:tr w:rsidR="006366F2" w:rsidRPr="003A1A2E" w14:paraId="1D2AD95A" w14:textId="77777777" w:rsidTr="00713537">
        <w:trPr>
          <w:trHeight w:val="653"/>
        </w:trPr>
        <w:tc>
          <w:tcPr>
            <w:tcW w:w="2447" w:type="dxa"/>
            <w:tcBorders>
              <w:top w:val="nil"/>
              <w:left w:val="nil"/>
              <w:bottom w:val="nil"/>
              <w:right w:val="nil"/>
            </w:tcBorders>
            <w:shd w:val="clear" w:color="auto" w:fill="auto"/>
            <w:noWrap/>
            <w:vAlign w:val="center"/>
            <w:hideMark/>
          </w:tcPr>
          <w:p w14:paraId="778EE164" w14:textId="08F39037" w:rsidR="005C01F6" w:rsidRPr="003A1A2E" w:rsidRDefault="005C01F6">
            <w:bookmarkStart w:id="15" w:name="OLE_LINK1"/>
            <w:r w:rsidRPr="003A1A2E">
              <w:t>ΔF</w:t>
            </w:r>
            <w:bookmarkEnd w:id="15"/>
            <w:r w:rsidR="00E3119E" w:rsidRPr="003A1A2E">
              <w:t xml:space="preserve"> (pps)</w:t>
            </w:r>
          </w:p>
        </w:tc>
        <w:tc>
          <w:tcPr>
            <w:tcW w:w="2015" w:type="dxa"/>
            <w:tcBorders>
              <w:top w:val="nil"/>
              <w:left w:val="nil"/>
              <w:bottom w:val="nil"/>
              <w:right w:val="nil"/>
            </w:tcBorders>
            <w:shd w:val="clear" w:color="auto" w:fill="auto"/>
            <w:noWrap/>
            <w:vAlign w:val="center"/>
            <w:hideMark/>
          </w:tcPr>
          <w:p w14:paraId="3F69A959" w14:textId="448DA689" w:rsidR="005C01F6" w:rsidRPr="003A1A2E" w:rsidRDefault="005C01F6">
            <w:pPr>
              <w:rPr>
                <w:sz w:val="22"/>
                <w:szCs w:val="22"/>
              </w:rPr>
            </w:pPr>
            <w:r w:rsidRPr="003A1A2E">
              <w:rPr>
                <w:sz w:val="22"/>
                <w:szCs w:val="22"/>
              </w:rPr>
              <w:t>2.</w:t>
            </w:r>
            <w:r w:rsidR="00223DE0" w:rsidRPr="003A1A2E">
              <w:rPr>
                <w:sz w:val="22"/>
                <w:szCs w:val="22"/>
              </w:rPr>
              <w:t>2</w:t>
            </w:r>
            <w:r w:rsidRPr="003A1A2E">
              <w:rPr>
                <w:sz w:val="22"/>
                <w:szCs w:val="22"/>
              </w:rPr>
              <w:t xml:space="preserve"> (1.</w:t>
            </w:r>
            <w:r w:rsidR="00580709" w:rsidRPr="003A1A2E">
              <w:rPr>
                <w:sz w:val="22"/>
                <w:szCs w:val="22"/>
              </w:rPr>
              <w:t>2</w:t>
            </w:r>
            <w:r w:rsidRPr="003A1A2E">
              <w:rPr>
                <w:sz w:val="22"/>
                <w:szCs w:val="22"/>
              </w:rPr>
              <w:t xml:space="preserve"> to </w:t>
            </w:r>
            <w:r w:rsidR="00580709" w:rsidRPr="003A1A2E">
              <w:rPr>
                <w:sz w:val="22"/>
                <w:szCs w:val="22"/>
              </w:rPr>
              <w:t>3</w:t>
            </w:r>
            <w:r w:rsidR="00095334" w:rsidRPr="003A1A2E">
              <w:rPr>
                <w:sz w:val="22"/>
                <w:szCs w:val="22"/>
              </w:rPr>
              <w:t>.</w:t>
            </w:r>
            <w:r w:rsidR="00580709" w:rsidRPr="003A1A2E">
              <w:rPr>
                <w:sz w:val="22"/>
                <w:szCs w:val="22"/>
              </w:rPr>
              <w:t>3</w:t>
            </w:r>
            <w:r w:rsidRPr="003A1A2E">
              <w:rPr>
                <w:sz w:val="22"/>
                <w:szCs w:val="22"/>
              </w:rPr>
              <w:t>)</w:t>
            </w:r>
          </w:p>
        </w:tc>
        <w:tc>
          <w:tcPr>
            <w:tcW w:w="1917" w:type="dxa"/>
            <w:tcBorders>
              <w:top w:val="nil"/>
              <w:left w:val="nil"/>
              <w:bottom w:val="nil"/>
              <w:right w:val="nil"/>
            </w:tcBorders>
            <w:shd w:val="clear" w:color="auto" w:fill="auto"/>
            <w:noWrap/>
            <w:vAlign w:val="center"/>
            <w:hideMark/>
          </w:tcPr>
          <w:p w14:paraId="53928416" w14:textId="3E245F59" w:rsidR="005C01F6" w:rsidRPr="003A1A2E" w:rsidRDefault="005C01F6">
            <w:pPr>
              <w:rPr>
                <w:sz w:val="22"/>
                <w:szCs w:val="22"/>
              </w:rPr>
            </w:pPr>
            <w:r w:rsidRPr="003A1A2E">
              <w:rPr>
                <w:sz w:val="22"/>
                <w:szCs w:val="22"/>
              </w:rPr>
              <w:t>2.</w:t>
            </w:r>
            <w:r w:rsidR="00580709" w:rsidRPr="003A1A2E">
              <w:rPr>
                <w:sz w:val="22"/>
                <w:szCs w:val="22"/>
              </w:rPr>
              <w:t>3</w:t>
            </w:r>
            <w:r w:rsidRPr="003A1A2E">
              <w:rPr>
                <w:sz w:val="22"/>
                <w:szCs w:val="22"/>
              </w:rPr>
              <w:t xml:space="preserve"> (1.</w:t>
            </w:r>
            <w:r w:rsidR="00580709" w:rsidRPr="003A1A2E">
              <w:rPr>
                <w:sz w:val="22"/>
                <w:szCs w:val="22"/>
              </w:rPr>
              <w:t>4</w:t>
            </w:r>
            <w:r w:rsidRPr="003A1A2E">
              <w:rPr>
                <w:sz w:val="22"/>
                <w:szCs w:val="22"/>
              </w:rPr>
              <w:t xml:space="preserve"> to 3.</w:t>
            </w:r>
            <w:r w:rsidR="00580709" w:rsidRPr="003A1A2E">
              <w:rPr>
                <w:sz w:val="22"/>
                <w:szCs w:val="22"/>
              </w:rPr>
              <w:t>2</w:t>
            </w:r>
            <w:r w:rsidRPr="003A1A2E">
              <w:rPr>
                <w:sz w:val="22"/>
                <w:szCs w:val="22"/>
              </w:rPr>
              <w:t>)</w:t>
            </w:r>
          </w:p>
        </w:tc>
        <w:tc>
          <w:tcPr>
            <w:tcW w:w="2410" w:type="dxa"/>
            <w:gridSpan w:val="2"/>
            <w:tcBorders>
              <w:top w:val="nil"/>
              <w:left w:val="nil"/>
              <w:bottom w:val="nil"/>
              <w:right w:val="nil"/>
            </w:tcBorders>
            <w:shd w:val="clear" w:color="auto" w:fill="auto"/>
            <w:noWrap/>
            <w:vAlign w:val="center"/>
            <w:hideMark/>
          </w:tcPr>
          <w:p w14:paraId="36E22825" w14:textId="71456440" w:rsidR="005C01F6" w:rsidRPr="003A1A2E" w:rsidRDefault="005C01F6">
            <w:pPr>
              <w:rPr>
                <w:sz w:val="22"/>
                <w:szCs w:val="22"/>
              </w:rPr>
            </w:pPr>
            <w:r w:rsidRPr="003A1A2E">
              <w:rPr>
                <w:sz w:val="22"/>
                <w:szCs w:val="22"/>
              </w:rPr>
              <w:t>-0.</w:t>
            </w:r>
            <w:r w:rsidR="00580709" w:rsidRPr="003A1A2E">
              <w:rPr>
                <w:sz w:val="22"/>
                <w:szCs w:val="22"/>
              </w:rPr>
              <w:t>05</w:t>
            </w:r>
            <w:r w:rsidRPr="003A1A2E">
              <w:rPr>
                <w:sz w:val="22"/>
                <w:szCs w:val="22"/>
              </w:rPr>
              <w:t xml:space="preserve"> (-1.</w:t>
            </w:r>
            <w:r w:rsidR="004D0394" w:rsidRPr="003A1A2E">
              <w:rPr>
                <w:sz w:val="22"/>
                <w:szCs w:val="22"/>
              </w:rPr>
              <w:t>6</w:t>
            </w:r>
            <w:r w:rsidR="00CC1B1C" w:rsidRPr="003A1A2E">
              <w:rPr>
                <w:sz w:val="22"/>
                <w:szCs w:val="22"/>
              </w:rPr>
              <w:t xml:space="preserve"> </w:t>
            </w:r>
            <w:r w:rsidRPr="003A1A2E">
              <w:rPr>
                <w:sz w:val="22"/>
                <w:szCs w:val="22"/>
              </w:rPr>
              <w:t xml:space="preserve">to </w:t>
            </w:r>
            <w:r w:rsidR="00580709" w:rsidRPr="003A1A2E">
              <w:rPr>
                <w:sz w:val="22"/>
                <w:szCs w:val="22"/>
              </w:rPr>
              <w:t>1.</w:t>
            </w:r>
            <w:r w:rsidR="004D0394" w:rsidRPr="003A1A2E">
              <w:rPr>
                <w:sz w:val="22"/>
                <w:szCs w:val="22"/>
              </w:rPr>
              <w:t>5</w:t>
            </w:r>
            <w:r w:rsidRPr="003A1A2E">
              <w:rPr>
                <w:sz w:val="22"/>
                <w:szCs w:val="22"/>
              </w:rPr>
              <w:t>)</w:t>
            </w:r>
          </w:p>
        </w:tc>
      </w:tr>
      <w:tr w:rsidR="006366F2" w:rsidRPr="003A1A2E" w14:paraId="3908FBA0" w14:textId="77777777" w:rsidTr="00713537">
        <w:trPr>
          <w:trHeight w:val="779"/>
        </w:trPr>
        <w:tc>
          <w:tcPr>
            <w:tcW w:w="2447" w:type="dxa"/>
            <w:tcBorders>
              <w:top w:val="nil"/>
              <w:left w:val="nil"/>
              <w:bottom w:val="nil"/>
              <w:right w:val="nil"/>
            </w:tcBorders>
            <w:shd w:val="clear" w:color="auto" w:fill="auto"/>
            <w:noWrap/>
            <w:vAlign w:val="center"/>
            <w:hideMark/>
          </w:tcPr>
          <w:p w14:paraId="0FE1173B" w14:textId="07F03D62" w:rsidR="005C01F6" w:rsidRPr="003A1A2E" w:rsidRDefault="005C01F6">
            <w:pPr>
              <w:rPr>
                <w:sz w:val="22"/>
                <w:szCs w:val="22"/>
              </w:rPr>
            </w:pPr>
            <w:r w:rsidRPr="003A1A2E">
              <w:rPr>
                <w:sz w:val="22"/>
                <w:szCs w:val="22"/>
              </w:rPr>
              <w:t>Peak discharge rate</w:t>
            </w:r>
            <w:r w:rsidR="00E3119E" w:rsidRPr="003A1A2E">
              <w:rPr>
                <w:sz w:val="22"/>
                <w:szCs w:val="22"/>
              </w:rPr>
              <w:t xml:space="preserve"> (pps)</w:t>
            </w:r>
          </w:p>
        </w:tc>
        <w:tc>
          <w:tcPr>
            <w:tcW w:w="2015" w:type="dxa"/>
            <w:tcBorders>
              <w:top w:val="nil"/>
              <w:left w:val="nil"/>
              <w:bottom w:val="nil"/>
              <w:right w:val="nil"/>
            </w:tcBorders>
            <w:shd w:val="clear" w:color="auto" w:fill="auto"/>
            <w:noWrap/>
            <w:vAlign w:val="center"/>
            <w:hideMark/>
          </w:tcPr>
          <w:p w14:paraId="4944FB7D" w14:textId="626BA613" w:rsidR="005C01F6" w:rsidRPr="003A1A2E" w:rsidRDefault="005C01F6">
            <w:pPr>
              <w:rPr>
                <w:sz w:val="22"/>
                <w:szCs w:val="22"/>
              </w:rPr>
            </w:pPr>
            <w:r w:rsidRPr="003A1A2E">
              <w:rPr>
                <w:sz w:val="22"/>
                <w:szCs w:val="22"/>
              </w:rPr>
              <w:t>8.3 (7.</w:t>
            </w:r>
            <w:r w:rsidR="008336EA" w:rsidRPr="003A1A2E">
              <w:rPr>
                <w:sz w:val="22"/>
                <w:szCs w:val="22"/>
              </w:rPr>
              <w:t>2</w:t>
            </w:r>
            <w:r w:rsidRPr="003A1A2E">
              <w:rPr>
                <w:sz w:val="22"/>
                <w:szCs w:val="22"/>
              </w:rPr>
              <w:t xml:space="preserve"> to 9.</w:t>
            </w:r>
            <w:r w:rsidR="008336EA" w:rsidRPr="003A1A2E">
              <w:rPr>
                <w:sz w:val="22"/>
                <w:szCs w:val="22"/>
              </w:rPr>
              <w:t>5</w:t>
            </w:r>
            <w:r w:rsidRPr="003A1A2E">
              <w:rPr>
                <w:sz w:val="22"/>
                <w:szCs w:val="22"/>
              </w:rPr>
              <w:t>)</w:t>
            </w:r>
          </w:p>
        </w:tc>
        <w:tc>
          <w:tcPr>
            <w:tcW w:w="1917" w:type="dxa"/>
            <w:tcBorders>
              <w:top w:val="nil"/>
              <w:left w:val="nil"/>
              <w:bottom w:val="nil"/>
              <w:right w:val="nil"/>
            </w:tcBorders>
            <w:shd w:val="clear" w:color="auto" w:fill="auto"/>
            <w:noWrap/>
            <w:vAlign w:val="center"/>
            <w:hideMark/>
          </w:tcPr>
          <w:p w14:paraId="7670C811" w14:textId="5BB9E5A0" w:rsidR="005C01F6" w:rsidRPr="003A1A2E" w:rsidRDefault="008336EA">
            <w:pPr>
              <w:rPr>
                <w:sz w:val="22"/>
                <w:szCs w:val="22"/>
              </w:rPr>
            </w:pPr>
            <w:r w:rsidRPr="003A1A2E">
              <w:rPr>
                <w:sz w:val="22"/>
                <w:szCs w:val="22"/>
              </w:rPr>
              <w:t>8.5</w:t>
            </w:r>
            <w:r w:rsidR="005C01F6" w:rsidRPr="003A1A2E">
              <w:rPr>
                <w:sz w:val="22"/>
                <w:szCs w:val="22"/>
              </w:rPr>
              <w:t xml:space="preserve"> (</w:t>
            </w:r>
            <w:r w:rsidRPr="003A1A2E">
              <w:rPr>
                <w:sz w:val="22"/>
                <w:szCs w:val="22"/>
              </w:rPr>
              <w:t>7.</w:t>
            </w:r>
            <w:r w:rsidR="00713537" w:rsidRPr="003A1A2E">
              <w:rPr>
                <w:sz w:val="22"/>
                <w:szCs w:val="22"/>
              </w:rPr>
              <w:t>5</w:t>
            </w:r>
            <w:r w:rsidR="005C01F6" w:rsidRPr="003A1A2E">
              <w:rPr>
                <w:sz w:val="22"/>
                <w:szCs w:val="22"/>
              </w:rPr>
              <w:t xml:space="preserve"> to </w:t>
            </w:r>
            <w:r w:rsidRPr="003A1A2E">
              <w:rPr>
                <w:sz w:val="22"/>
                <w:szCs w:val="22"/>
              </w:rPr>
              <w:t>9.6</w:t>
            </w:r>
            <w:r w:rsidR="005C01F6" w:rsidRPr="003A1A2E">
              <w:rPr>
                <w:sz w:val="22"/>
                <w:szCs w:val="22"/>
              </w:rPr>
              <w:t>)</w:t>
            </w:r>
          </w:p>
        </w:tc>
        <w:tc>
          <w:tcPr>
            <w:tcW w:w="2410" w:type="dxa"/>
            <w:gridSpan w:val="2"/>
            <w:tcBorders>
              <w:top w:val="nil"/>
              <w:left w:val="nil"/>
              <w:bottom w:val="nil"/>
              <w:right w:val="nil"/>
            </w:tcBorders>
            <w:shd w:val="clear" w:color="auto" w:fill="auto"/>
            <w:noWrap/>
            <w:vAlign w:val="center"/>
            <w:hideMark/>
          </w:tcPr>
          <w:p w14:paraId="5FB83653" w14:textId="0EAD951A" w:rsidR="005C01F6" w:rsidRPr="003A1A2E" w:rsidRDefault="005C01F6">
            <w:pPr>
              <w:rPr>
                <w:sz w:val="22"/>
                <w:szCs w:val="22"/>
              </w:rPr>
            </w:pPr>
            <w:r w:rsidRPr="003A1A2E">
              <w:rPr>
                <w:sz w:val="22"/>
                <w:szCs w:val="22"/>
              </w:rPr>
              <w:t>-0</w:t>
            </w:r>
            <w:r w:rsidR="008336EA" w:rsidRPr="003A1A2E">
              <w:rPr>
                <w:sz w:val="22"/>
                <w:szCs w:val="22"/>
              </w:rPr>
              <w:t>.</w:t>
            </w:r>
            <w:r w:rsidR="00A24706" w:rsidRPr="003A1A2E">
              <w:rPr>
                <w:sz w:val="22"/>
                <w:szCs w:val="22"/>
              </w:rPr>
              <w:t>16</w:t>
            </w:r>
            <w:r w:rsidRPr="003A1A2E">
              <w:rPr>
                <w:sz w:val="22"/>
                <w:szCs w:val="22"/>
              </w:rPr>
              <w:t xml:space="preserve"> (-</w:t>
            </w:r>
            <w:r w:rsidR="00CC1B1C" w:rsidRPr="003A1A2E">
              <w:rPr>
                <w:sz w:val="22"/>
                <w:szCs w:val="22"/>
              </w:rPr>
              <w:t>1.</w:t>
            </w:r>
            <w:r w:rsidR="004D0394" w:rsidRPr="003A1A2E">
              <w:rPr>
                <w:sz w:val="22"/>
                <w:szCs w:val="22"/>
              </w:rPr>
              <w:t>7</w:t>
            </w:r>
            <w:r w:rsidRPr="003A1A2E">
              <w:rPr>
                <w:sz w:val="22"/>
                <w:szCs w:val="22"/>
              </w:rPr>
              <w:t xml:space="preserve"> to </w:t>
            </w:r>
            <w:r w:rsidR="00CC1B1C" w:rsidRPr="003A1A2E">
              <w:rPr>
                <w:sz w:val="22"/>
                <w:szCs w:val="22"/>
              </w:rPr>
              <w:t>1.</w:t>
            </w:r>
            <w:r w:rsidR="00713537" w:rsidRPr="003A1A2E">
              <w:rPr>
                <w:sz w:val="22"/>
                <w:szCs w:val="22"/>
              </w:rPr>
              <w:t>4</w:t>
            </w:r>
            <w:r w:rsidRPr="003A1A2E">
              <w:rPr>
                <w:sz w:val="22"/>
                <w:szCs w:val="22"/>
              </w:rPr>
              <w:t xml:space="preserve">) </w:t>
            </w:r>
          </w:p>
        </w:tc>
      </w:tr>
      <w:tr w:rsidR="006366F2" w:rsidRPr="003A1A2E" w14:paraId="7A45BCA3" w14:textId="77777777" w:rsidTr="00713537">
        <w:trPr>
          <w:trHeight w:val="779"/>
        </w:trPr>
        <w:tc>
          <w:tcPr>
            <w:tcW w:w="2447" w:type="dxa"/>
            <w:tcBorders>
              <w:top w:val="nil"/>
              <w:left w:val="nil"/>
              <w:bottom w:val="single" w:sz="4" w:space="0" w:color="auto"/>
              <w:right w:val="nil"/>
            </w:tcBorders>
            <w:shd w:val="clear" w:color="auto" w:fill="auto"/>
            <w:noWrap/>
            <w:vAlign w:val="center"/>
            <w:hideMark/>
          </w:tcPr>
          <w:p w14:paraId="28A9EB10" w14:textId="266F8629" w:rsidR="005C01F6" w:rsidRPr="003A1A2E" w:rsidRDefault="005C01F6">
            <w:pPr>
              <w:rPr>
                <w:sz w:val="22"/>
                <w:szCs w:val="22"/>
              </w:rPr>
            </w:pPr>
            <w:r w:rsidRPr="003A1A2E">
              <w:rPr>
                <w:sz w:val="22"/>
                <w:szCs w:val="22"/>
              </w:rPr>
              <w:t>Recruitment threshold</w:t>
            </w:r>
            <w:r w:rsidR="00E3119E" w:rsidRPr="003A1A2E">
              <w:rPr>
                <w:sz w:val="22"/>
                <w:szCs w:val="22"/>
              </w:rPr>
              <w:t xml:space="preserve"> (% peak torque)</w:t>
            </w:r>
          </w:p>
        </w:tc>
        <w:tc>
          <w:tcPr>
            <w:tcW w:w="2015" w:type="dxa"/>
            <w:tcBorders>
              <w:top w:val="nil"/>
              <w:left w:val="nil"/>
              <w:bottom w:val="nil"/>
              <w:right w:val="nil"/>
            </w:tcBorders>
            <w:shd w:val="clear" w:color="auto" w:fill="auto"/>
            <w:noWrap/>
            <w:vAlign w:val="center"/>
            <w:hideMark/>
          </w:tcPr>
          <w:p w14:paraId="19AB98A9" w14:textId="20BBD513" w:rsidR="005C01F6" w:rsidRPr="003A1A2E" w:rsidRDefault="004D0394">
            <w:pPr>
              <w:rPr>
                <w:sz w:val="22"/>
                <w:szCs w:val="22"/>
              </w:rPr>
            </w:pPr>
            <w:r w:rsidRPr="003A1A2E">
              <w:rPr>
                <w:sz w:val="22"/>
                <w:szCs w:val="22"/>
              </w:rPr>
              <w:t>7.6</w:t>
            </w:r>
            <w:r w:rsidR="005C01F6" w:rsidRPr="003A1A2E">
              <w:rPr>
                <w:sz w:val="22"/>
                <w:szCs w:val="22"/>
              </w:rPr>
              <w:t xml:space="preserve"> (</w:t>
            </w:r>
            <w:r w:rsidR="004938C9" w:rsidRPr="003A1A2E">
              <w:rPr>
                <w:sz w:val="22"/>
                <w:szCs w:val="22"/>
              </w:rPr>
              <w:t>6.2</w:t>
            </w:r>
            <w:r w:rsidR="005C01F6" w:rsidRPr="003A1A2E">
              <w:rPr>
                <w:sz w:val="22"/>
                <w:szCs w:val="22"/>
              </w:rPr>
              <w:t xml:space="preserve"> to </w:t>
            </w:r>
            <w:r w:rsidR="00E70B7B" w:rsidRPr="003A1A2E">
              <w:rPr>
                <w:sz w:val="22"/>
                <w:szCs w:val="22"/>
              </w:rPr>
              <w:t>9.1</w:t>
            </w:r>
            <w:r w:rsidR="005C01F6" w:rsidRPr="003A1A2E">
              <w:rPr>
                <w:sz w:val="22"/>
                <w:szCs w:val="22"/>
              </w:rPr>
              <w:t>)</w:t>
            </w:r>
          </w:p>
        </w:tc>
        <w:tc>
          <w:tcPr>
            <w:tcW w:w="1917" w:type="dxa"/>
            <w:tcBorders>
              <w:top w:val="nil"/>
              <w:left w:val="nil"/>
              <w:bottom w:val="nil"/>
              <w:right w:val="nil"/>
            </w:tcBorders>
            <w:shd w:val="clear" w:color="auto" w:fill="auto"/>
            <w:noWrap/>
            <w:vAlign w:val="center"/>
            <w:hideMark/>
          </w:tcPr>
          <w:p w14:paraId="670C48AF" w14:textId="4C46636C" w:rsidR="005C01F6" w:rsidRPr="003A1A2E" w:rsidRDefault="00E70B7B">
            <w:pPr>
              <w:rPr>
                <w:sz w:val="22"/>
                <w:szCs w:val="22"/>
              </w:rPr>
            </w:pPr>
            <w:r w:rsidRPr="003A1A2E">
              <w:rPr>
                <w:sz w:val="22"/>
                <w:szCs w:val="22"/>
              </w:rPr>
              <w:t>9.</w:t>
            </w:r>
            <w:r w:rsidR="004938C9" w:rsidRPr="003A1A2E">
              <w:rPr>
                <w:sz w:val="22"/>
                <w:szCs w:val="22"/>
              </w:rPr>
              <w:t>2</w:t>
            </w:r>
            <w:r w:rsidR="005C01F6" w:rsidRPr="003A1A2E">
              <w:rPr>
                <w:sz w:val="22"/>
                <w:szCs w:val="22"/>
              </w:rPr>
              <w:t xml:space="preserve"> (</w:t>
            </w:r>
            <w:r w:rsidRPr="003A1A2E">
              <w:rPr>
                <w:sz w:val="22"/>
                <w:szCs w:val="22"/>
              </w:rPr>
              <w:t>7.8</w:t>
            </w:r>
            <w:r w:rsidR="005C01F6" w:rsidRPr="003A1A2E">
              <w:rPr>
                <w:sz w:val="22"/>
                <w:szCs w:val="22"/>
              </w:rPr>
              <w:t xml:space="preserve"> to </w:t>
            </w:r>
            <w:r w:rsidRPr="003A1A2E">
              <w:rPr>
                <w:sz w:val="22"/>
                <w:szCs w:val="22"/>
              </w:rPr>
              <w:t>10.5</w:t>
            </w:r>
            <w:r w:rsidR="005C01F6" w:rsidRPr="003A1A2E">
              <w:rPr>
                <w:sz w:val="22"/>
                <w:szCs w:val="22"/>
              </w:rPr>
              <w:t>)</w:t>
            </w:r>
          </w:p>
        </w:tc>
        <w:tc>
          <w:tcPr>
            <w:tcW w:w="2410" w:type="dxa"/>
            <w:gridSpan w:val="2"/>
            <w:tcBorders>
              <w:top w:val="nil"/>
              <w:left w:val="nil"/>
              <w:bottom w:val="single" w:sz="4" w:space="0" w:color="auto"/>
              <w:right w:val="nil"/>
            </w:tcBorders>
            <w:shd w:val="clear" w:color="auto" w:fill="auto"/>
            <w:noWrap/>
            <w:vAlign w:val="center"/>
            <w:hideMark/>
          </w:tcPr>
          <w:p w14:paraId="5D4D51BE" w14:textId="3F6AD8FB" w:rsidR="005C01F6" w:rsidRPr="003A1A2E" w:rsidRDefault="005C01F6">
            <w:pPr>
              <w:rPr>
                <w:sz w:val="22"/>
                <w:szCs w:val="22"/>
              </w:rPr>
            </w:pPr>
            <w:r w:rsidRPr="003A1A2E">
              <w:rPr>
                <w:sz w:val="22"/>
                <w:szCs w:val="22"/>
              </w:rPr>
              <w:t>-</w:t>
            </w:r>
            <w:r w:rsidR="004938C9" w:rsidRPr="003A1A2E">
              <w:rPr>
                <w:sz w:val="22"/>
                <w:szCs w:val="22"/>
              </w:rPr>
              <w:t>1.54</w:t>
            </w:r>
            <w:r w:rsidRPr="003A1A2E">
              <w:rPr>
                <w:sz w:val="22"/>
                <w:szCs w:val="22"/>
              </w:rPr>
              <w:t xml:space="preserve"> (-</w:t>
            </w:r>
            <w:r w:rsidR="004938C9" w:rsidRPr="003A1A2E">
              <w:rPr>
                <w:sz w:val="22"/>
                <w:szCs w:val="22"/>
              </w:rPr>
              <w:t>3</w:t>
            </w:r>
            <w:r w:rsidR="00CC1B1C" w:rsidRPr="003A1A2E">
              <w:rPr>
                <w:sz w:val="22"/>
                <w:szCs w:val="22"/>
              </w:rPr>
              <w:t>.</w:t>
            </w:r>
            <w:r w:rsidR="004938C9" w:rsidRPr="003A1A2E">
              <w:rPr>
                <w:sz w:val="22"/>
                <w:szCs w:val="22"/>
              </w:rPr>
              <w:t>5</w:t>
            </w:r>
            <w:r w:rsidRPr="003A1A2E">
              <w:rPr>
                <w:sz w:val="22"/>
                <w:szCs w:val="22"/>
              </w:rPr>
              <w:t xml:space="preserve"> to </w:t>
            </w:r>
            <w:r w:rsidR="004938C9" w:rsidRPr="003A1A2E">
              <w:rPr>
                <w:sz w:val="22"/>
                <w:szCs w:val="22"/>
              </w:rPr>
              <w:t>0.5</w:t>
            </w:r>
            <w:r w:rsidRPr="003A1A2E">
              <w:rPr>
                <w:sz w:val="22"/>
                <w:szCs w:val="22"/>
              </w:rPr>
              <w:t>)</w:t>
            </w:r>
          </w:p>
        </w:tc>
      </w:tr>
      <w:tr w:rsidR="005C01F6" w:rsidRPr="003A1A2E" w14:paraId="76DA1A25" w14:textId="77777777" w:rsidTr="00713537">
        <w:trPr>
          <w:trHeight w:val="653"/>
        </w:trPr>
        <w:tc>
          <w:tcPr>
            <w:tcW w:w="6379" w:type="dxa"/>
            <w:gridSpan w:val="3"/>
            <w:tcBorders>
              <w:top w:val="single" w:sz="4" w:space="0" w:color="auto"/>
              <w:left w:val="nil"/>
              <w:bottom w:val="nil"/>
              <w:right w:val="nil"/>
            </w:tcBorders>
            <w:shd w:val="clear" w:color="auto" w:fill="auto"/>
            <w:noWrap/>
            <w:vAlign w:val="center"/>
            <w:hideMark/>
          </w:tcPr>
          <w:p w14:paraId="6062B884" w14:textId="7DD474D9" w:rsidR="005C01F6" w:rsidRPr="003A1A2E" w:rsidRDefault="005C01F6" w:rsidP="00E3119E">
            <w:pPr>
              <w:rPr>
                <w:sz w:val="22"/>
                <w:szCs w:val="22"/>
              </w:rPr>
            </w:pPr>
            <w:r w:rsidRPr="003A1A2E">
              <w:rPr>
                <w:sz w:val="22"/>
                <w:szCs w:val="22"/>
              </w:rPr>
              <w:t xml:space="preserve">Data </w:t>
            </w:r>
            <w:r w:rsidR="00E3119E" w:rsidRPr="003A1A2E">
              <w:rPr>
                <w:sz w:val="22"/>
                <w:szCs w:val="22"/>
              </w:rPr>
              <w:t xml:space="preserve">is presented as mean and 95% confidence interval (lower and upper limits). </w:t>
            </w:r>
          </w:p>
        </w:tc>
        <w:tc>
          <w:tcPr>
            <w:tcW w:w="1767" w:type="dxa"/>
            <w:tcBorders>
              <w:top w:val="nil"/>
              <w:left w:val="nil"/>
              <w:bottom w:val="nil"/>
              <w:right w:val="nil"/>
            </w:tcBorders>
            <w:shd w:val="clear" w:color="auto" w:fill="auto"/>
            <w:noWrap/>
            <w:vAlign w:val="bottom"/>
            <w:hideMark/>
          </w:tcPr>
          <w:p w14:paraId="464D912B" w14:textId="77777777" w:rsidR="005C01F6" w:rsidRPr="003A1A2E" w:rsidRDefault="005C01F6">
            <w:pPr>
              <w:rPr>
                <w:sz w:val="22"/>
                <w:szCs w:val="22"/>
              </w:rPr>
            </w:pPr>
          </w:p>
        </w:tc>
        <w:tc>
          <w:tcPr>
            <w:tcW w:w="643" w:type="dxa"/>
            <w:tcBorders>
              <w:top w:val="nil"/>
              <w:left w:val="nil"/>
              <w:bottom w:val="nil"/>
              <w:right w:val="nil"/>
            </w:tcBorders>
            <w:shd w:val="clear" w:color="auto" w:fill="auto"/>
            <w:noWrap/>
            <w:vAlign w:val="bottom"/>
            <w:hideMark/>
          </w:tcPr>
          <w:p w14:paraId="28C70A12" w14:textId="77777777" w:rsidR="005C01F6" w:rsidRPr="003A1A2E" w:rsidRDefault="005C01F6">
            <w:pPr>
              <w:rPr>
                <w:sz w:val="20"/>
                <w:szCs w:val="20"/>
              </w:rPr>
            </w:pPr>
          </w:p>
        </w:tc>
      </w:tr>
    </w:tbl>
    <w:p w14:paraId="592DEAB9" w14:textId="77777777" w:rsidR="005C01F6" w:rsidRPr="003A1A2E" w:rsidRDefault="005C01F6" w:rsidP="00504A0D">
      <w:pPr>
        <w:pStyle w:val="BodyA"/>
        <w:spacing w:after="0"/>
        <w:ind w:firstLine="0"/>
        <w:rPr>
          <w:rFonts w:ascii="Times New Roman" w:hAnsi="Times New Roman" w:cs="Times New Roman"/>
          <w:b/>
          <w:bCs/>
          <w:color w:val="auto"/>
          <w:sz w:val="24"/>
          <w:szCs w:val="24"/>
          <w:lang w:val="en-AU"/>
        </w:rPr>
      </w:pPr>
    </w:p>
    <w:p w14:paraId="1E68261D" w14:textId="6D5D09FD" w:rsidR="00106D9B" w:rsidRPr="003A1A2E" w:rsidRDefault="00A93A35" w:rsidP="00231F8F">
      <w:pPr>
        <w:pStyle w:val="BodyA"/>
        <w:spacing w:after="0"/>
        <w:ind w:firstLine="0"/>
        <w:rPr>
          <w:rFonts w:ascii="Times New Roman" w:hAnsi="Times New Roman" w:cs="Times New Roman"/>
          <w:b/>
          <w:bCs/>
          <w:color w:val="auto"/>
          <w:sz w:val="24"/>
          <w:szCs w:val="24"/>
          <w:lang w:val="en-AU"/>
        </w:rPr>
      </w:pPr>
      <w:r w:rsidRPr="003A1A2E">
        <w:rPr>
          <w:rFonts w:ascii="Times New Roman" w:hAnsi="Times New Roman" w:cs="Times New Roman"/>
          <w:b/>
          <w:bCs/>
          <w:color w:val="auto"/>
          <w:sz w:val="24"/>
          <w:szCs w:val="24"/>
          <w:lang w:val="en-AU"/>
        </w:rPr>
        <w:t>4. Discussion</w:t>
      </w:r>
    </w:p>
    <w:p w14:paraId="0353E14C" w14:textId="4410955D" w:rsidR="00D95C70" w:rsidRPr="003A1A2E" w:rsidRDefault="00CF40B7" w:rsidP="00CF40B7">
      <w:pPr>
        <w:autoSpaceDE w:val="0"/>
        <w:autoSpaceDN w:val="0"/>
        <w:adjustRightInd w:val="0"/>
        <w:spacing w:line="480" w:lineRule="auto"/>
        <w:ind w:firstLine="720"/>
        <w:jc w:val="both"/>
      </w:pPr>
      <w:r w:rsidRPr="003A1A2E">
        <w:t xml:space="preserve">This study compared ΔFs and discharge rates, from lower-threshold motor units of </w:t>
      </w:r>
      <w:r w:rsidRPr="003A1A2E">
        <w:rPr>
          <w:iCs/>
        </w:rPr>
        <w:t>soleus,</w:t>
      </w:r>
      <w:r w:rsidRPr="003A1A2E">
        <w:t xml:space="preserve"> between runners with and without mid-portion AT. Contrary to our initial hypothesis, ΔFs and peak discharge rates from </w:t>
      </w:r>
      <w:r w:rsidRPr="003A1A2E">
        <w:rPr>
          <w:iCs/>
        </w:rPr>
        <w:t>soleus</w:t>
      </w:r>
      <w:r w:rsidRPr="003A1A2E">
        <w:t xml:space="preserve"> motor neurones are not altered in runners with AT during submaximal contractions (20% of each participant maximal torque). Therefore, our data indicate that intrinsic excitability of lower-threshold motor neurones from soleus of runners with AT </w:t>
      </w:r>
      <w:r w:rsidR="00610CD4">
        <w:t>is</w:t>
      </w:r>
      <w:r w:rsidR="00610CD4" w:rsidRPr="003A1A2E">
        <w:t xml:space="preserve"> </w:t>
      </w:r>
      <w:r w:rsidRPr="003A1A2E">
        <w:t xml:space="preserve">not different </w:t>
      </w:r>
      <w:r w:rsidR="00610CD4">
        <w:t>from those of</w:t>
      </w:r>
      <w:r w:rsidRPr="003A1A2E">
        <w:t xml:space="preserve"> runners without AT.</w:t>
      </w:r>
      <w:r w:rsidR="00B27A07">
        <w:t xml:space="preserve"> </w:t>
      </w:r>
      <w:r w:rsidRPr="003A1A2E">
        <w:t>ΔF values obtained in this study are similar to</w:t>
      </w:r>
      <w:r w:rsidR="00D64AF2">
        <w:t xml:space="preserve"> of</w:t>
      </w:r>
      <w:r w:rsidRPr="003A1A2E">
        <w:t xml:space="preserve"> other studies which also tested soleus, using triangular contractions with the same protocol in non-runners </w:t>
      </w:r>
      <w:r w:rsidRPr="003A1A2E">
        <w:fldChar w:fldCharType="begin" w:fldLock="1"/>
      </w:r>
      <w:r w:rsidR="005827E6">
        <w:instrText>ADDIN CSL_CITATION {"citationItems":[{"id":"ITEM-1","itemData":{"DOI":"10.1152/JN.00746.2019","ISSN":"15221598","PMID":"32667263","abstract":"Persistent inward currents (PICs) are responsible for amplifying motoneuronal synaptic inputs and contribute to generating normal motoneuron activation. Delta-F (F) is a well-established method that estimates PICs in humans indirectly from firing patterns of individual motor units. Traditionally, motor unit firing patterns are obtained by manually decomposing electromyography (EMG) signals recorded through intramuscular electrodes (iEMG). A previous iEMG study has shown that in humans the elbow extensors have higher F than the elbow flexors. In this study, EMG signals were collected from the ankle extensors and flexors using high-density surface array electrodes during isometric sitting and standing at 10 –30% maximum voluntary contraction. The signals were then decomposed into individual motor unit firings. We hypothesized that comparable to the upper limb, the lower limb extensor muscles (soleus) would have higher F than the lower limb flexor muscles [tibialis anterior (TA)]. Contrary to our expectations, F was higher in the TA than the soleus during sitting and standing despite the difference in cohort of participants and body positions. The TA also had significantly higher maximum discharge rate than the soleus while there was no difference in rate increase. When only the unit pairs with similar maximum discharge rates were compared, F was still higher in the TA than the soleus. Future studies will focus on investigating the functional significance of the findings. NEW &amp; NOTEWORTHY With the use of high-density surface array electrodes and convolutive blind source separation algorithm, thousands of motor units were decomposed from the soleus and tibialis anterior muscles. Persistent inward currents were estimated under seated and standing conditions via delta-F (F) calculation, and the results showed that unlike the upper limb, the flexor has higher F than the extensor in the lower limb. Future studies will focus on functional significance of the findings.","author":[{"dropping-particle":"","family":"Kim","given":"Edward H.","non-dropping-particle":"","parse-names":false,"suffix":""},{"dropping-particle":"","family":"Wilson","given":"Jessica M.","non-dropping-particle":"","parse-names":false,"suffix":""},{"dropping-particle":"","family":"Thompson","given":"Christopher K.","non-dropping-particle":"","parse-names":false,"suffix":""},{"dropping-particle":"","family":"Heckman","given":"Charles J.","non-dropping-particle":"","parse-names":false,"suffix":""}],"container-title":"Journal of Neurophysiology","id":"ITEM-1","issue":"2","issued":{"date-parts":[["2020"]]},"page":"525-535","title":"Differences in estimated persistent inward currents between ankle flexors and extensors in humans","type":"article-journal","volume":"124"},"uris":["http://www.mendeley.com/documents/?uuid=fe4f6a56-770a-4b99-8096-8cb4cbc95af4"]},{"id":"ITEM-2","itemData":{"DOI":"10.1152/jn.00697.2020","ISSN":"15221598","PMID":"33788617","abstract":"This study tested whether estimates of persistent inward currents (PICs) in the human plantar flexors would increase with the level of voluntary drive. High-density surface electromyograms were collected from soleus and gastrocnemius medialis of 21 participants (29.2 ± 2.6 yr) during ramp-shaped isometric contractions to 10%, 20%, and 30% (torque rise and decline of 2%/s and 30-s duration) of each participant’s maximal torque. Motor units identified in all the contraction intensities were included in the paired-motor unit analysis to calculate delta frequency (DF) and estimate the PICs. DF is the difference in discharge rate of the control unit at the time of recruitment and derecruitment of the test unit. Increases in PICs were observed from 10% to 20% [D = 0.6 pulse per second (pps); P &lt; 0.001] and from 20% to 30% (D = 0.5 pps; P &lt; 0.001) in soleus and from 10% to 20% (D = 1.2 pps; P &lt; 0.001) but not from 20% to 30% (D = 0.09 pps; P = 0.724) in gastrocnemius medialis. Maximal discharge rate increased for soleus and gastrocnemius medialis from 10% to 20% [D = 1.75 pps (P &lt; 0.001) and D = 2.43 pps (P &lt; 0.001), respectively] and from 20% to 30% [D = 0.80 pps (P &lt; 0.017) and D = 0.92 pps (P = 0.002), respectively]. The repeated-measures correlation identified associations between DF and increases in maximal discharge rate for soleus (r = 0.64; P &lt; 0.001) and gastrocnemius medialis (r = 0.77; P &lt; 0.001). An increase in voluntary drive tends to increase PIC strength, which has key implications for the control of force but also for comparisons between muscles or studies when relative force levels might be different. Increases in voluntary descending drive amplify PICs in humans and provide an important spinal mechanism for motor unit discharging, and thus force output modulation. NEW &amp; NOTEWORTHY Animal experiments and computational models have shown that motor neurons can amplify the synaptic input they receive via persistent inward currents. Here we show in humans that this amplification varies proportionally to the magnitude of the voluntary drive to the muscle.","author":[{"dropping-particle":"","family":"Orssatto","given":"Lucas B.R. R","non-dropping-particle":"","parse-names":false,"suffix":""},{"dropping-particle":"","family":"Mackay","given":"Karen","non-dropping-particle":"","parse-names":false,"suffix":""},{"dropping-particle":"","family":"Shield","given":"Anthony J.","non-dropping-particle":"","parse-names":false,"suffix":""},{"dropping-particle":"","family":"Sakugawa","given":"Raphael L.","non-dropping-particle":"","parse-names":false,"suffix":""},{"dropping-particle":"","family":"Blazevich","given":"Anthony J.","non-dropping-particle":"","parse-names":false,"suffix":""},{"dropping-particle":"","family":"Trajano","given":"Gabriel S.","non-dropping-particle":"","parse-names":false,"suffix":""}],"container-title":"Journal of Neurophysiology","id":"ITEM-2","issue":"5","issued":{"date-parts":[["2021","3","31"]]},"note":"From Duplicate 2 (Estimates of persistent inward currents increase with the level of voluntary drive in low-threshold motor units of plantar flexor muscles - Orssatto, Lucas B R; Mackay, Karen; Shield, Anthony J; Sakugawa, Raphael L; Blazevich, Anthony J; Trajano, Gabriel S)\n\ndoi: 10.1152/jn.00697.2020","page":"1746-1754","publisher":"American Physiological Society","title":"Estimates of persistent inward currents increase with the level of voluntary drive in low-threshold motor units of plantar flexor muscles","type":"article-journal","volume":"125"},"uris":["http://www.mendeley.com/documents/?uuid=5a8d813c-4200-4557-a36e-3156e94be500"]},{"id":"ITEM-3","itemData":{"DOI":"10.1242/jeb.229922","ISSN":"0022-0949","abstract":"Prolonged (≥60 s) passive muscle stretching acutely reduces maximal force production at least partly through a suppression of efferent neural drive. The origin of this neural suppression has not been determined, however some evidence suggests that reductions in the amplitude of persistent inward currents (PICs) in the motoneurons may be important. The aim of the present study was to determine whether acute passive (static) muscle stretching affects PIC strength in gastrocnemius medialis (GM) and soleus (SOL) motor units. We calculated the difference in instantaneous discharge rates at recruitment and derecruitment (ΔF) for pairs of motor units in GM and SOL during triangular isometric plantar flexor contractions (20% maximum) both before and immediately after a 5-min control period and immediately after five 1-min passive plantar flexor stretches. After stretching there was a significant reduction in SOL ΔF (−25.6%; 95%CI=−45.1 to −9.1 %, p=0.002) but not GM ΔF. These data suggest passive muscle stretching can reduce the intrinsic excitability, via PICs, of SOL motor units. These findings (1) suggest that PIC strength might be reduced after passive stretching, (2) are consistent with previously-established post-stretch decreases in SOL but not GM EMG amplitudes during contraction, and (3) indicate that reductions in PIC strength could underpin the stretch-induced force loss.","author":[{"dropping-particle":"","family":"Trajano","given":"Gabriel S.","non-dropping-particle":"","parse-names":false,"suffix":""},{"dropping-particle":"","family":"Taylor","given":"Janet L.","non-dropping-particle":"","parse-names":false,"suffix":""},{"dropping-particle":"","family":"Orssatto","given":"Lucas B. R.","non-dropping-particle":"","parse-names":false,"suffix":""},{"dropping-particle":"","family":"McNulty","given":"Craig R.","non-dropping-particle":"","parse-names":false,"suffix":""},{"dropping-particle":"","family":"Blazevich","given":"Anthony J.","non-dropping-particle":"","parse-names":false,"suffix":""}],"container-title":"The Journal of Experimental Biology","id":"ITEM-3","issue":"61 7","issued":{"date-parts":[["2020"]]},"page":"jeb.229922","title":"Passive muscle stretching reduces estimates of persistent inward current strength in soleus motor units","type":"article-journal"},"uris":["http://www.mendeley.com/documents/?uuid=3163c4ac-e021-45a9-bf01-e45d47b3167c"]},{"id":"ITEM-4","itemData":{"DOI":"10.1113/JP283708","abstract":"A well-coordinated control of motor neuronal persistent inward currents (PICs) via diffuse neuromodulation and local inhibition is essential to ensure motor units discharge at required times and frequencies. Current best estimates indicate that PICs are reduced in older adults; however, it is not yet known whether PIC facilitation-inhibition control is also altered with ageing. We investigated the responses of PICs to i) a remote handgrip contraction, which is believed to diffusely increase serotonergic input onto motor neurones, and ii) tendon vibration of the antagonist muscle, which elicits reciprocal inhibition, in both young and older adults. High-density surface electromyograms were collected from soleus and tibialis anterior of 18 young and 26 older adults during triangular-shaped plantar and dorsiflexion contractions to 20% (handgrip experiments) and 30% (vibration experiments) of maximum torque (rise-decline rate of 2%/s). The paired-motor-unit analysis was used to calculate ΔF, which is assumed proportional to PIC strength. ΔF increased in both soleus (0.55pps, 16.0%) and tibialis anterior (0.42pps, 11.4%) during the handgrip contraction independent of age. However, although antagonist tendon vibration reduced ΔF in soleus (0.28pps, 12.6%) independent of age, less reduction was observed in older (0.42pps, 10.7%) than young adults (0.72pps, 17.8%) in tibialis anterior. Our data indicate a preserved ability of older adults to amplify PICs following a remote handgrip contraction, during which increased serotonergic input onto the motor neurones is expected, in both lower leg muscles. However, PIC deactivation in response to reciprocal inhibition was impaired with ageing in tibialis anterior despite being preserved in soleus.KEYPOINTSMotor neuronal persistent inward currents (PICs) are amplified via diffuse neuromodulation and deactivated by local inhibition to ensure motor units discharge at required times and frequencies, allowing a normal motor behaviour.PIC amplitudes appear to be reduced with ageing, however it is not known whether PIC facilitation-inhibition control is also altered.Remote handgrip contraction, which should diffusely increase serotonergic input onto motor neurones, amplified PICs similarly in both soleus and tibialis anterior of young and older adults.Antagonist tendon vibration, which induces reciprocal inhibition, reduced PICs in soleus in both young and older adults but had less effect in tibialis anterior in older adults.…","author":[{"dropping-particle":"","family":"Orssatto","given":"Lucas B R","non-dropping-particle":"","parse-names":false,"suffix":""},{"dropping-particle":"","family":"Fernandes","given":"Gabriel L","non-dropping-particle":"","parse-names":false,"suffix":""},{"dropping-particle":"","family":"Blazevich","given":"Anthony J","non-dropping-particle":"","parse-names":false,"suffix":""},{"dropping-particle":"","family":"Trajano","given":"Gabriel S","non-dropping-particle":"","parse-names":false,"suffix":""}],"container-title":"Journal of Physiology","id":"ITEM-4","issued":{"date-parts":[["2022"]]},"page":"2022.08.08.503135","title":"Facilitation-inhibition control of motor neuronal persistent inward currents in young and older adults","type":"article-journal","volume":"0"},"uris":["http://www.mendeley.com/documents/?uuid=0c915022-4389-4d68-8f55-36349f9d1cb1"]}],"mendeley":{"formattedCitation":"&lt;sup&gt;10,11,31,32&lt;/sup&gt;","plainTextFormattedCitation":"10,11,31,32","previouslyFormattedCitation":"&lt;sup&gt;10,11,32,33&lt;/sup&gt;"},"properties":{"noteIndex":0},"schema":"https://github.com/citation-style-language/schema/raw/master/csl-citation.json"}</w:instrText>
      </w:r>
      <w:r w:rsidRPr="003A1A2E">
        <w:fldChar w:fldCharType="separate"/>
      </w:r>
      <w:r w:rsidR="005827E6" w:rsidRPr="005827E6">
        <w:rPr>
          <w:noProof/>
          <w:vertAlign w:val="superscript"/>
        </w:rPr>
        <w:t>10,11,31,32</w:t>
      </w:r>
      <w:r w:rsidRPr="003A1A2E">
        <w:fldChar w:fldCharType="end"/>
      </w:r>
      <w:r w:rsidRPr="003A1A2E">
        <w:t xml:space="preserve">, indicating that chronic running activities </w:t>
      </w:r>
      <w:r w:rsidR="00A3186A">
        <w:t>do</w:t>
      </w:r>
      <w:r w:rsidRPr="003A1A2E">
        <w:t xml:space="preserve"> not increase or decrease </w:t>
      </w:r>
      <w:r w:rsidR="00A3186A">
        <w:t>them</w:t>
      </w:r>
      <w:r w:rsidRPr="003A1A2E">
        <w:t>.</w:t>
      </w:r>
    </w:p>
    <w:p w14:paraId="747264DB" w14:textId="77777777" w:rsidR="00D95C70" w:rsidRPr="003A1A2E" w:rsidRDefault="00D95C70" w:rsidP="00D321C8">
      <w:pPr>
        <w:autoSpaceDE w:val="0"/>
        <w:autoSpaceDN w:val="0"/>
        <w:adjustRightInd w:val="0"/>
        <w:spacing w:line="480" w:lineRule="auto"/>
        <w:ind w:firstLine="720"/>
        <w:jc w:val="both"/>
      </w:pPr>
    </w:p>
    <w:p w14:paraId="31F5E1A2" w14:textId="63297560" w:rsidR="00A95A20" w:rsidRPr="003A1A2E" w:rsidRDefault="00D64AF2" w:rsidP="00D64AF2">
      <w:pPr>
        <w:autoSpaceDE w:val="0"/>
        <w:autoSpaceDN w:val="0"/>
        <w:adjustRightInd w:val="0"/>
        <w:spacing w:line="480" w:lineRule="auto"/>
        <w:ind w:firstLine="720"/>
        <w:jc w:val="both"/>
      </w:pPr>
      <w:r>
        <w:lastRenderedPageBreak/>
        <w:t xml:space="preserve">Similar </w:t>
      </w:r>
      <w:r w:rsidR="00D95C70" w:rsidRPr="003A1A2E">
        <w:t xml:space="preserve">intrinsic motor neurone excitability between runners with or without AT </w:t>
      </w:r>
      <w:r w:rsidR="00A3186A">
        <w:t xml:space="preserve">possibly </w:t>
      </w:r>
      <w:r w:rsidR="00D95C70" w:rsidRPr="003A1A2E">
        <w:t xml:space="preserve">indicates that i) other musculotendinous or neurophysiological mechanisms might be contributing to </w:t>
      </w:r>
      <w:r>
        <w:t xml:space="preserve">the </w:t>
      </w:r>
      <w:r w:rsidR="00D95C70" w:rsidRPr="003A1A2E">
        <w:t xml:space="preserve">reduced </w:t>
      </w:r>
      <w:r>
        <w:t xml:space="preserve">plantar flexor </w:t>
      </w:r>
      <w:r w:rsidR="00D95C70" w:rsidRPr="003A1A2E">
        <w:t>function</w:t>
      </w:r>
      <w:r w:rsidR="00B27A07">
        <w:fldChar w:fldCharType="begin" w:fldLock="1"/>
      </w:r>
      <w:r w:rsidR="00524180">
        <w:instrText>ADDIN CSL_CITATION {"citationItems":[{"id":"ITEM-1","itemData":{"DOI":"10.1111/sms.14111","ISSN":"0905-7188","author":[{"dropping-particle":"","family":"Fernandes","given":"Gabriel L.","non-dropping-particle":"","parse-names":false,"suffix":""},{"dropping-particle":"","family":"Orssatto","given":"Lucas B. R.","non-dropping-particle":"","parse-names":false,"suffix":""},{"dropping-particle":"","family":"Shield","given":"Anthony J.","non-dropping-particle":"","parse-names":false,"suffix":""},{"dropping-particle":"","family":"Trajano","given":"Gabriel S.","non-dropping-particle":"","parse-names":false,"suffix":""}],"container-title":"Scandinavian Journal of Medicine &amp; Science in Sports","id":"ITEM-1","issued":{"date-parts":[["2021"]]},"page":"1-18","title":"Runners with mid‐portion Achilles tendinopathy have greater triceps surae intracortical inhibition than healthy controls","type":"article-journal"},"uris":["http://www.mendeley.com/documents/?uuid=985b014d-8ecf-4ccf-8f5c-2d891a3ac9cd"]},{"id":"ITEM-2","itemData":{"DOI":"10.1016/j.ptsp.2019.03.002","ISSN":"18731600","PMID":"30884279","abstract":"Objectives: Determine how the strength and endurance of the plantar flexors are affected by Achilles tendinopathy and whether one muscle is more affected than another. Design: Case control study. Setting: University Laboratory. Participants: 39 Runners with mid-portion Achilles tendinopathy and 38 healthy runners participated in this study. Main outcome measures: Isokinetic dynamometry was completed bilaterally in two knee positions on all subjects to assess the torque and endurance capacity of the plantar flexors. Results: Subjects with Achilles tendinopathy were statistically weaker (by 26.1Nm Concentric 90°/sec, 14,8Nm Concentric 225°/sec and 55.5Nm Eccentric 90°/sec for knee extended testing and 17.3Nm, 10.1Nm and 52.3Nm for the flexed knee respectively) than healthy controls at all isokinetic test speeds and contraction modes irrespective of knee position (p value = &lt;0.001). The endurance capacity of the plantar flexors was significantly reduced (Total work done 613.5Nm less) in subjects with Achilles tendinopathy when compared to the healthy controls (p value = &lt;0.001). Conclusions: Achilles tendinopathy is associated with large deficits in plantar flexor torque and endurance. The deficits are bilateral in nature and appear to be explained by a greater loss of the soleus force generating capacity rather than the gastrocnemius.","author":[{"dropping-particle":"","family":"O'Neill","given":"Seth","non-dropping-particle":"","parse-names":false,"suffix":""},{"dropping-particle":"","family":"Barry","given":"Simon","non-dropping-particle":"","parse-names":false,"suffix":""},{"dropping-particle":"","family":"Watson","given":"Paul","non-dropping-particle":"","parse-names":false,"suffix":""}],"container-title":"Physical Therapy in Sport","id":"ITEM-2","issued":{"date-parts":[["2019"]]},"page":"69-76","publisher":"Elsevier Ltd","title":"Plantarflexor strength and endurance deficits associated with mid-portion Achilles tendinopathy: The role of soleus","type":"article-journal","volume":"37"},"uris":["http://www.mendeley.com/documents/?uuid=39aa78e9-0163-498d-8c93-359b0cbff29a"]}],"mendeley":{"formattedCitation":"&lt;sup&gt;2,15&lt;/sup&gt;","plainTextFormattedCitation":"2,15","previouslyFormattedCitation":"&lt;sup&gt;2,15&lt;/sup&gt;"},"properties":{"noteIndex":0},"schema":"https://github.com/citation-style-language/schema/raw/master/csl-citation.json"}</w:instrText>
      </w:r>
      <w:r w:rsidR="00B27A07">
        <w:fldChar w:fldCharType="separate"/>
      </w:r>
      <w:r w:rsidR="00B27A07" w:rsidRPr="00B27A07">
        <w:rPr>
          <w:noProof/>
          <w:vertAlign w:val="superscript"/>
        </w:rPr>
        <w:t>2,15</w:t>
      </w:r>
      <w:r w:rsidR="00B27A07">
        <w:fldChar w:fldCharType="end"/>
      </w:r>
      <w:r w:rsidR="00D95C70" w:rsidRPr="003A1A2E">
        <w:t xml:space="preserve"> observed in AT, ii) other muscles (e.g., gastrocnemii) might be affected, and iii) the intrinsic excitability might </w:t>
      </w:r>
      <w:r w:rsidR="00A3186A">
        <w:t xml:space="preserve">only </w:t>
      </w:r>
      <w:r w:rsidR="00D95C70" w:rsidRPr="003A1A2E">
        <w:t>be affected at higher intensity contractions.</w:t>
      </w:r>
      <w:r w:rsidR="00C551CF" w:rsidRPr="003A1A2E">
        <w:t xml:space="preserve"> </w:t>
      </w:r>
      <w:r w:rsidR="002265B0" w:rsidRPr="003A1A2E">
        <w:t>PICs are highly sensitive to inhibitory stimuli</w:t>
      </w:r>
      <w:r w:rsidR="002265B0" w:rsidRPr="003A1A2E">
        <w:fldChar w:fldCharType="begin" w:fldLock="1"/>
      </w:r>
      <w:r w:rsidR="00273762" w:rsidRPr="003A1A2E">
        <w:instrText>ADDIN CSL_CITATION {"citationItems":[{"id":"ITEM-1","itemData":{"DOI":"10.1152/jn.01253.2007","ISBN":"6176321972","ISSN":"15378276","PMID":"1000000221","abstract":"With the effectiveness of therapeutic agents ever decreasing and the increased incidence of multi-drug resistant pathogens, there is a clear need for administration of more potent, potentially more toxic, drugs. Alternatively, biopharmaceuticals may hold potential but require specialised protection from premature in vivo degradation. Thus, a paralleled need for specialised drug delivery systems has arisen. Although cell-mediated drug delivery is not a completely novel concept, the few applications described to date are not yet ready for in vivo application, for various reasons such as drug-induced carrier cell death, limited control over the site and timing of drug release and/or drug degradation by the host immune system. Here, we present our hypothesis for a new drug delivery system, which aims to negate these limitations. We propose transport of nanoparticle-encapsulated drugs inside autologous macrophages polarised to M1 phenotype for high mobility and treated to induce transient phagosome maturation arrest. In addition, we propose a significant shift of existing paradigms in the study of host-microbe interactions, in order to study microbial host immune evasion and dissemination patterns for their therapeutic utilisation in the context of drug delivery. We describe a system in which microbial strategies may be adopted to facilitate absolute control over drug delivery, and without sacrificing the host carrier cells. We provide a comprehensive summary of the lessons we can learn from microbes in the context of drug delivery and discuss their feasibility for in vivo therapeutic application. We then describe our proposed “synthetic microbe drug delivery system” in detail. In our opinion, this multidisciplinary approach may hold the solution to effective, controlled drug delivery.","author":[{"dropping-particle":"","family":"Hyngstrom, A. S., Johnson, M. D., &amp; Heckman","given":"C. J.","non-dropping-particle":"","parse-names":false,"suffix":""}],"container-title":"Journal of neurophysiology","id":"ITEM-1","issued":{"date-parts":[["2008"]]},"title":"Summation of Excitatory and Inhibitory Synaptic Inputs by Motoneurons With Highly Active Dendrites","type":"article-journal"},"uris":["http://www.mendeley.com/documents/?uuid=3384e0e3-631d-4d20-bbf8-5d16ef622994"]}],"mendeley":{"formattedCitation":"&lt;sup&gt;13&lt;/sup&gt;","plainTextFormattedCitation":"13","previouslyFormattedCitation":"&lt;sup&gt;13&lt;/sup&gt;"},"properties":{"noteIndex":0},"schema":"https://github.com/citation-style-language/schema/raw/master/csl-citation.json"}</w:instrText>
      </w:r>
      <w:r w:rsidR="002265B0" w:rsidRPr="003A1A2E">
        <w:fldChar w:fldCharType="separate"/>
      </w:r>
      <w:r w:rsidR="00273762" w:rsidRPr="003A1A2E">
        <w:rPr>
          <w:noProof/>
          <w:vertAlign w:val="superscript"/>
        </w:rPr>
        <w:t>13</w:t>
      </w:r>
      <w:r w:rsidR="002265B0" w:rsidRPr="003A1A2E">
        <w:fldChar w:fldCharType="end"/>
      </w:r>
      <w:r w:rsidR="00C551CF" w:rsidRPr="003A1A2E">
        <w:t xml:space="preserve"> </w:t>
      </w:r>
      <w:r w:rsidR="00231F8F" w:rsidRPr="003A1A2E">
        <w:t xml:space="preserve">and </w:t>
      </w:r>
      <w:r w:rsidR="002265B0" w:rsidRPr="003A1A2E">
        <w:t>increased intracortical inhibition ha</w:t>
      </w:r>
      <w:r w:rsidR="00486988" w:rsidRPr="003A1A2E">
        <w:t>s</w:t>
      </w:r>
      <w:r w:rsidR="002265B0" w:rsidRPr="003A1A2E">
        <w:t xml:space="preserve"> been reported</w:t>
      </w:r>
      <w:r w:rsidR="00F14628" w:rsidRPr="003A1A2E">
        <w:fldChar w:fldCharType="begin" w:fldLock="1"/>
      </w:r>
      <w:r w:rsidR="00273762" w:rsidRPr="003A1A2E">
        <w:instrText>ADDIN CSL_CITATION {"citationItems":[{"id":"ITEM-1","itemData":{"DOI":"10.1111/sms.14111","ISSN":"0905-7188","author":[{"dropping-particle":"","family":"Fernandes","given":"Gabriel L.","non-dropping-particle":"","parse-names":false,"suffix":""},{"dropping-particle":"","family":"Orssatto","given":"Lucas B. R.","non-dropping-particle":"","parse-names":false,"suffix":""},{"dropping-particle":"","family":"Shield","given":"Anthony J.","non-dropping-particle":"","parse-names":false,"suffix":""},{"dropping-particle":"","family":"Trajano","given":"Gabriel S.","non-dropping-particle":"","parse-names":false,"suffix":""}],"container-title":"Scandinavian Journal of Medicine &amp; Science in Sports","id":"ITEM-1","issued":{"date-parts":[["2021"]]},"page":"1-18","title":"Runners with mid‐portion Achilles tendinopathy have greater triceps surae intracortical inhibition than healthy controls","type":"article-journal"},"uris":["http://www.mendeley.com/documents/?uuid=985b014d-8ecf-4ccf-8f5c-2d891a3ac9cd"]}],"mendeley":{"formattedCitation":"&lt;sup&gt;15&lt;/sup&gt;","plainTextFormattedCitation":"15","previouslyFormattedCitation":"&lt;sup&gt;15&lt;/sup&gt;"},"properties":{"noteIndex":0},"schema":"https://github.com/citation-style-language/schema/raw/master/csl-citation.json"}</w:instrText>
      </w:r>
      <w:r w:rsidR="00F14628" w:rsidRPr="003A1A2E">
        <w:fldChar w:fldCharType="separate"/>
      </w:r>
      <w:r w:rsidR="00273762" w:rsidRPr="003A1A2E">
        <w:rPr>
          <w:noProof/>
          <w:vertAlign w:val="superscript"/>
        </w:rPr>
        <w:t>15</w:t>
      </w:r>
      <w:r w:rsidR="00F14628" w:rsidRPr="003A1A2E">
        <w:fldChar w:fldCharType="end"/>
      </w:r>
      <w:r w:rsidR="002265B0" w:rsidRPr="003A1A2E">
        <w:t xml:space="preserve"> in </w:t>
      </w:r>
      <w:r w:rsidR="006001BD" w:rsidRPr="003A1A2E">
        <w:t xml:space="preserve">runners with </w:t>
      </w:r>
      <w:r w:rsidR="002265B0" w:rsidRPr="003A1A2E">
        <w:t>AT</w:t>
      </w:r>
      <w:r w:rsidR="00F14628" w:rsidRPr="003A1A2E">
        <w:t>. H</w:t>
      </w:r>
      <w:r w:rsidR="00EF34FA" w:rsidRPr="003A1A2E">
        <w:t>owever</w:t>
      </w:r>
      <w:r w:rsidR="00F14628" w:rsidRPr="003A1A2E">
        <w:t>,</w:t>
      </w:r>
      <w:r w:rsidR="00EF34FA" w:rsidRPr="003A1A2E">
        <w:t xml:space="preserve"> </w:t>
      </w:r>
      <w:r w:rsidR="00015641" w:rsidRPr="003A1A2E">
        <w:t xml:space="preserve">based on this study’s findings, </w:t>
      </w:r>
      <w:r w:rsidR="00EF34FA" w:rsidRPr="003A1A2E">
        <w:t>this increased inhibition does not seem to be influencing soleus</w:t>
      </w:r>
      <w:r w:rsidR="00A3186A">
        <w:t xml:space="preserve"> motor unit behaviour at low forces (0-20% MVC)</w:t>
      </w:r>
      <w:r w:rsidR="00EF34FA" w:rsidRPr="003A1A2E">
        <w:t>.</w:t>
      </w:r>
      <w:r w:rsidR="00453968" w:rsidRPr="003A1A2E">
        <w:t xml:space="preserve"> </w:t>
      </w:r>
      <w:r w:rsidR="00FD4A8D" w:rsidRPr="003A1A2E">
        <w:t>Pain</w:t>
      </w:r>
      <w:r w:rsidR="006C4FFD" w:rsidRPr="003A1A2E">
        <w:t xml:space="preserve"> responses can</w:t>
      </w:r>
      <w:r w:rsidR="00FD4A8D" w:rsidRPr="003A1A2E">
        <w:t xml:space="preserve"> also </w:t>
      </w:r>
      <w:r w:rsidR="006C4FFD" w:rsidRPr="003A1A2E">
        <w:t>stimulate</w:t>
      </w:r>
      <w:r w:rsidR="00FD4A8D" w:rsidRPr="003A1A2E">
        <w:t xml:space="preserve"> </w:t>
      </w:r>
      <w:r w:rsidR="006C4FFD" w:rsidRPr="003A1A2E">
        <w:t>descending inhibitory inputs and affect motor neurone excitability</w:t>
      </w:r>
      <w:r w:rsidR="006C4FFD" w:rsidRPr="003A1A2E">
        <w:fldChar w:fldCharType="begin" w:fldLock="1"/>
      </w:r>
      <w:r w:rsidR="005827E6">
        <w:instrText>ADDIN CSL_CITATION {"citationItems":[{"id":"ITEM-1","itemData":{"DOI":"10.1152/jn.00620.2003","ISSN":"00223077","PMID":"14614105","abstract":"The aim of this human study was to investigate the relationship between experimentally induced muscle pain intensity (i.e., amount of nociceptive activity) and motor unit (MU) firing decrease and MU conduction velocity (CV). In 12 healthy subjects, nociceptive afferents were stimulated in the right tibialis anterior muscle by three intramuscular injections of hypertonic saline (0.2, 0.5, and 0.9 ml) separated by 140 s. The subjects performed six isometric contractions (20 s long) at 10% of the maximal voluntary contraction during the experimental muscle pain. The same set of six contractions was performed without any infusion before the painful condition on the right leg. The procedure was repeated for the left leg with infusion of isotonic (non-painful) saline. Intramuscular and surface electromyographic (EMG) signals were collected to assess MU firing rate and CV. The firing rate of the active MUs [range: 7.4-14.8 pulses/s (pps)] did not change significantly in the three control conditions (without infusion for the right and left leg and with infusion of isotonic saline in the left leg). There was, on the contrary, a significant decrease (on average, mean ± SE, 1.03 ± 0.21 pps) of the firing rates during the painful condition. Moreover, MU firing rates were inversely significantly correlated with the subjective scores of pain intensity. Single MU CV was 3.88 ± 0.03 m/s (mean ± SE, over all the MUs) with no statistical difference among any condition, i.e., the injection of hypertonic saline did not alter the muscle fiber membrane properties of the observed MUs. Progressively increased muscle pain intensity causes a gradual decrease of MU firing rates. This decrease is not associated with a change in MU membrane properties, indirectly assessed by CV. This study demonstrates a central inhibitory motor control mechanism with an efficacy correlated to the nociceptive activity.","author":[{"dropping-particle":"","family":"Farina","given":"Dario","non-dropping-particle":"","parse-names":false,"suffix":""},{"dropping-particle":"","family":"Arendt-Nielsen","given":"Lars","non-dropping-particle":"","parse-names":false,"suffix":""},{"dropping-particle":"","family":"Merletti","given":"Roberto","non-dropping-particle":"","parse-names":false,"suffix":""},{"dropping-particle":"","family":"Graven-Nielsen","given":"Thomas","non-dropping-particle":"","parse-names":false,"suffix":""}],"container-title":"Journal of Neurophysiology","id":"ITEM-1","issue":"3","issued":{"date-parts":[["2004"]]},"page":"1250-1259","title":"Effect of Experimental Muscle Pain on Motor Unit Firing Rate and Conduction Velocity","type":"article-journal","volume":"91"},"uris":["http://www.mendeley.com/documents/?uuid=8fa3adca-3ba4-4ef6-b3f0-7b53560250f3"]},{"id":"ITEM-2","itemData":{"DOI":"10.1016/j.pain.2011.11.024","ISSN":"03043959","PMID":"22209423","abstract":"A motor unit consists of a motoneurone and the multiple muscle fibres that it innervates, and forms the final neural pathway that influences movement. Discharge of motor units is altered (decreased discharge rate and/or cessation of firing; and increased discharge rate and/or recruitment of new units) during matched-force contractions with pain. This is thought to be mediated by nociceptive (pain) input on motoneurones, as demonstrated in animal studies. It is also possible that motoneurone excitability is altered by pain related descending inputs, that these changes persist after noxious stimuli cease, and that direct nociceptive input is not necessary to induce pain related changes in movement. We aimed to determine whether anticipation of pain (descending pain related inputs without nociceptor discharge) alters motor unit discharge, and to observe motor unit discharge recovery after pain has ceased. Motor unit discharge was recorded with fine-wire electrodes in the quadriceps of 9 volunteers. Subjects matched isometric knee-extension force during anticipation of pain (anticipation: electrical shocks randomly applied over the infrapatellar fat-pad); pain (hypertonic saline injected into the fat-pad); and 3 intervening control conditions. Discharge rate of motor units decreased during pain (P &lt;.001) and anticipation (P &lt;.01) compared with control contractions. De-recruitment of 1 population of units and new recruitment of another population were observed during both anticipation and pain; some changes in motor unit recruitment persisted after pain ceased. This challenges the fundamental theory that pain-related changes in muscle activity result from direct nociceptor discharge, and provides a mechanism that may underlie long-term changes in movement/chronicity in some musculoskeletal conditions. © 2011 International Association for the Study of Pain. Published by Elsevier B.V. All rights reserved.","author":[{"dropping-particle":"","family":"Tucker","given":"Kylie","non-dropping-particle":"","parse-names":false,"suffix":""},{"dropping-particle":"","family":"Larsson","given":"Anna Karin","non-dropping-particle":"","parse-names":false,"suffix":""},{"dropping-particle":"","family":"Oknelid","given":"Stina","non-dropping-particle":"","parse-names":false,"suffix":""},{"dropping-particle":"","family":"Hodges","given":"Paul","non-dropping-particle":"","parse-names":false,"suffix":""}],"container-title":"Pain","id":"ITEM-2","issue":"3","issued":{"date-parts":[["2012"]]},"page":"636-643","publisher":"International Association for the Study of Pain","title":"Similar alteration of motor unit recruitment strategies during the anticipation and experience of pain","type":"article-journal","volume":"153"},"uris":["http://www.mendeley.com/documents/?uuid=cacfecb5-afdb-4020-8eb8-6f0eff2fe93c"]}],"mendeley":{"formattedCitation":"&lt;sup&gt;18,33&lt;/sup&gt;","plainTextFormattedCitation":"18,33","previouslyFormattedCitation":"&lt;sup&gt;18,34&lt;/sup&gt;"},"properties":{"noteIndex":0},"schema":"https://github.com/citation-style-language/schema/raw/master/csl-citation.json"}</w:instrText>
      </w:r>
      <w:r w:rsidR="006C4FFD" w:rsidRPr="003A1A2E">
        <w:fldChar w:fldCharType="separate"/>
      </w:r>
      <w:r w:rsidR="005827E6" w:rsidRPr="005827E6">
        <w:rPr>
          <w:noProof/>
          <w:vertAlign w:val="superscript"/>
        </w:rPr>
        <w:t>18,33</w:t>
      </w:r>
      <w:r w:rsidR="006C4FFD" w:rsidRPr="003A1A2E">
        <w:fldChar w:fldCharType="end"/>
      </w:r>
      <w:r w:rsidR="006C4FFD" w:rsidRPr="003A1A2E">
        <w:t>.</w:t>
      </w:r>
      <w:r w:rsidR="00CA6FC1" w:rsidRPr="003A1A2E">
        <w:t xml:space="preserve"> Chronic pain has also been suggested to affect muscle activation in other </w:t>
      </w:r>
      <w:r w:rsidR="006001BD" w:rsidRPr="003A1A2E">
        <w:t xml:space="preserve">chronic </w:t>
      </w:r>
      <w:r w:rsidR="00CA6FC1" w:rsidRPr="003A1A2E">
        <w:t xml:space="preserve">tendinopathies. </w:t>
      </w:r>
      <w:r w:rsidR="00A3186A">
        <w:t>Examples include, r</w:t>
      </w:r>
      <w:r w:rsidR="00CA6FC1" w:rsidRPr="003A1A2E">
        <w:t xml:space="preserve">educed </w:t>
      </w:r>
      <w:r w:rsidR="006001BD" w:rsidRPr="003A1A2E">
        <w:t xml:space="preserve">corticospinal </w:t>
      </w:r>
      <w:r w:rsidR="00CA6FC1" w:rsidRPr="003A1A2E">
        <w:t xml:space="preserve">excitability </w:t>
      </w:r>
      <w:r w:rsidR="006001BD" w:rsidRPr="003A1A2E">
        <w:t>and lower</w:t>
      </w:r>
      <w:r w:rsidR="000D7916" w:rsidRPr="003A1A2E">
        <w:t xml:space="preserve"> </w:t>
      </w:r>
      <w:r w:rsidR="00CA6FC1" w:rsidRPr="003A1A2E">
        <w:t>infraspinatus</w:t>
      </w:r>
      <w:r w:rsidR="006001BD" w:rsidRPr="003A1A2E">
        <w:t xml:space="preserve"> activation</w:t>
      </w:r>
      <w:r w:rsidR="00CA6FC1" w:rsidRPr="003A1A2E">
        <w:t xml:space="preserve"> in </w:t>
      </w:r>
      <w:r w:rsidR="006001BD" w:rsidRPr="003A1A2E">
        <w:t xml:space="preserve">individuals with </w:t>
      </w:r>
      <w:r w:rsidR="00CA6FC1" w:rsidRPr="003A1A2E">
        <w:t>chronic rotator cuff tendinopathy</w:t>
      </w:r>
      <w:r w:rsidR="00CA6FC1" w:rsidRPr="003A1A2E">
        <w:fldChar w:fldCharType="begin" w:fldLock="1"/>
      </w:r>
      <w:r w:rsidR="005827E6">
        <w:instrText>ADDIN CSL_CITATION {"citationItems":[{"id":"ITEM-1","itemData":{"DOI":"10.1016/j.clinph.2014.05.035","ISSN":"18728952","PMID":"25043198","abstract":"Objective: To investigate whether rotator cuff tendinopathy leads to changes in central motor representation of a rotator cuff muscle, and to assess whether such changes are related to pain intensity, pain duration, and physical disability. Methods: Using transcranial magnetic stimulation, motor representation of infraspinatus muscle was assessed bilaterally in patients with unilateral rotator cuff tendinopathy. Results: Active motor threshold is significantly larger for the affected shoulder comparatively to the unaffected shoulder (n= 39, p= 0.01), indicating decreased corticospinal excitability on the affected side compared to unaffected side. Further, results suggest that this asymmetry in corticospinal excitability is associated with duration of pain (n= 39; r= 0.45; p= 0.005), but not with pain intensity (n= 39; r&lt;. 0.03; p&gt;. 0.43). In contrast with findings in other populations with musculoskeletal pain, no significant inter-hemispheric asymmetry was observed in map location (n= 16; p-values. ≥. 0.91), or in the amplitude of motor responses obtained at various stimulation intensities (n= 16; p= 0.83). Conclusion: Chronicity of pain, but not its intensity, appears to be a factor related to lower excitability of infraspinatus representation. Significance: These results support the view that while cortical reorganization correlates with magnitude of pain in neuropathic pain syndromes, it could be more related to chronicity in the case of musculoskeletal disorders.","author":[{"dropping-particle":"","family":"Ngomo","given":"Suzy","non-dropping-particle":"","parse-names":false,"suffix":""},{"dropping-particle":"","family":"Mercier","given":"Catherine","non-dropping-particle":"","parse-names":false,"suffix":""},{"dropping-particle":"","family":"Bouyer","given":"Laurent J.","non-dropping-particle":"","parse-names":false,"suffix":""},{"dropping-particle":"","family":"Savoie","given":"Alexandre","non-dropping-particle":"","parse-names":false,"suffix":""},{"dropping-particle":"","family":"Roy","given":"Jean Sébastien","non-dropping-particle":"","parse-names":false,"suffix":""}],"container-title":"Clinical Neurophysiology","id":"ITEM-1","issue":"2","issued":{"date-parts":[["2015"]]},"page":"365-371","publisher":"International Federation of Clinical Neurophysiology","title":"Alterations in central motor representation increase over time in individuals with rotator cuff tendinopathy","type":"article-journal","volume":"126"},"uris":["http://www.mendeley.com/documents/?uuid=67326ec0-cfcc-4e91-87cc-66d80c1d82bb"]}],"mendeley":{"formattedCitation":"&lt;sup&gt;34&lt;/sup&gt;","plainTextFormattedCitation":"34","previouslyFormattedCitation":"&lt;sup&gt;35&lt;/sup&gt;"},"properties":{"noteIndex":0},"schema":"https://github.com/citation-style-language/schema/raw/master/csl-citation.json"}</w:instrText>
      </w:r>
      <w:r w:rsidR="00CA6FC1" w:rsidRPr="003A1A2E">
        <w:fldChar w:fldCharType="separate"/>
      </w:r>
      <w:r w:rsidR="005827E6" w:rsidRPr="005827E6">
        <w:rPr>
          <w:noProof/>
          <w:vertAlign w:val="superscript"/>
        </w:rPr>
        <w:t>34</w:t>
      </w:r>
      <w:r w:rsidR="00CA6FC1" w:rsidRPr="003A1A2E">
        <w:fldChar w:fldCharType="end"/>
      </w:r>
      <w:r w:rsidR="00CA6FC1" w:rsidRPr="003A1A2E">
        <w:t xml:space="preserve">, </w:t>
      </w:r>
      <w:r w:rsidR="000D7916" w:rsidRPr="003A1A2E">
        <w:t xml:space="preserve">increased </w:t>
      </w:r>
      <w:r w:rsidR="006001BD" w:rsidRPr="003A1A2E">
        <w:t xml:space="preserve">corticospinal </w:t>
      </w:r>
      <w:r w:rsidR="000D7916" w:rsidRPr="003A1A2E">
        <w:t xml:space="preserve">inhibition of the </w:t>
      </w:r>
      <w:r w:rsidR="00CA6FC1" w:rsidRPr="003A1A2E">
        <w:t>rectus femor</w:t>
      </w:r>
      <w:r w:rsidR="00935140" w:rsidRPr="003A1A2E">
        <w:t>is</w:t>
      </w:r>
      <w:r w:rsidR="00CA6FC1" w:rsidRPr="003A1A2E">
        <w:t xml:space="preserve"> in </w:t>
      </w:r>
      <w:r w:rsidR="006001BD" w:rsidRPr="003A1A2E">
        <w:t xml:space="preserve">volleyball athletes with </w:t>
      </w:r>
      <w:r w:rsidR="00CA6FC1" w:rsidRPr="003A1A2E">
        <w:t>patellar tendinopathy</w:t>
      </w:r>
      <w:r w:rsidR="00CA6FC1" w:rsidRPr="003A1A2E">
        <w:fldChar w:fldCharType="begin" w:fldLock="1"/>
      </w:r>
      <w:r w:rsidR="005827E6">
        <w:instrText>ADDIN CSL_CITATION {"citationItems":[{"id":"ITEM-1","itemData":{"DOI":"10.1136/bjsports-2014-094386","ISSN":"14730480","PMID":"25979840","abstract":"Background: Few interventions reduce patellar tendinopathy (PT) pain in the short term. Eccentric exercises are painful and have limited effectiveness during the competitive season. Isometric and isotonic muscle contractions may have an immediate effect on PT pain. Methods: This single-blinded, randomised cross-over study compared immediate and 45 min effects following a bout of isometric and isotonic muscle contractions. Outcome measures were PT pain during the single-leg decline squat (SLDS, 0-10), quadriceps strength on maximal voluntary isometric contraction (MVIC), and measures of corticospinal excitability and inhibition. Data were analysed using a split-plot in time-repeated measures analysis of variance (ANOVA). Results: 6 volleyball players with PT participated. Condition effects were detected with greater pain relief immediately from isometric contractions: isometric contractions reduced SLDS (mean±SD) from 7.0±2.04 to 0.17±0.41, and isotonic contractions reduced SLDS (mean±SD) from 6.33±2.80 to 3.75±3.28 (p&lt;0.001). Isometric contractions released cortical inhibition (ratio mean±SD) from 27.53%±8.30 to 54.95%±5.47, but isotonic contractions had no significant effect on inhibition (pre 30.26±3.89, post 31.92±4.67; p=0.004). Condition by time analysis showed pain reduction was sustained at 45 min postisometric but not isotonic condition (p&lt;0.001). The mean reduction in pain scores postisometric was 6.8/10 compared with 2.6/10 postisotonic. MVIC increased significantly following the isometric condition by 18.7±7.8%, and was significantly higher than baseline (p&lt;0.001) and isotonic condition (p&lt;0.001), and at 45 min (p&lt;0.001). Conclusions: A single resistance training bout of isometric contractions reduced tendon pain immediately for at least 45 min postintervention and increased MVIC. The reduction in pain was paralleled by a reduction in cortical inhibition, providing insight into potential mechanisms. Isometric contractions can be completed without pain for people with PT. The clinical implications are that isometric muscle contractions may be used to reduce pain in people with PT without a reduction in muscle strength.","author":[{"dropping-particle":"","family":"Rio","given":"Ebonie","non-dropping-particle":"","parse-names":false,"suffix":""},{"dropping-particle":"","family":"Kidgell","given":"Dawson","non-dropping-particle":"","parse-names":false,"suffix":""},{"dropping-particle":"","family":"Purdam","given":"Craig","non-dropping-particle":"","parse-names":false,"suffix":""},{"dropping-particle":"","family":"Gaida","given":"Jamie","non-dropping-particle":"","parse-names":false,"suffix":""},{"dropping-particle":"","family":"Moseley","given":"G. Lorimer","non-dropping-particle":"","parse-names":false,"suffix":""},{"dropping-particle":"","family":"Pearce","given":"Alan J.","non-dropping-particle":"","parse-names":false,"suffix":""},{"dropping-particle":"","family":"Cook","given":"Jill","non-dropping-particle":"","parse-names":false,"suffix":""}],"container-title":"British Journal of Sports Medicine","id":"ITEM-1","issue":"19","issued":{"date-parts":[["2015"]]},"page":"1277-1283","title":"Isometric exercise induces analgesia and reduces inhibition in patellar tendinopathy","type":"article-journal","volume":"49"},"uris":["http://www.mendeley.com/documents/?uuid=453340cd-6e1d-4619-bcaa-e2133d3deffe"]}],"mendeley":{"formattedCitation":"&lt;sup&gt;35&lt;/sup&gt;","plainTextFormattedCitation":"35","previouslyFormattedCitation":"&lt;sup&gt;36&lt;/sup&gt;"},"properties":{"noteIndex":0},"schema":"https://github.com/citation-style-language/schema/raw/master/csl-citation.json"}</w:instrText>
      </w:r>
      <w:r w:rsidR="00CA6FC1" w:rsidRPr="003A1A2E">
        <w:fldChar w:fldCharType="separate"/>
      </w:r>
      <w:r w:rsidR="005827E6" w:rsidRPr="005827E6">
        <w:rPr>
          <w:noProof/>
          <w:vertAlign w:val="superscript"/>
        </w:rPr>
        <w:t>35</w:t>
      </w:r>
      <w:r w:rsidR="00CA6FC1" w:rsidRPr="003A1A2E">
        <w:fldChar w:fldCharType="end"/>
      </w:r>
      <w:r w:rsidR="00CA6FC1" w:rsidRPr="003A1A2E">
        <w:t xml:space="preserve">, </w:t>
      </w:r>
      <w:r w:rsidR="005D79A6" w:rsidRPr="003A1A2E">
        <w:t xml:space="preserve">and </w:t>
      </w:r>
      <w:r w:rsidR="008D7133" w:rsidRPr="003A1A2E">
        <w:t>altered activation patterns</w:t>
      </w:r>
      <w:r w:rsidR="00F577AD" w:rsidRPr="003A1A2E">
        <w:t xml:space="preserve"> in the hip abductors</w:t>
      </w:r>
      <w:r w:rsidR="008D7133" w:rsidRPr="003A1A2E">
        <w:t xml:space="preserve"> during walking (i.e. </w:t>
      </w:r>
      <w:r w:rsidR="00AF4644" w:rsidRPr="003A1A2E">
        <w:t>prolonged</w:t>
      </w:r>
      <w:r w:rsidR="000D7916" w:rsidRPr="003A1A2E">
        <w:t xml:space="preserve"> activation </w:t>
      </w:r>
      <w:r w:rsidR="00AF4644" w:rsidRPr="003A1A2E">
        <w:t>of gluteus minimus and gluteus medius</w:t>
      </w:r>
      <w:r w:rsidR="008D7133" w:rsidRPr="003A1A2E">
        <w:t>),</w:t>
      </w:r>
      <w:r w:rsidR="00AF4644" w:rsidRPr="003A1A2E">
        <w:t xml:space="preserve"> </w:t>
      </w:r>
      <w:r w:rsidR="000D7916" w:rsidRPr="003A1A2E">
        <w:t xml:space="preserve">in </w:t>
      </w:r>
      <w:r w:rsidR="008D7133" w:rsidRPr="003A1A2E">
        <w:t xml:space="preserve">individuals with </w:t>
      </w:r>
      <w:r w:rsidR="000D7916" w:rsidRPr="003A1A2E">
        <w:t>gluteal tendinopathy</w:t>
      </w:r>
      <w:r w:rsidR="00F14628" w:rsidRPr="003A1A2E">
        <w:t>. I</w:t>
      </w:r>
      <w:r w:rsidR="002265B0" w:rsidRPr="003A1A2E">
        <w:t xml:space="preserve">f soleus </w:t>
      </w:r>
      <w:r w:rsidR="00453968" w:rsidRPr="003A1A2E">
        <w:t xml:space="preserve">force production </w:t>
      </w:r>
      <w:r w:rsidR="00EF34FA" w:rsidRPr="003A1A2E">
        <w:t>were</w:t>
      </w:r>
      <w:r w:rsidR="005D79A6" w:rsidRPr="003A1A2E">
        <w:t xml:space="preserve"> </w:t>
      </w:r>
      <w:r w:rsidR="002265B0" w:rsidRPr="003A1A2E">
        <w:t>affected in runners with AT,</w:t>
      </w:r>
      <w:r w:rsidR="00A95A20" w:rsidRPr="003A1A2E">
        <w:t xml:space="preserve"> </w:t>
      </w:r>
      <w:r w:rsidR="00A95A20" w:rsidRPr="003A1A2E">
        <w:rPr>
          <w:iCs/>
        </w:rPr>
        <w:t>soleus</w:t>
      </w:r>
      <w:r w:rsidR="00A95A20" w:rsidRPr="003A1A2E">
        <w:t xml:space="preserve"> motor neuron</w:t>
      </w:r>
      <w:r w:rsidR="008D56F5" w:rsidRPr="003A1A2E">
        <w:t>e intrinsic</w:t>
      </w:r>
      <w:r w:rsidR="00A95A20" w:rsidRPr="003A1A2E">
        <w:t xml:space="preserve"> excitability </w:t>
      </w:r>
      <w:r w:rsidR="008D56F5" w:rsidRPr="003A1A2E">
        <w:t xml:space="preserve">(i.e. </w:t>
      </w:r>
      <w:r w:rsidR="002265B0" w:rsidRPr="003A1A2E">
        <w:t>PICs</w:t>
      </w:r>
      <w:r w:rsidR="008D56F5" w:rsidRPr="003A1A2E">
        <w:t xml:space="preserve">) </w:t>
      </w:r>
      <w:r>
        <w:t>would</w:t>
      </w:r>
      <w:r w:rsidR="00FF6927" w:rsidRPr="003A1A2E">
        <w:t xml:space="preserve"> have </w:t>
      </w:r>
      <w:r w:rsidR="005D79A6" w:rsidRPr="003A1A2E">
        <w:t>be</w:t>
      </w:r>
      <w:r w:rsidR="00FF6927" w:rsidRPr="003A1A2E">
        <w:t>en</w:t>
      </w:r>
      <w:r w:rsidR="005D79A6" w:rsidRPr="003A1A2E">
        <w:t xml:space="preserve"> </w:t>
      </w:r>
      <w:r w:rsidR="00453968" w:rsidRPr="003A1A2E">
        <w:t>reduced</w:t>
      </w:r>
      <w:r w:rsidR="002265B0" w:rsidRPr="003A1A2E">
        <w:t xml:space="preserve">, but </w:t>
      </w:r>
      <w:r w:rsidR="00FF6927" w:rsidRPr="003A1A2E">
        <w:t xml:space="preserve">differences in plantarflexor force levels </w:t>
      </w:r>
      <w:r w:rsidR="00A3186A">
        <w:t>were</w:t>
      </w:r>
      <w:r w:rsidR="00A3186A" w:rsidRPr="003A1A2E">
        <w:t xml:space="preserve"> </w:t>
      </w:r>
      <w:r w:rsidR="002265B0" w:rsidRPr="003A1A2E">
        <w:t xml:space="preserve">not observed in this </w:t>
      </w:r>
      <w:r w:rsidR="00FF6927" w:rsidRPr="003A1A2E">
        <w:t>sample of participants</w:t>
      </w:r>
      <w:r w:rsidR="00453968" w:rsidRPr="003A1A2E">
        <w:t>.</w:t>
      </w:r>
      <w:r w:rsidR="00325416" w:rsidRPr="003A1A2E">
        <w:t xml:space="preserve"> </w:t>
      </w:r>
      <w:r w:rsidR="00F14628" w:rsidRPr="003A1A2E">
        <w:t>Perhaps</w:t>
      </w:r>
      <w:r w:rsidR="002265B0" w:rsidRPr="003A1A2E">
        <w:t xml:space="preserve"> </w:t>
      </w:r>
      <w:r w:rsidR="00F14628" w:rsidRPr="003A1A2E">
        <w:t xml:space="preserve">the </w:t>
      </w:r>
      <w:r w:rsidR="002265B0" w:rsidRPr="003A1A2E">
        <w:t xml:space="preserve">deficits in plantar flexor force </w:t>
      </w:r>
      <w:r w:rsidR="00F14628" w:rsidRPr="003A1A2E">
        <w:t>observed</w:t>
      </w:r>
      <w:r w:rsidR="00524180">
        <w:fldChar w:fldCharType="begin" w:fldLock="1"/>
      </w:r>
      <w:r w:rsidR="005827E6">
        <w:instrText>ADDIN CSL_CITATION {"citationItems":[{"id":"ITEM-1","itemData":{"DOI":"10.4085/1062-6050-43-18","ISBN":"4201502538","ISSN":"1938162X","PMID":"31386582","abstract":"Background: Persistent strength deficits secondary to Achilles tendinopathy (AT) have been postulated to account for difficulty engaging in tendon-loading movements, such as running and jumping, and may contribute to the increased risk of recurrence. To date, little consensus exists on the presence of strength deficits in AT. Consequently, researchers are uncertain about the appropriate methods of assessment that may inform rehabilitation in clinical practice. Objective: To evaluate and synthesize the literature investigating plantar-flexion (PF) strength in individuals with AT. Study Selection: Two independent reviewers searched 9 electronic databases using an agreed-upon set of key words. Data Extraction: Data were extracted from studies comparing strength measures (maximal, reactive, and explosive strength) between individuals with AT and healthy control participants or between the injured and uninjured sides of people with AT. The Critical Appraisal Skills Programme Case-Control Study Checklist was used to assess the risk of bias for the included studies. Data Synthesis: A total of 19 studies were eligible. Pooled meta-analyses for isokinetic dynamometry demonstrated reductions in maximal strength (concentric PF peak torque [PT] slow [Hedges g ¼ 0.52, 44% deficit], concentric PF PT fast [Hedges g ¼ 0.61, 38% deficit], and eccentric PF PT slow [Hedges g ¼ 0.26, 18% deficit]). Reactive strength, particularly during hopping, was also reduced (Hedges g range ¼ 0.32–2.61, 16%–35% deficit). For explosive strength, reductions in the rate of force development (Hedges g range ¼ 0.31–1.73, 10%–21% deficit) were observed, whereas the findings for ground reaction force varied but were not consistently altered. Conclusions: Individuals with AT demonstrated strength deficits compared with the uninjured side or with asymptomatic control participants. Deficits were reported across the strength spectrum for maximal, reactive, and explosive strength. Clinicians and researchers may need to adapt their assessment of Achilles tendon function, which may ultimately help to optimize rehabilitation outcomes.","author":[{"dropping-particle":"","family":"McAuliffe","given":"Seán","non-dropping-particle":"","parse-names":false,"suffix":""},{"dropping-particle":"","family":"Tabuena","given":"Ariane","non-dropping-particle":"","parse-names":false,"suffix":""},{"dropping-particle":"","family":"McCreesh","given":"Karen","non-dropping-particle":"","parse-names":false,"suffix":""},{"dropping-particle":"","family":"O’Keeffe","given":"Mary","non-dropping-particle":"","parse-names":false,"suffix":""},{"dropping-particle":"","family":"Hurley","given":"John","non-dropping-particle":"","parse-names":false,"suffix":""},{"dropping-particle":"","family":"Comyns","given":"Tom","non-dropping-particle":"","parse-names":false,"suffix":""},{"dropping-particle":"","family":"Purtill","given":"Helen","non-dropping-particle":"","parse-names":false,"suffix":""},{"dropping-particle":"","family":"O’Neill","given":"Seth","non-dropping-particle":"","parse-names":false,"suffix":""},{"dropping-particle":"","family":"O’Sullivan","given":"Kieran","non-dropping-particle":"","parse-names":false,"suffix":""}],"container-title":"Journal of Athletic Training","id":"ITEM-1","issue":"8","issued":{"date-parts":[["2019"]]},"page":"889-900","title":"Altered strength profile in Achilles tendinopathy: A systematic review and meta-analysis","type":"article-journal","volume":"54"},"uris":["http://www.mendeley.com/documents/?uuid=c6b7fe8c-16a6-4e2a-a200-0a5887931c17"]}],"mendeley":{"formattedCitation":"&lt;sup&gt;36&lt;/sup&gt;","plainTextFormattedCitation":"36","previouslyFormattedCitation":"&lt;sup&gt;37&lt;/sup&gt;"},"properties":{"noteIndex":0},"schema":"https://github.com/citation-style-language/schema/raw/master/csl-citation.json"}</w:instrText>
      </w:r>
      <w:r w:rsidR="00524180">
        <w:fldChar w:fldCharType="separate"/>
      </w:r>
      <w:r w:rsidR="005827E6" w:rsidRPr="005827E6">
        <w:rPr>
          <w:noProof/>
          <w:vertAlign w:val="superscript"/>
        </w:rPr>
        <w:t>36</w:t>
      </w:r>
      <w:r w:rsidR="00524180">
        <w:fldChar w:fldCharType="end"/>
      </w:r>
      <w:r w:rsidR="00F14628" w:rsidRPr="003A1A2E">
        <w:t xml:space="preserve"> in</w:t>
      </w:r>
      <w:r w:rsidR="002265B0" w:rsidRPr="003A1A2E">
        <w:t xml:space="preserve"> runners with AT might be a result of</w:t>
      </w:r>
      <w:r w:rsidR="00667F59" w:rsidRPr="003A1A2E">
        <w:t xml:space="preserve"> </w:t>
      </w:r>
      <w:r w:rsidR="002265B0" w:rsidRPr="003A1A2E">
        <w:t xml:space="preserve">changes </w:t>
      </w:r>
      <w:r w:rsidR="00667F59" w:rsidRPr="003A1A2E">
        <w:t xml:space="preserve">in motor neurone excitability </w:t>
      </w:r>
      <w:r w:rsidR="002265B0" w:rsidRPr="003A1A2E">
        <w:t>not in soleus, but in gastrocnemius lateralis and/or medialis</w:t>
      </w:r>
      <w:r w:rsidR="00437B6F" w:rsidRPr="003A1A2E">
        <w:t>.</w:t>
      </w:r>
    </w:p>
    <w:p w14:paraId="1148C11B" w14:textId="24D326DC" w:rsidR="00AB5FED" w:rsidRPr="003A1A2E" w:rsidRDefault="00033C56" w:rsidP="00FF6927">
      <w:pPr>
        <w:pStyle w:val="BodyA"/>
        <w:spacing w:after="0"/>
        <w:rPr>
          <w:rFonts w:ascii="Times New Roman" w:hAnsi="Times New Roman" w:cs="Times New Roman"/>
          <w:color w:val="auto"/>
          <w:sz w:val="24"/>
          <w:szCs w:val="24"/>
          <w:lang w:val="en-AU"/>
        </w:rPr>
      </w:pPr>
      <w:r w:rsidRPr="003A1A2E">
        <w:rPr>
          <w:rFonts w:ascii="Times New Roman" w:hAnsi="Times New Roman" w:cs="Times New Roman"/>
          <w:color w:val="auto"/>
          <w:sz w:val="24"/>
          <w:szCs w:val="24"/>
          <w:lang w:val="en-AU"/>
        </w:rPr>
        <w:t>T</w:t>
      </w:r>
      <w:r w:rsidR="00077CCC" w:rsidRPr="003A1A2E">
        <w:rPr>
          <w:rFonts w:ascii="Times New Roman" w:hAnsi="Times New Roman" w:cs="Times New Roman"/>
          <w:color w:val="auto"/>
          <w:sz w:val="24"/>
          <w:szCs w:val="24"/>
          <w:lang w:val="en-AU"/>
        </w:rPr>
        <w:t>he suggestion that</w:t>
      </w:r>
      <w:r w:rsidR="002F3123" w:rsidRPr="003A1A2E">
        <w:rPr>
          <w:rFonts w:ascii="Times New Roman" w:hAnsi="Times New Roman" w:cs="Times New Roman"/>
          <w:color w:val="auto"/>
          <w:sz w:val="24"/>
          <w:szCs w:val="24"/>
          <w:lang w:val="en-AU"/>
        </w:rPr>
        <w:t xml:space="preserve"> </w:t>
      </w:r>
      <w:r w:rsidR="00077CCC" w:rsidRPr="003A1A2E">
        <w:rPr>
          <w:rFonts w:ascii="Times New Roman" w:hAnsi="Times New Roman" w:cs="Times New Roman"/>
          <w:color w:val="auto"/>
          <w:sz w:val="24"/>
          <w:szCs w:val="24"/>
          <w:lang w:val="en-AU"/>
        </w:rPr>
        <w:t xml:space="preserve">soleus is the most involved muscle in </w:t>
      </w:r>
      <w:r w:rsidR="008D7133" w:rsidRPr="003A1A2E">
        <w:rPr>
          <w:rFonts w:ascii="Times New Roman" w:hAnsi="Times New Roman" w:cs="Times New Roman"/>
          <w:color w:val="auto"/>
          <w:sz w:val="24"/>
          <w:szCs w:val="24"/>
          <w:lang w:val="en-AU"/>
        </w:rPr>
        <w:t xml:space="preserve">the </w:t>
      </w:r>
      <w:r w:rsidR="00077CCC" w:rsidRPr="003A1A2E">
        <w:rPr>
          <w:rFonts w:ascii="Times New Roman" w:hAnsi="Times New Roman" w:cs="Times New Roman"/>
          <w:color w:val="auto"/>
          <w:sz w:val="24"/>
          <w:szCs w:val="24"/>
          <w:lang w:val="en-AU"/>
        </w:rPr>
        <w:t xml:space="preserve">deficits </w:t>
      </w:r>
      <w:r w:rsidR="000A390E" w:rsidRPr="003A1A2E">
        <w:rPr>
          <w:rFonts w:ascii="Times New Roman" w:hAnsi="Times New Roman" w:cs="Times New Roman"/>
          <w:color w:val="auto"/>
          <w:sz w:val="24"/>
          <w:szCs w:val="24"/>
          <w:lang w:val="en-AU"/>
        </w:rPr>
        <w:t xml:space="preserve">in plantar flexor torque </w:t>
      </w:r>
      <w:r w:rsidR="002F3123" w:rsidRPr="003A1A2E">
        <w:rPr>
          <w:rFonts w:ascii="Times New Roman" w:hAnsi="Times New Roman" w:cs="Times New Roman"/>
          <w:color w:val="auto"/>
          <w:sz w:val="24"/>
          <w:szCs w:val="24"/>
          <w:lang w:val="en-AU"/>
        </w:rPr>
        <w:t>in AT was</w:t>
      </w:r>
      <w:r w:rsidR="001734FD" w:rsidRPr="003A1A2E">
        <w:rPr>
          <w:rFonts w:ascii="Times New Roman" w:hAnsi="Times New Roman" w:cs="Times New Roman"/>
          <w:color w:val="auto"/>
          <w:sz w:val="24"/>
          <w:szCs w:val="24"/>
          <w:lang w:val="en-AU"/>
        </w:rPr>
        <w:t xml:space="preserve"> made based differences </w:t>
      </w:r>
      <w:r w:rsidR="008D7133" w:rsidRPr="003A1A2E">
        <w:rPr>
          <w:rFonts w:ascii="Times New Roman" w:hAnsi="Times New Roman" w:cs="Times New Roman"/>
          <w:color w:val="auto"/>
          <w:sz w:val="24"/>
          <w:szCs w:val="24"/>
          <w:lang w:val="en-AU"/>
        </w:rPr>
        <w:t>in</w:t>
      </w:r>
      <w:r w:rsidR="002F3123" w:rsidRPr="003A1A2E">
        <w:rPr>
          <w:rFonts w:ascii="Times New Roman" w:hAnsi="Times New Roman" w:cs="Times New Roman"/>
          <w:color w:val="auto"/>
          <w:sz w:val="24"/>
          <w:szCs w:val="24"/>
          <w:lang w:val="en-AU"/>
        </w:rPr>
        <w:t xml:space="preserve"> torque measures </w:t>
      </w:r>
      <w:r w:rsidR="003D6ECD" w:rsidRPr="003A1A2E">
        <w:rPr>
          <w:rFonts w:ascii="Times New Roman" w:hAnsi="Times New Roman" w:cs="Times New Roman"/>
          <w:color w:val="auto"/>
          <w:sz w:val="24"/>
          <w:szCs w:val="24"/>
          <w:lang w:val="en-AU"/>
        </w:rPr>
        <w:t>between</w:t>
      </w:r>
      <w:r w:rsidR="008C674F" w:rsidRPr="003A1A2E">
        <w:rPr>
          <w:rFonts w:ascii="Times New Roman" w:hAnsi="Times New Roman" w:cs="Times New Roman"/>
          <w:color w:val="auto"/>
          <w:sz w:val="24"/>
          <w:szCs w:val="24"/>
          <w:lang w:val="en-AU"/>
        </w:rPr>
        <w:t xml:space="preserve"> </w:t>
      </w:r>
      <w:r w:rsidR="002F3123" w:rsidRPr="003A1A2E">
        <w:rPr>
          <w:rFonts w:ascii="Times New Roman" w:hAnsi="Times New Roman" w:cs="Times New Roman"/>
          <w:color w:val="auto"/>
          <w:sz w:val="24"/>
          <w:szCs w:val="24"/>
          <w:lang w:val="en-AU"/>
        </w:rPr>
        <w:t xml:space="preserve">knee </w:t>
      </w:r>
      <w:r w:rsidR="00FE45F5" w:rsidRPr="003A1A2E">
        <w:rPr>
          <w:rFonts w:ascii="Times New Roman" w:hAnsi="Times New Roman" w:cs="Times New Roman"/>
          <w:color w:val="auto"/>
          <w:sz w:val="24"/>
          <w:szCs w:val="24"/>
          <w:lang w:val="en-AU"/>
        </w:rPr>
        <w:t>flexed</w:t>
      </w:r>
      <w:r w:rsidR="00077CCC" w:rsidRPr="003A1A2E">
        <w:rPr>
          <w:rFonts w:ascii="Times New Roman" w:hAnsi="Times New Roman" w:cs="Times New Roman"/>
          <w:color w:val="auto"/>
          <w:sz w:val="24"/>
          <w:szCs w:val="24"/>
          <w:lang w:val="en-AU"/>
        </w:rPr>
        <w:t xml:space="preserve"> and extended</w:t>
      </w:r>
      <w:r w:rsidR="00CF0C61" w:rsidRPr="003A1A2E">
        <w:rPr>
          <w:rFonts w:ascii="Times New Roman" w:hAnsi="Times New Roman" w:cs="Times New Roman"/>
        </w:rPr>
        <w:fldChar w:fldCharType="begin" w:fldLock="1"/>
      </w:r>
      <w:r w:rsidR="00ED6D66" w:rsidRPr="003A1A2E">
        <w:rPr>
          <w:rFonts w:ascii="Times New Roman" w:hAnsi="Times New Roman" w:cs="Times New Roman"/>
          <w:color w:val="auto"/>
          <w:sz w:val="24"/>
          <w:szCs w:val="24"/>
          <w:lang w:val="en-AU"/>
        </w:rPr>
        <w:instrText>ADDIN CSL_CITATION {"citationItems":[{"id":"ITEM-1","itemData":{"DOI":"10.1016/j.ptsp.2019.03.002","ISSN":"18731600","PMID":"30884279","abstract":"Objectives: Determine how the strength and endurance of the plantar flexors are affected by Achilles tendinopathy and whether one muscle is more affected than another. Design: Case control study. Setting: University Laboratory. Participants: 39 Runners with mid-portion Achilles tendinopathy and 38 healthy runners participated in this study. Main outcome measures: Isokinetic dynamometry was completed bilaterally in two knee positions on all subjects to assess the torque and endurance capacity of the plantar flexors. Results: Subjects with Achilles tendinopathy were statistically weaker (by 26.1Nm Concentric 90°/sec, 14,8Nm Concentric 225°/sec and 55.5Nm Eccentric 90°/sec for knee extended testing and 17.3Nm, 10.1Nm and 52.3Nm for the flexed knee respectively) than healthy controls at all isokinetic test speeds and contraction modes irrespective of knee position (p value = &lt;0.001). The endurance capacity of the plantar flexors was significantly reduced (Total work done 613.5Nm less) in subjects with Achilles tendinopathy when compared to the healthy controls (p value = &lt;0.001). Conclusions: Achilles tendinopathy is associated with large deficits in plantar flexor torque and endurance. The deficits are bilateral in nature and appear to be explained by a greater loss of the soleus force generating capacity rather than the gastrocnemius.","author":[{"dropping-particle":"","family":"O'Neill","given":"Seth","non-dropping-particle":"","parse-names":false,"suffix":""},{"dropping-particle":"","family":"Barry","given":"Simon","non-dropping-particle":"","parse-names":false,"suffix":""},{"dropping-particle":"","family":"Watson","given":"Paul","non-dropping-particle":"","parse-names":false,"suffix":""}],"container-title":"Physical Therapy in Sport","id":"ITEM-1","issued":{"date-parts":[["2019"]]},"page":"69-76","publisher":"Elsevier Ltd","title":"Plantarflexor strength and endurance deficits associated with mid-portion Achilles tendinopathy: The role of soleus","type":"article-journal","volume":"37"},"uris":["http://www.mendeley.com/documents/?uuid=39aa78e9-0163-498d-8c93-359b0cbff29a"]}],"mendeley":{"formattedCitation":"&lt;sup&gt;2&lt;/sup&gt;","plainTextFormattedCitation":"2","previouslyFormattedCitation":"&lt;sup&gt;2&lt;/sup&gt;"},"properties":{"noteIndex":0},"schema":"https://github.com/citation-style-language/schema/raw/master/csl-citation.json"}</w:instrText>
      </w:r>
      <w:r w:rsidR="00CF0C61" w:rsidRPr="003A1A2E">
        <w:rPr>
          <w:rFonts w:ascii="Times New Roman" w:hAnsi="Times New Roman" w:cs="Times New Roman"/>
        </w:rPr>
        <w:fldChar w:fldCharType="separate"/>
      </w:r>
      <w:r w:rsidR="00ED6D66" w:rsidRPr="003A1A2E">
        <w:rPr>
          <w:rFonts w:ascii="Times New Roman" w:hAnsi="Times New Roman" w:cs="Times New Roman"/>
          <w:noProof/>
          <w:color w:val="auto"/>
          <w:sz w:val="24"/>
          <w:szCs w:val="24"/>
          <w:vertAlign w:val="superscript"/>
          <w:lang w:val="en-AU"/>
        </w:rPr>
        <w:t>2</w:t>
      </w:r>
      <w:r w:rsidR="00CF0C61" w:rsidRPr="003A1A2E">
        <w:rPr>
          <w:rFonts w:ascii="Times New Roman" w:hAnsi="Times New Roman" w:cs="Times New Roman"/>
        </w:rPr>
        <w:fldChar w:fldCharType="end"/>
      </w:r>
      <w:r w:rsidR="00077CCC" w:rsidRPr="003A1A2E">
        <w:rPr>
          <w:rFonts w:ascii="Times New Roman" w:hAnsi="Times New Roman" w:cs="Times New Roman"/>
          <w:color w:val="auto"/>
          <w:sz w:val="24"/>
          <w:szCs w:val="24"/>
          <w:lang w:val="en-AU"/>
        </w:rPr>
        <w:t>. However, this analys</w:t>
      </w:r>
      <w:r w:rsidR="00AF011E" w:rsidRPr="003A1A2E">
        <w:rPr>
          <w:rFonts w:ascii="Times New Roman" w:hAnsi="Times New Roman" w:cs="Times New Roman"/>
          <w:color w:val="auto"/>
          <w:sz w:val="24"/>
          <w:szCs w:val="24"/>
          <w:lang w:val="en-AU"/>
        </w:rPr>
        <w:t xml:space="preserve">is </w:t>
      </w:r>
      <w:r w:rsidR="00273762" w:rsidRPr="003A1A2E">
        <w:rPr>
          <w:rFonts w:ascii="Times New Roman" w:hAnsi="Times New Roman" w:cs="Times New Roman"/>
          <w:color w:val="auto"/>
          <w:sz w:val="24"/>
          <w:szCs w:val="24"/>
          <w:lang w:val="en-AU"/>
        </w:rPr>
        <w:t>is</w:t>
      </w:r>
      <w:r w:rsidR="00AF011E" w:rsidRPr="003A1A2E">
        <w:rPr>
          <w:rFonts w:ascii="Times New Roman" w:hAnsi="Times New Roman" w:cs="Times New Roman"/>
          <w:color w:val="auto"/>
          <w:sz w:val="24"/>
          <w:szCs w:val="24"/>
          <w:lang w:val="en-AU"/>
        </w:rPr>
        <w:t xml:space="preserve"> limited to</w:t>
      </w:r>
      <w:r w:rsidR="00077CCC" w:rsidRPr="003A1A2E">
        <w:rPr>
          <w:rFonts w:ascii="Times New Roman" w:hAnsi="Times New Roman" w:cs="Times New Roman"/>
          <w:color w:val="auto"/>
          <w:sz w:val="24"/>
          <w:szCs w:val="24"/>
          <w:lang w:val="en-AU"/>
        </w:rPr>
        <w:t xml:space="preserve"> </w:t>
      </w:r>
      <w:r w:rsidR="003D6ECD" w:rsidRPr="003A1A2E">
        <w:rPr>
          <w:rFonts w:ascii="Times New Roman" w:hAnsi="Times New Roman" w:cs="Times New Roman"/>
          <w:color w:val="auto"/>
          <w:sz w:val="24"/>
          <w:szCs w:val="24"/>
          <w:lang w:val="en-AU"/>
        </w:rPr>
        <w:t>torque</w:t>
      </w:r>
      <w:r w:rsidR="00077CCC" w:rsidRPr="003A1A2E">
        <w:rPr>
          <w:rFonts w:ascii="Times New Roman" w:hAnsi="Times New Roman" w:cs="Times New Roman"/>
          <w:color w:val="auto"/>
          <w:sz w:val="24"/>
          <w:szCs w:val="24"/>
          <w:lang w:val="en-AU"/>
        </w:rPr>
        <w:t xml:space="preserve"> </w:t>
      </w:r>
      <w:r w:rsidR="001F488E" w:rsidRPr="003A1A2E">
        <w:rPr>
          <w:rFonts w:ascii="Times New Roman" w:hAnsi="Times New Roman" w:cs="Times New Roman"/>
          <w:color w:val="auto"/>
          <w:sz w:val="24"/>
          <w:szCs w:val="24"/>
          <w:lang w:val="en-AU"/>
        </w:rPr>
        <w:t>output,</w:t>
      </w:r>
      <w:r w:rsidR="00077CCC" w:rsidRPr="003A1A2E">
        <w:rPr>
          <w:rFonts w:ascii="Times New Roman" w:hAnsi="Times New Roman" w:cs="Times New Roman"/>
          <w:color w:val="auto"/>
          <w:sz w:val="24"/>
          <w:szCs w:val="24"/>
          <w:lang w:val="en-AU"/>
        </w:rPr>
        <w:t xml:space="preserve"> </w:t>
      </w:r>
      <w:r w:rsidR="00D65BD2" w:rsidRPr="003A1A2E">
        <w:rPr>
          <w:rFonts w:ascii="Times New Roman" w:hAnsi="Times New Roman" w:cs="Times New Roman"/>
          <w:color w:val="auto"/>
          <w:sz w:val="24"/>
          <w:szCs w:val="24"/>
          <w:lang w:val="en-AU"/>
        </w:rPr>
        <w:t>and</w:t>
      </w:r>
      <w:r w:rsidR="00207634" w:rsidRPr="003A1A2E">
        <w:rPr>
          <w:rFonts w:ascii="Times New Roman" w:hAnsi="Times New Roman" w:cs="Times New Roman"/>
          <w:color w:val="auto"/>
          <w:sz w:val="24"/>
          <w:szCs w:val="24"/>
          <w:lang w:val="en-AU"/>
        </w:rPr>
        <w:t xml:space="preserve"> it</w:t>
      </w:r>
      <w:r w:rsidR="00D65BD2" w:rsidRPr="003A1A2E">
        <w:rPr>
          <w:rFonts w:ascii="Times New Roman" w:hAnsi="Times New Roman" w:cs="Times New Roman"/>
          <w:color w:val="auto"/>
          <w:sz w:val="24"/>
          <w:szCs w:val="24"/>
          <w:lang w:val="en-AU"/>
        </w:rPr>
        <w:t xml:space="preserve"> </w:t>
      </w:r>
      <w:r w:rsidR="005D79A6" w:rsidRPr="003A1A2E">
        <w:rPr>
          <w:rFonts w:ascii="Times New Roman" w:hAnsi="Times New Roman" w:cs="Times New Roman"/>
          <w:color w:val="auto"/>
          <w:sz w:val="24"/>
          <w:szCs w:val="24"/>
          <w:lang w:val="en-AU"/>
        </w:rPr>
        <w:t>neglect</w:t>
      </w:r>
      <w:r w:rsidR="00B35A51" w:rsidRPr="003A1A2E">
        <w:rPr>
          <w:rFonts w:ascii="Times New Roman" w:hAnsi="Times New Roman" w:cs="Times New Roman"/>
          <w:color w:val="auto"/>
          <w:sz w:val="24"/>
          <w:szCs w:val="24"/>
          <w:lang w:val="en-AU"/>
        </w:rPr>
        <w:t>s</w:t>
      </w:r>
      <w:r w:rsidR="005D79A6" w:rsidRPr="003A1A2E">
        <w:rPr>
          <w:rFonts w:ascii="Times New Roman" w:hAnsi="Times New Roman" w:cs="Times New Roman"/>
          <w:color w:val="auto"/>
          <w:sz w:val="24"/>
          <w:szCs w:val="24"/>
          <w:lang w:val="en-AU"/>
        </w:rPr>
        <w:t xml:space="preserve"> some</w:t>
      </w:r>
      <w:r w:rsidR="00077CCC" w:rsidRPr="003A1A2E">
        <w:rPr>
          <w:rFonts w:ascii="Times New Roman" w:hAnsi="Times New Roman" w:cs="Times New Roman"/>
          <w:color w:val="auto"/>
          <w:sz w:val="24"/>
          <w:szCs w:val="24"/>
          <w:lang w:val="en-AU"/>
        </w:rPr>
        <w:t xml:space="preserve"> neurophysiological mechanisms </w:t>
      </w:r>
      <w:r w:rsidR="008C674F" w:rsidRPr="003A1A2E">
        <w:rPr>
          <w:rFonts w:ascii="Times New Roman" w:hAnsi="Times New Roman" w:cs="Times New Roman"/>
          <w:color w:val="auto"/>
          <w:sz w:val="24"/>
          <w:szCs w:val="24"/>
          <w:lang w:val="en-AU"/>
        </w:rPr>
        <w:t xml:space="preserve">that </w:t>
      </w:r>
      <w:r w:rsidR="001B1C70" w:rsidRPr="003A1A2E">
        <w:rPr>
          <w:rFonts w:ascii="Times New Roman" w:hAnsi="Times New Roman" w:cs="Times New Roman"/>
          <w:color w:val="auto"/>
          <w:sz w:val="24"/>
          <w:szCs w:val="24"/>
          <w:lang w:val="en-AU"/>
        </w:rPr>
        <w:t>enable</w:t>
      </w:r>
      <w:r w:rsidR="008C674F" w:rsidRPr="003A1A2E">
        <w:rPr>
          <w:rFonts w:ascii="Times New Roman" w:hAnsi="Times New Roman" w:cs="Times New Roman"/>
          <w:color w:val="auto"/>
          <w:sz w:val="24"/>
          <w:szCs w:val="24"/>
          <w:lang w:val="en-AU"/>
        </w:rPr>
        <w:t xml:space="preserve"> </w:t>
      </w:r>
      <w:r w:rsidR="00077CCC" w:rsidRPr="003A1A2E">
        <w:rPr>
          <w:rFonts w:ascii="Times New Roman" w:hAnsi="Times New Roman" w:cs="Times New Roman"/>
          <w:color w:val="auto"/>
          <w:sz w:val="24"/>
          <w:szCs w:val="24"/>
          <w:lang w:val="en-AU"/>
        </w:rPr>
        <w:t>force production. Perhaps,</w:t>
      </w:r>
      <w:r w:rsidR="001B1C70" w:rsidRPr="003A1A2E">
        <w:rPr>
          <w:rFonts w:ascii="Times New Roman" w:hAnsi="Times New Roman" w:cs="Times New Roman"/>
          <w:color w:val="auto"/>
          <w:sz w:val="24"/>
          <w:szCs w:val="24"/>
          <w:lang w:val="en-AU"/>
        </w:rPr>
        <w:t xml:space="preserve"> the</w:t>
      </w:r>
      <w:r w:rsidR="00077CCC" w:rsidRPr="003A1A2E">
        <w:rPr>
          <w:rFonts w:ascii="Times New Roman" w:hAnsi="Times New Roman" w:cs="Times New Roman"/>
          <w:color w:val="auto"/>
          <w:sz w:val="24"/>
          <w:szCs w:val="24"/>
          <w:lang w:val="en-AU"/>
        </w:rPr>
        <w:t xml:space="preserve"> deficits</w:t>
      </w:r>
      <w:r w:rsidR="001B1C70" w:rsidRPr="003A1A2E">
        <w:rPr>
          <w:rFonts w:ascii="Times New Roman" w:hAnsi="Times New Roman" w:cs="Times New Roman"/>
          <w:color w:val="auto"/>
          <w:sz w:val="24"/>
          <w:szCs w:val="24"/>
          <w:lang w:val="en-AU"/>
        </w:rPr>
        <w:t xml:space="preserve"> in </w:t>
      </w:r>
      <w:r w:rsidR="002F3123" w:rsidRPr="003A1A2E">
        <w:rPr>
          <w:rFonts w:ascii="Times New Roman" w:hAnsi="Times New Roman" w:cs="Times New Roman"/>
          <w:color w:val="auto"/>
          <w:sz w:val="24"/>
          <w:szCs w:val="24"/>
          <w:lang w:val="en-AU"/>
        </w:rPr>
        <w:t>torque</w:t>
      </w:r>
      <w:r w:rsidR="001B1C70" w:rsidRPr="003A1A2E">
        <w:rPr>
          <w:rFonts w:ascii="Times New Roman" w:hAnsi="Times New Roman" w:cs="Times New Roman"/>
          <w:color w:val="auto"/>
          <w:sz w:val="24"/>
          <w:szCs w:val="24"/>
          <w:lang w:val="en-AU"/>
        </w:rPr>
        <w:t xml:space="preserve"> observed</w:t>
      </w:r>
      <w:r w:rsidR="00207634" w:rsidRPr="003A1A2E">
        <w:rPr>
          <w:rFonts w:ascii="Times New Roman" w:hAnsi="Times New Roman" w:cs="Times New Roman"/>
          <w:color w:val="auto"/>
          <w:sz w:val="24"/>
          <w:szCs w:val="24"/>
          <w:lang w:val="en-AU"/>
        </w:rPr>
        <w:t xml:space="preserve"> in this group</w:t>
      </w:r>
      <w:r w:rsidR="00017CBB" w:rsidRPr="003A1A2E">
        <w:rPr>
          <w:rFonts w:ascii="Times New Roman" w:hAnsi="Times New Roman" w:cs="Times New Roman"/>
          <w:color w:val="auto"/>
          <w:sz w:val="24"/>
          <w:szCs w:val="24"/>
          <w:lang w:val="en-AU"/>
        </w:rPr>
        <w:t xml:space="preserve"> </w:t>
      </w:r>
      <w:r w:rsidR="00077CCC" w:rsidRPr="003A1A2E">
        <w:rPr>
          <w:rFonts w:ascii="Times New Roman" w:hAnsi="Times New Roman" w:cs="Times New Roman"/>
          <w:color w:val="auto"/>
          <w:sz w:val="24"/>
          <w:szCs w:val="24"/>
          <w:lang w:val="en-AU"/>
        </w:rPr>
        <w:t xml:space="preserve">are </w:t>
      </w:r>
      <w:r w:rsidR="009416C1" w:rsidRPr="003A1A2E">
        <w:rPr>
          <w:rFonts w:ascii="Times New Roman" w:hAnsi="Times New Roman" w:cs="Times New Roman"/>
          <w:color w:val="auto"/>
          <w:sz w:val="24"/>
          <w:szCs w:val="24"/>
          <w:lang w:val="en-AU"/>
        </w:rPr>
        <w:t>present</w:t>
      </w:r>
      <w:r w:rsidR="00077CCC" w:rsidRPr="003A1A2E">
        <w:rPr>
          <w:rFonts w:ascii="Times New Roman" w:hAnsi="Times New Roman" w:cs="Times New Roman"/>
          <w:color w:val="auto"/>
          <w:sz w:val="24"/>
          <w:szCs w:val="24"/>
          <w:lang w:val="en-AU"/>
        </w:rPr>
        <w:t xml:space="preserve"> in</w:t>
      </w:r>
      <w:r w:rsidR="00017CBB" w:rsidRPr="003A1A2E">
        <w:rPr>
          <w:rFonts w:ascii="Times New Roman" w:hAnsi="Times New Roman" w:cs="Times New Roman"/>
          <w:color w:val="auto"/>
          <w:sz w:val="24"/>
          <w:szCs w:val="24"/>
          <w:lang w:val="en-AU"/>
        </w:rPr>
        <w:t xml:space="preserve"> other muscles (i.e. </w:t>
      </w:r>
      <w:r w:rsidR="0011111E" w:rsidRPr="003A1A2E">
        <w:rPr>
          <w:rFonts w:ascii="Times New Roman" w:hAnsi="Times New Roman" w:cs="Times New Roman"/>
          <w:color w:val="auto"/>
          <w:sz w:val="24"/>
          <w:szCs w:val="24"/>
          <w:lang w:val="en-AU"/>
        </w:rPr>
        <w:t>g</w:t>
      </w:r>
      <w:r w:rsidR="00017CBB" w:rsidRPr="003A1A2E">
        <w:rPr>
          <w:rFonts w:ascii="Times New Roman" w:hAnsi="Times New Roman" w:cs="Times New Roman"/>
          <w:color w:val="auto"/>
          <w:sz w:val="24"/>
          <w:szCs w:val="24"/>
          <w:lang w:val="en-AU"/>
        </w:rPr>
        <w:t>astrocnemius lateralis and/or medialis)</w:t>
      </w:r>
      <w:r w:rsidR="00AF011E" w:rsidRPr="003A1A2E">
        <w:rPr>
          <w:rFonts w:ascii="Times New Roman" w:hAnsi="Times New Roman" w:cs="Times New Roman"/>
          <w:color w:val="auto"/>
          <w:sz w:val="24"/>
          <w:szCs w:val="24"/>
          <w:lang w:val="en-AU"/>
        </w:rPr>
        <w:t xml:space="preserve"> </w:t>
      </w:r>
      <w:r w:rsidR="00207634" w:rsidRPr="003A1A2E">
        <w:rPr>
          <w:rFonts w:ascii="Times New Roman" w:hAnsi="Times New Roman" w:cs="Times New Roman"/>
          <w:color w:val="auto"/>
          <w:sz w:val="24"/>
          <w:szCs w:val="24"/>
          <w:lang w:val="en-AU"/>
        </w:rPr>
        <w:t>rather</w:t>
      </w:r>
      <w:r w:rsidR="00017CBB" w:rsidRPr="003A1A2E">
        <w:rPr>
          <w:rFonts w:ascii="Times New Roman" w:hAnsi="Times New Roman" w:cs="Times New Roman"/>
          <w:color w:val="auto"/>
          <w:sz w:val="24"/>
          <w:szCs w:val="24"/>
          <w:lang w:val="en-AU"/>
        </w:rPr>
        <w:t xml:space="preserve"> </w:t>
      </w:r>
      <w:r w:rsidR="006D418B" w:rsidRPr="003A1A2E">
        <w:rPr>
          <w:rFonts w:ascii="Times New Roman" w:hAnsi="Times New Roman" w:cs="Times New Roman"/>
          <w:color w:val="auto"/>
          <w:sz w:val="24"/>
          <w:szCs w:val="24"/>
          <w:lang w:val="en-AU"/>
        </w:rPr>
        <w:t>than</w:t>
      </w:r>
      <w:r w:rsidR="00017CBB" w:rsidRPr="003A1A2E">
        <w:rPr>
          <w:rFonts w:ascii="Times New Roman" w:hAnsi="Times New Roman" w:cs="Times New Roman"/>
          <w:color w:val="auto"/>
          <w:sz w:val="24"/>
          <w:szCs w:val="24"/>
          <w:lang w:val="en-AU"/>
        </w:rPr>
        <w:t xml:space="preserve"> </w:t>
      </w:r>
      <w:r w:rsidR="0011111E" w:rsidRPr="003A1A2E">
        <w:rPr>
          <w:rFonts w:ascii="Times New Roman" w:hAnsi="Times New Roman" w:cs="Times New Roman"/>
          <w:iCs/>
          <w:color w:val="auto"/>
          <w:sz w:val="24"/>
          <w:szCs w:val="24"/>
          <w:lang w:val="en-AU"/>
        </w:rPr>
        <w:t>soleus</w:t>
      </w:r>
      <w:r w:rsidR="00017CBB" w:rsidRPr="003A1A2E">
        <w:rPr>
          <w:rFonts w:ascii="Times New Roman" w:hAnsi="Times New Roman" w:cs="Times New Roman"/>
          <w:color w:val="auto"/>
          <w:sz w:val="24"/>
          <w:szCs w:val="24"/>
          <w:lang w:val="en-AU"/>
        </w:rPr>
        <w:t>.</w:t>
      </w:r>
      <w:r w:rsidR="00340E50" w:rsidRPr="003A1A2E">
        <w:rPr>
          <w:rFonts w:ascii="Times New Roman" w:hAnsi="Times New Roman" w:cs="Times New Roman"/>
          <w:color w:val="auto"/>
          <w:sz w:val="24"/>
          <w:szCs w:val="24"/>
          <w:lang w:val="en-AU"/>
        </w:rPr>
        <w:t xml:space="preserve"> </w:t>
      </w:r>
      <w:r w:rsidR="00D64AF2">
        <w:rPr>
          <w:rFonts w:ascii="Times New Roman" w:hAnsi="Times New Roman" w:cs="Times New Roman"/>
          <w:color w:val="auto"/>
          <w:sz w:val="24"/>
          <w:szCs w:val="24"/>
        </w:rPr>
        <w:t>As individual</w:t>
      </w:r>
      <w:r w:rsidR="005811A7" w:rsidRPr="003A1A2E">
        <w:rPr>
          <w:rFonts w:ascii="Times New Roman" w:hAnsi="Times New Roman" w:cs="Times New Roman"/>
          <w:color w:val="auto"/>
          <w:sz w:val="24"/>
          <w:szCs w:val="24"/>
        </w:rPr>
        <w:t xml:space="preserve"> muscles of the triceps surae receive independent neural drive</w:t>
      </w:r>
      <w:r w:rsidR="005811A7" w:rsidRPr="003A1A2E">
        <w:rPr>
          <w:rFonts w:ascii="Times New Roman" w:hAnsi="Times New Roman" w:cs="Times New Roman"/>
        </w:rPr>
        <w:fldChar w:fldCharType="begin" w:fldLock="1"/>
      </w:r>
      <w:r w:rsidR="005827E6">
        <w:rPr>
          <w:rFonts w:ascii="Times New Roman" w:hAnsi="Times New Roman" w:cs="Times New Roman"/>
          <w:color w:val="auto"/>
          <w:sz w:val="24"/>
          <w:szCs w:val="24"/>
        </w:rPr>
        <w:instrText>ADDIN CSL_CITATION {"citationItems":[{"id":"ITEM-1","itemData":{"DOI":"10.1152/japplphysiol.00635.2020","ISSN":"1522-1601","PMID":"33242301","abstract":"It has been proposed that movements are produced through groups of muscles, or motor modules, activated by common neural commands. However, the neural origin of motor modules is still debated. Here, we used complementary approaches to determine: i) whether three muscles of the same muscle group (soleus, gastrocnemius medialis [GM] and lateralis [GL]) are activated by a common neural drive ; and ii) whether the neural drive to GM and GL could be differentially modified by altering the mechanical requirements of the task. Eighteen human participants performed an isometric standing heel raise and submaximal isometric plantarflexions (10%, 30%, 50% of maximal effort). High-density surface electromyography recordings were decomposed into motor unit action potentials and coherence analysis was applied on the motor units spike trains. We identified strong common drive to each muscle, but minimal common drive between the muscles. Further, large between-muscle differences were observed during the isometric plantarflexions, such as a delayed recruitment time of GL compared to GM and soleus motor units and opposite time-dependent changes in the estimates of neural drive to muscles during the torque plateau. Finally, the feet position adopted during the heel raise task (neutral vs internally rotated) affected only the GL neural drive with no change for GM. These results provide conclusive that not all anatomically defined synergist muscles are controlled by strong common neural drive. Independent drive to some muscles from the same muscle group may allow for more flexible control to comply with secondary goals such as joint stabilization.","author":[{"dropping-particle":"","family":"Hug","given":"François","non-dropping-particle":"","parse-names":false,"suffix":""},{"dropping-particle":"","family":"Vecchio","given":"Alessandro","non-dropping-particle":"Del","parse-names":false,"suffix":""},{"dropping-particle":"","family":"Avrillon","given":"Simon","non-dropping-particle":"","parse-names":false,"suffix":""},{"dropping-particle":"","family":"Farina","given":"Dario","non-dropping-particle":"","parse-names":false,"suffix":""},{"dropping-particle":"","family":"Tucker","given":"Kylie J","non-dropping-particle":"","parse-names":false,"suffix":""}],"container-title":"Journal of applied physiology (Bethesda, Md. : 1985)","id":"ITEM-1","issued":{"date-parts":[["2020"]]},"title":"Muscles from the same muscle group do not necessarily share common drive: evidence from the human triceps surae.","type":"article-journal"},"uris":["http://www.mendeley.com/documents/?uuid=faa6ac34-3783-4bdd-9b1c-39762a630ec6"]}],"mendeley":{"formattedCitation":"&lt;sup&gt;37&lt;/sup&gt;","plainTextFormattedCitation":"37","previouslyFormattedCitation":"&lt;sup&gt;38&lt;/sup&gt;"},"properties":{"noteIndex":0},"schema":"https://github.com/citation-style-language/schema/raw/master/csl-citation.json"}</w:instrText>
      </w:r>
      <w:r w:rsidR="005811A7" w:rsidRPr="003A1A2E">
        <w:rPr>
          <w:rFonts w:ascii="Times New Roman" w:hAnsi="Times New Roman" w:cs="Times New Roman"/>
        </w:rPr>
        <w:fldChar w:fldCharType="separate"/>
      </w:r>
      <w:r w:rsidR="005827E6" w:rsidRPr="005827E6">
        <w:rPr>
          <w:rFonts w:ascii="Times New Roman" w:hAnsi="Times New Roman" w:cs="Times New Roman"/>
          <w:noProof/>
          <w:color w:val="auto"/>
          <w:sz w:val="24"/>
          <w:szCs w:val="24"/>
          <w:vertAlign w:val="superscript"/>
        </w:rPr>
        <w:t>37</w:t>
      </w:r>
      <w:r w:rsidR="005811A7" w:rsidRPr="003A1A2E">
        <w:rPr>
          <w:rFonts w:ascii="Times New Roman" w:hAnsi="Times New Roman" w:cs="Times New Roman"/>
        </w:rPr>
        <w:fldChar w:fldCharType="end"/>
      </w:r>
      <w:r w:rsidR="005811A7" w:rsidRPr="003A1A2E">
        <w:rPr>
          <w:rFonts w:ascii="Times New Roman" w:hAnsi="Times New Roman" w:cs="Times New Roman"/>
          <w:color w:val="auto"/>
          <w:sz w:val="24"/>
          <w:szCs w:val="24"/>
        </w:rPr>
        <w:t xml:space="preserve">, we can </w:t>
      </w:r>
      <w:r w:rsidR="005811A7" w:rsidRPr="003A1A2E">
        <w:rPr>
          <w:rFonts w:ascii="Times New Roman" w:hAnsi="Times New Roman" w:cs="Times New Roman"/>
          <w:color w:val="auto"/>
          <w:sz w:val="24"/>
          <w:szCs w:val="24"/>
        </w:rPr>
        <w:lastRenderedPageBreak/>
        <w:t>hypothesise that the impact from increased inhibitory output from increased intracortical inhibition</w:t>
      </w:r>
      <w:r w:rsidR="005811A7" w:rsidRPr="003A1A2E">
        <w:rPr>
          <w:rFonts w:ascii="Times New Roman" w:hAnsi="Times New Roman" w:cs="Times New Roman"/>
        </w:rPr>
        <w:fldChar w:fldCharType="begin" w:fldLock="1"/>
      </w:r>
      <w:r w:rsidR="005811A7" w:rsidRPr="003A1A2E">
        <w:rPr>
          <w:rFonts w:ascii="Times New Roman" w:hAnsi="Times New Roman" w:cs="Times New Roman"/>
          <w:color w:val="auto"/>
          <w:sz w:val="24"/>
          <w:szCs w:val="24"/>
        </w:rPr>
        <w:instrText>ADDIN CSL_CITATION {"citationItems":[{"id":"ITEM-1","itemData":{"DOI":"10.1111/sms.14111","ISSN":"0905-7188","author":[{"dropping-particle":"","family":"Fernandes","given":"Gabriel L.","non-dropping-particle":"","parse-names":false,"suffix":""},{"dropping-particle":"","family":"Orssatto","given":"Lucas B. R.","non-dropping-particle":"","parse-names":false,"suffix":""},{"dropping-particle":"","family":"Shield","given":"Anthony J.","non-dropping-particle":"","parse-names":false,"suffix":""},{"dropping-particle":"","family":"Trajano","given":"Gabriel S.","non-dropping-particle":"","parse-names":false,"suffix":""}],"container-title":"Scandinavian Journal of Medicine &amp; Science in Sports","id":"ITEM-1","issued":{"date-parts":[["2021"]]},"page":"1-18","title":"Runners with mid‐portion Achilles tendinopathy have greater triceps surae intracortical inhibition than healthy controls","type":"article-journal"},"uris":["http://www.mendeley.com/documents/?uuid=985b014d-8ecf-4ccf-8f5c-2d891a3ac9cd"]}],"mendeley":{"formattedCitation":"&lt;sup&gt;15&lt;/sup&gt;","plainTextFormattedCitation":"15","previouslyFormattedCitation":"&lt;sup&gt;15&lt;/sup&gt;"},"properties":{"noteIndex":0},"schema":"https://github.com/citation-style-language/schema/raw/master/csl-citation.json"}</w:instrText>
      </w:r>
      <w:r w:rsidR="005811A7" w:rsidRPr="003A1A2E">
        <w:rPr>
          <w:rFonts w:ascii="Times New Roman" w:hAnsi="Times New Roman" w:cs="Times New Roman"/>
        </w:rPr>
        <w:fldChar w:fldCharType="separate"/>
      </w:r>
      <w:r w:rsidR="005811A7" w:rsidRPr="003A1A2E">
        <w:rPr>
          <w:rFonts w:ascii="Times New Roman" w:hAnsi="Times New Roman" w:cs="Times New Roman"/>
          <w:noProof/>
          <w:color w:val="auto"/>
          <w:sz w:val="24"/>
          <w:szCs w:val="24"/>
          <w:vertAlign w:val="superscript"/>
        </w:rPr>
        <w:t>15</w:t>
      </w:r>
      <w:r w:rsidR="005811A7" w:rsidRPr="003A1A2E">
        <w:rPr>
          <w:rFonts w:ascii="Times New Roman" w:hAnsi="Times New Roman" w:cs="Times New Roman"/>
        </w:rPr>
        <w:fldChar w:fldCharType="end"/>
      </w:r>
      <w:r w:rsidR="005811A7" w:rsidRPr="003A1A2E">
        <w:rPr>
          <w:rFonts w:ascii="Times New Roman" w:hAnsi="Times New Roman" w:cs="Times New Roman"/>
          <w:color w:val="auto"/>
          <w:sz w:val="24"/>
          <w:szCs w:val="24"/>
        </w:rPr>
        <w:t xml:space="preserve"> in runners with AT, may not be affecting all three muscles the same way.</w:t>
      </w:r>
      <w:r w:rsidR="00FF6927" w:rsidRPr="003A1A2E">
        <w:rPr>
          <w:rFonts w:ascii="Times New Roman" w:hAnsi="Times New Roman" w:cs="Times New Roman"/>
          <w:color w:val="auto"/>
          <w:sz w:val="24"/>
          <w:szCs w:val="24"/>
          <w:lang w:val="en-AU"/>
        </w:rPr>
        <w:t xml:space="preserve"> </w:t>
      </w:r>
      <w:r w:rsidR="005811A7" w:rsidRPr="003A1A2E">
        <w:rPr>
          <w:rFonts w:ascii="Times New Roman" w:hAnsi="Times New Roman" w:cs="Times New Roman"/>
          <w:color w:val="auto"/>
          <w:sz w:val="24"/>
          <w:szCs w:val="24"/>
          <w:lang w:val="en-AU"/>
        </w:rPr>
        <w:t>In fact</w:t>
      </w:r>
      <w:r w:rsidR="00AB5FED" w:rsidRPr="003A1A2E">
        <w:rPr>
          <w:rFonts w:ascii="Times New Roman" w:hAnsi="Times New Roman" w:cs="Times New Roman"/>
          <w:color w:val="auto"/>
          <w:sz w:val="24"/>
          <w:szCs w:val="24"/>
          <w:lang w:val="en-AU"/>
        </w:rPr>
        <w:t xml:space="preserve">, </w:t>
      </w:r>
      <w:r w:rsidR="005811A7" w:rsidRPr="003A1A2E">
        <w:rPr>
          <w:rFonts w:ascii="Times New Roman" w:hAnsi="Times New Roman" w:cs="Times New Roman"/>
          <w:color w:val="auto"/>
          <w:sz w:val="24"/>
          <w:szCs w:val="24"/>
          <w:lang w:val="en-AU"/>
        </w:rPr>
        <w:t>a</w:t>
      </w:r>
      <w:r w:rsidR="00AB5FED" w:rsidRPr="003A1A2E">
        <w:rPr>
          <w:rFonts w:ascii="Times New Roman" w:hAnsi="Times New Roman" w:cs="Times New Roman"/>
          <w:color w:val="auto"/>
          <w:sz w:val="24"/>
          <w:szCs w:val="24"/>
          <w:lang w:val="en-AU"/>
        </w:rPr>
        <w:t xml:space="preserve"> study</w:t>
      </w:r>
      <w:r w:rsidR="00207634" w:rsidRPr="003A1A2E">
        <w:rPr>
          <w:rFonts w:ascii="Times New Roman" w:hAnsi="Times New Roman" w:cs="Times New Roman"/>
          <w:color w:val="auto"/>
          <w:sz w:val="24"/>
          <w:szCs w:val="24"/>
          <w:lang w:val="en-AU"/>
        </w:rPr>
        <w:fldChar w:fldCharType="begin" w:fldLock="1"/>
      </w:r>
      <w:r w:rsidR="005827E6">
        <w:rPr>
          <w:rFonts w:ascii="Times New Roman" w:hAnsi="Times New Roman" w:cs="Times New Roman"/>
          <w:color w:val="auto"/>
          <w:sz w:val="24"/>
          <w:szCs w:val="24"/>
          <w:lang w:val="en-AU"/>
        </w:rPr>
        <w:instrText>ADDIN CSL_CITATION {"citationItems":[{"id":"ITEM-1","itemData":{"DOI":"10.1249/MSS.0000000000002229","ISBN":"0000000000","ISSN":"15300315","PMID":"31770119","abstract":"Purpose The primary aim of this study was to determine whether the distribution of force between the three heads of the triceps surae differs between people with Achilles tendinopathy and controls. We also aimed to determine the effect of this force distribution on subtendon strain. Methods Data were collected for 21 participants with Achilles tendinopathy and 21, case-wise paired, asymptomatic controls. Ultrasonography was used to measure muscle volume, fascicle length, pennation angle and subtendon length at rest. Muscle activation was estimated using surface electromyography during maximal and submaximal isometric plantarflexion tasks. The product of normalized activation, physiological cross-sectional area, and the cosine of the pennation angle was considered as an index of individual muscle force. Displacement of the distal myotendinous junction of each muscle was measured during the submaximal contractions. Results The contribution of the gastrocnemius lateralis to the overall triceps surae physiological cross-sectional area and activation was 8.5% (P = 0.047, d = 0.75) and 24.7% lower (main effect group P = 0.009, d = 0.67) in people with Achilles tendinopathy than in the controls, respectively. Consequently, gastrocnemius lateralis contributed approximately 28% less (main effect group P = 0.025, d = 0.62) of the triceps surae force in people with Achilles tendinopathy. The contribution of gastrocnemius medialis and soleus was not different between groups. Subtendon strain was not different between groups (P = 0.835). Conclusions These results provide evidence for a difference in force-sharing strategy within the triceps surae in people with Achilles tendinopathy compared with the controls. Whether this altered strategy is a cause or a consequence of Achilles tendinopathy should be explored further.","author":[{"dropping-particle":"","family":"Crouzier","given":"Marion","non-dropping-particle":"","parse-names":false,"suffix":""},{"dropping-particle":"","family":"Tucker","given":"Kylie","non-dropping-particle":"","parse-names":false,"suffix":""},{"dropping-particle":"","family":"Lacourpaille","given":"Lilian","non-dropping-particle":"","parse-names":false,"suffix":""},{"dropping-particle":"","family":"Doguet","given":"Valentin","non-dropping-particle":"","parse-names":false,"suffix":""},{"dropping-particle":"","family":"Fayet","given":"Guillemette","non-dropping-particle":"","parse-names":false,"suffix":""},{"dropping-particle":"","family":"Dauty","given":"Marc","non-dropping-particle":"","parse-names":false,"suffix":""},{"dropping-particle":"","family":"Hug","given":"François","non-dropping-particle":"","parse-names":false,"suffix":""}],"container-title":"Medicine and Science in Sports and Exercise","id":"ITEM-1","issue":"5","issued":{"date-parts":[["2020"]]},"number-of-pages":"1076-1087","title":"Force-sharing within the Triceps Surae: An Achilles Heel in Achilles Tendinopathy","type":"book","volume":"52"},"uris":["http://www.mendeley.com/documents/?uuid=4dbaa314-4d4c-4ba3-99a4-92f61ddca02a"]}],"mendeley":{"formattedCitation":"&lt;sup&gt;38&lt;/sup&gt;","plainTextFormattedCitation":"38","previouslyFormattedCitation":"&lt;sup&gt;39&lt;/sup&gt;"},"properties":{"noteIndex":0},"schema":"https://github.com/citation-style-language/schema/raw/master/csl-citation.json"}</w:instrText>
      </w:r>
      <w:r w:rsidR="00207634" w:rsidRPr="003A1A2E">
        <w:rPr>
          <w:rFonts w:ascii="Times New Roman" w:hAnsi="Times New Roman" w:cs="Times New Roman"/>
          <w:color w:val="auto"/>
          <w:sz w:val="24"/>
          <w:szCs w:val="24"/>
          <w:lang w:val="en-AU"/>
        </w:rPr>
        <w:fldChar w:fldCharType="separate"/>
      </w:r>
      <w:r w:rsidR="005827E6" w:rsidRPr="005827E6">
        <w:rPr>
          <w:rFonts w:ascii="Times New Roman" w:hAnsi="Times New Roman" w:cs="Times New Roman"/>
          <w:noProof/>
          <w:color w:val="auto"/>
          <w:sz w:val="24"/>
          <w:szCs w:val="24"/>
          <w:vertAlign w:val="superscript"/>
          <w:lang w:val="en-AU"/>
        </w:rPr>
        <w:t>38</w:t>
      </w:r>
      <w:r w:rsidR="00207634" w:rsidRPr="003A1A2E">
        <w:rPr>
          <w:rFonts w:ascii="Times New Roman" w:hAnsi="Times New Roman" w:cs="Times New Roman"/>
          <w:color w:val="auto"/>
          <w:sz w:val="24"/>
          <w:szCs w:val="24"/>
          <w:lang w:val="en-AU"/>
        </w:rPr>
        <w:fldChar w:fldCharType="end"/>
      </w:r>
      <w:r w:rsidR="005811A7" w:rsidRPr="003A1A2E">
        <w:rPr>
          <w:rFonts w:ascii="Times New Roman" w:hAnsi="Times New Roman" w:cs="Times New Roman"/>
          <w:color w:val="auto"/>
          <w:sz w:val="24"/>
          <w:szCs w:val="24"/>
          <w:lang w:val="en-AU"/>
        </w:rPr>
        <w:t xml:space="preserve"> </w:t>
      </w:r>
      <w:r w:rsidR="00AB5FED" w:rsidRPr="003A1A2E">
        <w:rPr>
          <w:rFonts w:ascii="Times New Roman" w:hAnsi="Times New Roman" w:cs="Times New Roman"/>
          <w:color w:val="auto"/>
          <w:sz w:val="24"/>
          <w:szCs w:val="24"/>
          <w:lang w:val="en-AU"/>
        </w:rPr>
        <w:t>calculated the</w:t>
      </w:r>
      <w:r w:rsidR="00273762" w:rsidRPr="003A1A2E">
        <w:rPr>
          <w:rFonts w:ascii="Times New Roman" w:hAnsi="Times New Roman" w:cs="Times New Roman"/>
          <w:sz w:val="24"/>
          <w:szCs w:val="24"/>
        </w:rPr>
        <w:t xml:space="preserve"> physiological cross-sectional area and normalised RMS </w:t>
      </w:r>
      <w:r w:rsidR="00AB5FED" w:rsidRPr="003A1A2E">
        <w:rPr>
          <w:rFonts w:ascii="Times New Roman" w:hAnsi="Times New Roman" w:cs="Times New Roman"/>
          <w:color w:val="auto"/>
          <w:sz w:val="24"/>
          <w:szCs w:val="24"/>
          <w:lang w:val="en-AU"/>
        </w:rPr>
        <w:t>surface electromyography (</w:t>
      </w:r>
      <w:r w:rsidR="00273762" w:rsidRPr="003A1A2E">
        <w:rPr>
          <w:rFonts w:ascii="Times New Roman" w:hAnsi="Times New Roman" w:cs="Times New Roman"/>
          <w:sz w:val="24"/>
          <w:szCs w:val="24"/>
        </w:rPr>
        <w:t>EMG</w:t>
      </w:r>
      <w:r w:rsidR="00AB5FED" w:rsidRPr="003A1A2E">
        <w:rPr>
          <w:rFonts w:ascii="Times New Roman" w:hAnsi="Times New Roman" w:cs="Times New Roman"/>
          <w:sz w:val="24"/>
          <w:szCs w:val="24"/>
        </w:rPr>
        <w:t>)</w:t>
      </w:r>
      <w:r w:rsidR="00273762" w:rsidRPr="003A1A2E">
        <w:rPr>
          <w:rFonts w:ascii="Times New Roman" w:hAnsi="Times New Roman" w:cs="Times New Roman"/>
          <w:sz w:val="24"/>
          <w:szCs w:val="24"/>
        </w:rPr>
        <w:t xml:space="preserve"> to calculate the index of force of each muscle </w:t>
      </w:r>
      <w:r w:rsidR="00AB5FED" w:rsidRPr="003A1A2E">
        <w:rPr>
          <w:rFonts w:ascii="Times New Roman" w:hAnsi="Times New Roman" w:cs="Times New Roman"/>
          <w:sz w:val="24"/>
          <w:szCs w:val="24"/>
        </w:rPr>
        <w:t xml:space="preserve">of the triceps surae. This way the authors </w:t>
      </w:r>
      <w:r w:rsidR="00273762" w:rsidRPr="003A1A2E">
        <w:rPr>
          <w:rFonts w:ascii="Times New Roman" w:hAnsi="Times New Roman" w:cs="Times New Roman"/>
          <w:sz w:val="24"/>
          <w:szCs w:val="24"/>
        </w:rPr>
        <w:t>estimate</w:t>
      </w:r>
      <w:r w:rsidR="00AB5FED" w:rsidRPr="003A1A2E">
        <w:rPr>
          <w:rFonts w:ascii="Times New Roman" w:hAnsi="Times New Roman" w:cs="Times New Roman"/>
          <w:sz w:val="24"/>
          <w:szCs w:val="24"/>
        </w:rPr>
        <w:t>d</w:t>
      </w:r>
      <w:r w:rsidR="00273762" w:rsidRPr="003A1A2E">
        <w:rPr>
          <w:rFonts w:ascii="Times New Roman" w:hAnsi="Times New Roman" w:cs="Times New Roman"/>
          <w:sz w:val="24"/>
          <w:szCs w:val="24"/>
        </w:rPr>
        <w:t xml:space="preserve"> </w:t>
      </w:r>
      <w:r w:rsidR="00AB5FED" w:rsidRPr="003A1A2E">
        <w:rPr>
          <w:rFonts w:ascii="Times New Roman" w:hAnsi="Times New Roman" w:cs="Times New Roman"/>
          <w:sz w:val="24"/>
          <w:szCs w:val="24"/>
        </w:rPr>
        <w:t xml:space="preserve">the </w:t>
      </w:r>
      <w:r w:rsidR="00273762" w:rsidRPr="003A1A2E">
        <w:rPr>
          <w:rFonts w:ascii="Times New Roman" w:hAnsi="Times New Roman" w:cs="Times New Roman"/>
          <w:sz w:val="24"/>
          <w:szCs w:val="24"/>
        </w:rPr>
        <w:t xml:space="preserve">contribution </w:t>
      </w:r>
      <w:r w:rsidR="00AB5FED" w:rsidRPr="003A1A2E">
        <w:rPr>
          <w:rFonts w:ascii="Times New Roman" w:hAnsi="Times New Roman" w:cs="Times New Roman"/>
          <w:sz w:val="24"/>
          <w:szCs w:val="24"/>
        </w:rPr>
        <w:t>of each individual muscle of</w:t>
      </w:r>
      <w:r w:rsidR="00273762" w:rsidRPr="003A1A2E">
        <w:rPr>
          <w:rFonts w:ascii="Times New Roman" w:hAnsi="Times New Roman" w:cs="Times New Roman"/>
          <w:sz w:val="24"/>
          <w:szCs w:val="24"/>
        </w:rPr>
        <w:t xml:space="preserve"> triceps surae </w:t>
      </w:r>
      <w:r w:rsidR="00AB5FED" w:rsidRPr="003A1A2E">
        <w:rPr>
          <w:rFonts w:ascii="Times New Roman" w:hAnsi="Times New Roman" w:cs="Times New Roman"/>
          <w:sz w:val="24"/>
          <w:szCs w:val="24"/>
        </w:rPr>
        <w:t xml:space="preserve">for </w:t>
      </w:r>
      <w:r w:rsidR="00273762" w:rsidRPr="003A1A2E">
        <w:rPr>
          <w:rFonts w:ascii="Times New Roman" w:hAnsi="Times New Roman" w:cs="Times New Roman"/>
          <w:sz w:val="24"/>
          <w:szCs w:val="24"/>
        </w:rPr>
        <w:t>force production</w:t>
      </w:r>
      <w:r w:rsidR="00273762" w:rsidRPr="003A1A2E">
        <w:rPr>
          <w:rFonts w:ascii="Times New Roman" w:hAnsi="Times New Roman" w:cs="Times New Roman"/>
          <w:color w:val="auto"/>
          <w:sz w:val="24"/>
          <w:szCs w:val="24"/>
          <w:lang w:val="en-AU"/>
        </w:rPr>
        <w:t xml:space="preserve"> </w:t>
      </w:r>
      <w:r w:rsidR="003836CA" w:rsidRPr="003A1A2E">
        <w:rPr>
          <w:rFonts w:ascii="Times New Roman" w:hAnsi="Times New Roman" w:cs="Times New Roman"/>
          <w:color w:val="auto"/>
          <w:sz w:val="24"/>
          <w:szCs w:val="24"/>
          <w:lang w:val="en-AU"/>
        </w:rPr>
        <w:t xml:space="preserve">in </w:t>
      </w:r>
      <w:r w:rsidR="00AB5FED" w:rsidRPr="003A1A2E">
        <w:rPr>
          <w:rFonts w:ascii="Times New Roman" w:hAnsi="Times New Roman" w:cs="Times New Roman"/>
          <w:color w:val="auto"/>
          <w:sz w:val="24"/>
          <w:szCs w:val="24"/>
          <w:lang w:val="en-AU"/>
        </w:rPr>
        <w:t>runners</w:t>
      </w:r>
      <w:r w:rsidR="00B35A51" w:rsidRPr="003A1A2E">
        <w:rPr>
          <w:rFonts w:ascii="Times New Roman" w:hAnsi="Times New Roman" w:cs="Times New Roman"/>
          <w:color w:val="auto"/>
          <w:sz w:val="24"/>
          <w:szCs w:val="24"/>
          <w:lang w:val="en-AU"/>
        </w:rPr>
        <w:t xml:space="preserve"> with </w:t>
      </w:r>
      <w:r w:rsidR="003836CA" w:rsidRPr="003A1A2E">
        <w:rPr>
          <w:rFonts w:ascii="Times New Roman" w:hAnsi="Times New Roman" w:cs="Times New Roman"/>
          <w:color w:val="auto"/>
          <w:sz w:val="24"/>
          <w:szCs w:val="24"/>
          <w:lang w:val="en-AU"/>
        </w:rPr>
        <w:t>AT</w:t>
      </w:r>
      <w:r w:rsidR="003207DB" w:rsidRPr="003A1A2E">
        <w:rPr>
          <w:rFonts w:ascii="Times New Roman" w:hAnsi="Times New Roman" w:cs="Times New Roman"/>
          <w:color w:val="auto"/>
          <w:sz w:val="24"/>
          <w:szCs w:val="24"/>
          <w:lang w:val="en-AU"/>
        </w:rPr>
        <w:t xml:space="preserve">. </w:t>
      </w:r>
      <w:r w:rsidR="00AB5FED" w:rsidRPr="003A1A2E">
        <w:rPr>
          <w:rFonts w:ascii="Times New Roman" w:hAnsi="Times New Roman" w:cs="Times New Roman"/>
          <w:color w:val="auto"/>
          <w:sz w:val="24"/>
          <w:szCs w:val="24"/>
          <w:lang w:val="en-AU"/>
        </w:rPr>
        <w:t>Interestingly, they</w:t>
      </w:r>
      <w:r w:rsidR="00C40424" w:rsidRPr="003A1A2E">
        <w:rPr>
          <w:rFonts w:ascii="Times New Roman" w:hAnsi="Times New Roman" w:cs="Times New Roman"/>
          <w:color w:val="auto"/>
          <w:sz w:val="24"/>
          <w:szCs w:val="24"/>
          <w:lang w:val="en-AU"/>
        </w:rPr>
        <w:t xml:space="preserve"> found</w:t>
      </w:r>
      <w:r w:rsidR="004C4464" w:rsidRPr="003A1A2E">
        <w:rPr>
          <w:rFonts w:ascii="Times New Roman" w:hAnsi="Times New Roman" w:cs="Times New Roman"/>
          <w:color w:val="auto"/>
          <w:sz w:val="24"/>
          <w:szCs w:val="24"/>
          <w:lang w:val="en-AU"/>
        </w:rPr>
        <w:t xml:space="preserve"> </w:t>
      </w:r>
      <w:r w:rsidR="00C40424" w:rsidRPr="003A1A2E">
        <w:rPr>
          <w:rFonts w:ascii="Times New Roman" w:hAnsi="Times New Roman" w:cs="Times New Roman"/>
          <w:color w:val="auto"/>
          <w:sz w:val="24"/>
          <w:szCs w:val="24"/>
          <w:lang w:val="en-AU"/>
        </w:rPr>
        <w:t>a</w:t>
      </w:r>
      <w:r w:rsidR="00AB5FED" w:rsidRPr="003A1A2E">
        <w:rPr>
          <w:rFonts w:ascii="Times New Roman" w:hAnsi="Times New Roman" w:cs="Times New Roman"/>
          <w:color w:val="auto"/>
          <w:sz w:val="24"/>
          <w:szCs w:val="24"/>
          <w:lang w:val="en-AU"/>
        </w:rPr>
        <w:t xml:space="preserve"> significant reduction </w:t>
      </w:r>
      <w:r w:rsidR="005D353C" w:rsidRPr="003A1A2E">
        <w:rPr>
          <w:rFonts w:ascii="Times New Roman" w:hAnsi="Times New Roman" w:cs="Times New Roman"/>
          <w:color w:val="auto"/>
          <w:sz w:val="24"/>
          <w:szCs w:val="24"/>
          <w:lang w:val="en-AU"/>
        </w:rPr>
        <w:t>of gastrocnemius lateral</w:t>
      </w:r>
      <w:r w:rsidR="00AB5FED" w:rsidRPr="003A1A2E">
        <w:rPr>
          <w:rFonts w:ascii="Times New Roman" w:hAnsi="Times New Roman" w:cs="Times New Roman"/>
          <w:color w:val="auto"/>
          <w:sz w:val="24"/>
          <w:szCs w:val="24"/>
          <w:lang w:val="en-AU"/>
        </w:rPr>
        <w:t>is</w:t>
      </w:r>
      <w:r w:rsidR="003207DB" w:rsidRPr="003A1A2E">
        <w:rPr>
          <w:rFonts w:ascii="Times New Roman" w:hAnsi="Times New Roman" w:cs="Times New Roman"/>
          <w:color w:val="auto"/>
          <w:sz w:val="24"/>
          <w:szCs w:val="24"/>
          <w:lang w:val="en-AU"/>
        </w:rPr>
        <w:t xml:space="preserve"> </w:t>
      </w:r>
      <w:r w:rsidR="00AB5FED" w:rsidRPr="003A1A2E">
        <w:rPr>
          <w:rFonts w:ascii="Times New Roman" w:hAnsi="Times New Roman" w:cs="Times New Roman"/>
          <w:color w:val="auto"/>
          <w:sz w:val="24"/>
          <w:szCs w:val="24"/>
          <w:lang w:val="en-AU"/>
        </w:rPr>
        <w:t>contribution in the AT groups,</w:t>
      </w:r>
      <w:r w:rsidR="00017CBB" w:rsidRPr="003A1A2E">
        <w:rPr>
          <w:rFonts w:ascii="Times New Roman" w:hAnsi="Times New Roman" w:cs="Times New Roman"/>
          <w:color w:val="auto"/>
          <w:sz w:val="24"/>
          <w:szCs w:val="24"/>
          <w:lang w:val="en-AU"/>
        </w:rPr>
        <w:t xml:space="preserve"> </w:t>
      </w:r>
      <w:r w:rsidR="004F7F83" w:rsidRPr="003A1A2E">
        <w:rPr>
          <w:rFonts w:ascii="Times New Roman" w:hAnsi="Times New Roman" w:cs="Times New Roman"/>
          <w:color w:val="auto"/>
          <w:sz w:val="24"/>
          <w:szCs w:val="24"/>
          <w:lang w:val="en-AU"/>
        </w:rPr>
        <w:t xml:space="preserve">but </w:t>
      </w:r>
      <w:r w:rsidR="004C4464" w:rsidRPr="003A1A2E">
        <w:rPr>
          <w:rFonts w:ascii="Times New Roman" w:hAnsi="Times New Roman" w:cs="Times New Roman"/>
          <w:color w:val="auto"/>
          <w:sz w:val="24"/>
          <w:szCs w:val="24"/>
          <w:lang w:val="en-AU"/>
        </w:rPr>
        <w:t xml:space="preserve">not in </w:t>
      </w:r>
      <w:r w:rsidR="0011111E" w:rsidRPr="003A1A2E">
        <w:rPr>
          <w:rFonts w:ascii="Times New Roman" w:hAnsi="Times New Roman" w:cs="Times New Roman"/>
          <w:iCs/>
          <w:color w:val="auto"/>
          <w:sz w:val="24"/>
          <w:szCs w:val="24"/>
          <w:lang w:val="en-AU"/>
        </w:rPr>
        <w:t>soleus</w:t>
      </w:r>
      <w:r w:rsidR="0011111E" w:rsidRPr="003A1A2E">
        <w:rPr>
          <w:rFonts w:ascii="Times New Roman" w:hAnsi="Times New Roman" w:cs="Times New Roman"/>
          <w:color w:val="auto"/>
          <w:sz w:val="24"/>
          <w:szCs w:val="24"/>
          <w:lang w:val="en-AU"/>
        </w:rPr>
        <w:t xml:space="preserve"> </w:t>
      </w:r>
      <w:r w:rsidR="004C4464" w:rsidRPr="003A1A2E">
        <w:rPr>
          <w:rFonts w:ascii="Times New Roman" w:hAnsi="Times New Roman" w:cs="Times New Roman"/>
          <w:color w:val="auto"/>
          <w:sz w:val="24"/>
          <w:szCs w:val="24"/>
          <w:lang w:val="en-AU"/>
        </w:rPr>
        <w:t xml:space="preserve">or </w:t>
      </w:r>
      <w:r w:rsidR="00C036EC" w:rsidRPr="003A1A2E">
        <w:rPr>
          <w:rFonts w:ascii="Times New Roman" w:hAnsi="Times New Roman" w:cs="Times New Roman"/>
          <w:color w:val="auto"/>
          <w:sz w:val="24"/>
          <w:szCs w:val="24"/>
          <w:lang w:val="en-AU"/>
        </w:rPr>
        <w:t xml:space="preserve">in </w:t>
      </w:r>
      <w:r w:rsidR="0011111E" w:rsidRPr="003A1A2E">
        <w:rPr>
          <w:rFonts w:ascii="Times New Roman" w:hAnsi="Times New Roman" w:cs="Times New Roman"/>
          <w:color w:val="auto"/>
          <w:sz w:val="24"/>
          <w:szCs w:val="24"/>
          <w:lang w:val="en-AU"/>
        </w:rPr>
        <w:t>g</w:t>
      </w:r>
      <w:r w:rsidR="004C4464" w:rsidRPr="003A1A2E">
        <w:rPr>
          <w:rFonts w:ascii="Times New Roman" w:hAnsi="Times New Roman" w:cs="Times New Roman"/>
          <w:color w:val="auto"/>
          <w:sz w:val="24"/>
          <w:szCs w:val="24"/>
          <w:lang w:val="en-AU"/>
        </w:rPr>
        <w:t>astrocnemius medialis</w:t>
      </w:r>
      <w:r w:rsidR="00D96EAF" w:rsidRPr="003A1A2E">
        <w:rPr>
          <w:rFonts w:ascii="Times New Roman" w:hAnsi="Times New Roman" w:cs="Times New Roman"/>
          <w:color w:val="auto"/>
          <w:sz w:val="24"/>
          <w:szCs w:val="24"/>
          <w:lang w:val="en-AU"/>
        </w:rPr>
        <w:fldChar w:fldCharType="begin" w:fldLock="1"/>
      </w:r>
      <w:r w:rsidR="005827E6">
        <w:rPr>
          <w:rFonts w:ascii="Times New Roman" w:hAnsi="Times New Roman" w:cs="Times New Roman"/>
          <w:color w:val="auto"/>
          <w:sz w:val="24"/>
          <w:szCs w:val="24"/>
          <w:lang w:val="en-AU"/>
        </w:rPr>
        <w:instrText>ADDIN CSL_CITATION {"citationItems":[{"id":"ITEM-1","itemData":{"DOI":"10.1249/MSS.0000000000002229","ISBN":"0000000000","ISSN":"15300315","PMID":"31770119","abstract":"Purpose The primary aim of this study was to determine whether the distribution of force between the three heads of the triceps surae differs between people with Achilles tendinopathy and controls. We also aimed to determine the effect of this force distribution on subtendon strain. Methods Data were collected for 21 participants with Achilles tendinopathy and 21, case-wise paired, asymptomatic controls. Ultrasonography was used to measure muscle volume, fascicle length, pennation angle and subtendon length at rest. Muscle activation was estimated using surface electromyography during maximal and submaximal isometric plantarflexion tasks. The product of normalized activation, physiological cross-sectional area, and the cosine of the pennation angle was considered as an index of individual muscle force. Displacement of the distal myotendinous junction of each muscle was measured during the submaximal contractions. Results The contribution of the gastrocnemius lateralis to the overall triceps surae physiological cross-sectional area and activation was 8.5% (P = 0.047, d = 0.75) and 24.7% lower (main effect group P = 0.009, d = 0.67) in people with Achilles tendinopathy than in the controls, respectively. Consequently, gastrocnemius lateralis contributed approximately 28% less (main effect group P = 0.025, d = 0.62) of the triceps surae force in people with Achilles tendinopathy. The contribution of gastrocnemius medialis and soleus was not different between groups. Subtendon strain was not different between groups (P = 0.835). Conclusions These results provide evidence for a difference in force-sharing strategy within the triceps surae in people with Achilles tendinopathy compared with the controls. Whether this altered strategy is a cause or a consequence of Achilles tendinopathy should be explored further.","author":[{"dropping-particle":"","family":"Crouzier","given":"Marion","non-dropping-particle":"","parse-names":false,"suffix":""},{"dropping-particle":"","family":"Tucker","given":"Kylie","non-dropping-particle":"","parse-names":false,"suffix":""},{"dropping-particle":"","family":"Lacourpaille","given":"Lilian","non-dropping-particle":"","parse-names":false,"suffix":""},{"dropping-particle":"","family":"Doguet","given":"Valentin","non-dropping-particle":"","parse-names":false,"suffix":""},{"dropping-particle":"","family":"Fayet","given":"Guillemette","non-dropping-particle":"","parse-names":false,"suffix":""},{"dropping-particle":"","family":"Dauty","given":"Marc","non-dropping-particle":"","parse-names":false,"suffix":""},{"dropping-particle":"","family":"Hug","given":"François","non-dropping-particle":"","parse-names":false,"suffix":""}],"container-title":"Medicine and Science in Sports and Exercise","id":"ITEM-1","issue":"5","issued":{"date-parts":[["2020"]]},"number-of-pages":"1076-1087","title":"Force-sharing within the Triceps Surae: An Achilles Heel in Achilles Tendinopathy","type":"book","volume":"52"},"uris":["http://www.mendeley.com/documents/?uuid=4dbaa314-4d4c-4ba3-99a4-92f61ddca02a"]}],"mendeley":{"formattedCitation":"&lt;sup&gt;38&lt;/sup&gt;","plainTextFormattedCitation":"38","previouslyFormattedCitation":"&lt;sup&gt;39&lt;/sup&gt;"},"properties":{"noteIndex":0},"schema":"https://github.com/citation-style-language/schema/raw/master/csl-citation.json"}</w:instrText>
      </w:r>
      <w:r w:rsidR="00D96EAF" w:rsidRPr="003A1A2E">
        <w:rPr>
          <w:rFonts w:ascii="Times New Roman" w:hAnsi="Times New Roman" w:cs="Times New Roman"/>
          <w:color w:val="auto"/>
          <w:sz w:val="24"/>
          <w:szCs w:val="24"/>
          <w:lang w:val="en-AU"/>
        </w:rPr>
        <w:fldChar w:fldCharType="separate"/>
      </w:r>
      <w:r w:rsidR="005827E6" w:rsidRPr="005827E6">
        <w:rPr>
          <w:rFonts w:ascii="Times New Roman" w:hAnsi="Times New Roman" w:cs="Times New Roman"/>
          <w:noProof/>
          <w:color w:val="auto"/>
          <w:sz w:val="24"/>
          <w:szCs w:val="24"/>
          <w:vertAlign w:val="superscript"/>
          <w:lang w:val="en-AU"/>
        </w:rPr>
        <w:t>38</w:t>
      </w:r>
      <w:r w:rsidR="00D96EAF" w:rsidRPr="003A1A2E">
        <w:rPr>
          <w:rFonts w:ascii="Times New Roman" w:hAnsi="Times New Roman" w:cs="Times New Roman"/>
          <w:color w:val="auto"/>
          <w:sz w:val="24"/>
          <w:szCs w:val="24"/>
          <w:lang w:val="en-AU"/>
        </w:rPr>
        <w:fldChar w:fldCharType="end"/>
      </w:r>
      <w:r w:rsidR="00207634" w:rsidRPr="003A1A2E">
        <w:rPr>
          <w:rFonts w:ascii="Times New Roman" w:hAnsi="Times New Roman" w:cs="Times New Roman"/>
          <w:color w:val="auto"/>
          <w:sz w:val="24"/>
          <w:szCs w:val="24"/>
          <w:lang w:val="en-AU"/>
        </w:rPr>
        <w:t>.</w:t>
      </w:r>
      <w:r w:rsidR="00AB5FED" w:rsidRPr="003A1A2E">
        <w:rPr>
          <w:rFonts w:ascii="Times New Roman" w:hAnsi="Times New Roman" w:cs="Times New Roman"/>
          <w:color w:val="auto"/>
          <w:sz w:val="24"/>
          <w:szCs w:val="24"/>
          <w:lang w:val="en-AU"/>
        </w:rPr>
        <w:t xml:space="preserve"> Additionally, a pilot study</w:t>
      </w:r>
      <w:r w:rsidR="00D87B12">
        <w:rPr>
          <w:rFonts w:ascii="Times New Roman" w:hAnsi="Times New Roman" w:cs="Times New Roman"/>
          <w:color w:val="auto"/>
          <w:sz w:val="24"/>
          <w:szCs w:val="24"/>
          <w:lang w:val="en-AU"/>
        </w:rPr>
        <w:fldChar w:fldCharType="begin" w:fldLock="1"/>
      </w:r>
      <w:r w:rsidR="00C41D3B">
        <w:rPr>
          <w:rFonts w:ascii="Times New Roman" w:hAnsi="Times New Roman" w:cs="Times New Roman"/>
          <w:color w:val="auto"/>
          <w:sz w:val="24"/>
          <w:szCs w:val="24"/>
          <w:lang w:val="en-AU"/>
        </w:rPr>
        <w:instrText>ADDIN CSL_CITATION {"citationItems":[{"id":"ITEM-1","itemData":{"DOI":"10.1007/s00421-022-05089-w","ISBN":"0000000337","abstract":"Objectives Deficits in muscle performance could be a consequence of a reduced ability of a motor neuron to increase the rate in which it discharges. This study aimed to investigate motor unit (MU) discharge properties of each Triceps surae muscle (TS), and TS torque steadiness during submaximal intensities in runners with Achilles tendinopathy (AT).\n\nMethods We recruited runners with (n=12) and without (n=13) mid-portion AT. MU discharge rate was analysed for each of the TS muscles, using High-Density surface electromyography during 10 and 20% isometric plantar flexor contractions.\n\nResults MU mean discharge rate was lower in the Gastrocnemius lateralis (GL) in AT compared to controls. In AT, GL MU mean discharge rate did not increase as torque increased from 10% peak torque, 8.24pps (95%CI: 7.08 to 9.41) to 20%, 8.52pps (7.41 to 9.63, p=0.540); however, in controls, MU discharge rate increased as torque increased from 10%, 8.39pps (7.25 to 9.53) to 20%, 10.07pps (8.89 to 11.25, p&lt;0.001). There were no between-group difference in Gastrocnemius medialis (GM) or Soleus (SOL) MU discharge rates. We found no between-groups differences in coefficient of variation of MU discharge rate in any of the TS muscles nor in TS torque steadiness.\n\nConclusion Our data demonstrates that runners with AT may have a reduced neural drive to GL, failing to increase MU discharge rate to adjust for the increase in torque demand. Further research is needed to understand how interventions focusing on increasing neural drive to GL would affect muscle function in runners with AT.\n\n### Competing Interest Statement\n\nThe authors have declared no competing interest.\n\n### Funding Statement\n\nThe authors declare having received no funding for this study.\n\n###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below:\n\nThis study was approved by the Queensland University of Technology Human Research and Ethics Committee in line with the Declaration of Helsinki.\n\nI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c…","author":[{"dropping-particle":"","family":"Fernandes","given":"Gabriel L.","non-dropping-particle":"","parse-names":false,"suffix":""},{"dropping-particle":"","family":"Orssatto","given":"Lucas B. R.","non-dropping-particle":"","parse-names":false,"suffix":""},{"dropping-particle":"","family":"Sakugawa","given":"Raphael L.","non-dropping-particle":"","parse-names":false,"suffix":""},{"dropping-particle":"","family":"Trajano","given":"Gabriel S.","non-dropping-particle":"","parse-names":false,"suffix":""}],"container-title":"European Journal of Applied Physiology","id":"ITEM-1","issue":"accepted for publication","issued":{"date-parts":[["2022"]]},"page":"2022.05.05.22274750","title":"Lower motor unit discharge rates in gastrocnemius lateralis, but not in gastrocnemius medialis or soleus, in runners with Achilles tendinopathy: a pilot study.","type":"article-journal"},"uris":["http://www.mendeley.com/documents/?uuid=a52a864d-f92a-4388-9c74-14fbd638a26d"]}],"mendeley":{"formattedCitation":"&lt;sup&gt;20&lt;/sup&gt;","plainTextFormattedCitation":"20","previouslyFormattedCitation":"&lt;sup&gt;20&lt;/sup&gt;"},"properties":{"noteIndex":0},"schema":"https://github.com/citation-style-language/schema/raw/master/csl-citation.json"}</w:instrText>
      </w:r>
      <w:r w:rsidR="00D87B12">
        <w:rPr>
          <w:rFonts w:ascii="Times New Roman" w:hAnsi="Times New Roman" w:cs="Times New Roman"/>
          <w:color w:val="auto"/>
          <w:sz w:val="24"/>
          <w:szCs w:val="24"/>
          <w:lang w:val="en-AU"/>
        </w:rPr>
        <w:fldChar w:fldCharType="separate"/>
      </w:r>
      <w:r w:rsidR="00D87B12" w:rsidRPr="00D87B12">
        <w:rPr>
          <w:rFonts w:ascii="Times New Roman" w:hAnsi="Times New Roman" w:cs="Times New Roman"/>
          <w:noProof/>
          <w:color w:val="auto"/>
          <w:sz w:val="24"/>
          <w:szCs w:val="24"/>
          <w:vertAlign w:val="superscript"/>
          <w:lang w:val="en-AU"/>
        </w:rPr>
        <w:t>20</w:t>
      </w:r>
      <w:r w:rsidR="00D87B12">
        <w:rPr>
          <w:rFonts w:ascii="Times New Roman" w:hAnsi="Times New Roman" w:cs="Times New Roman"/>
          <w:color w:val="auto"/>
          <w:sz w:val="24"/>
          <w:szCs w:val="24"/>
          <w:lang w:val="en-AU"/>
        </w:rPr>
        <w:fldChar w:fldCharType="end"/>
      </w:r>
      <w:r w:rsidR="00D87B12">
        <w:rPr>
          <w:rFonts w:ascii="Times New Roman" w:hAnsi="Times New Roman" w:cs="Times New Roman"/>
          <w:color w:val="auto"/>
          <w:sz w:val="24"/>
          <w:szCs w:val="24"/>
          <w:lang w:val="en-AU"/>
        </w:rPr>
        <w:t xml:space="preserve"> </w:t>
      </w:r>
      <w:r w:rsidR="00AB5FED" w:rsidRPr="003A1A2E">
        <w:rPr>
          <w:rFonts w:ascii="Times New Roman" w:hAnsi="Times New Roman" w:cs="Times New Roman"/>
          <w:color w:val="auto"/>
          <w:sz w:val="24"/>
          <w:szCs w:val="24"/>
          <w:lang w:val="en-AU"/>
        </w:rPr>
        <w:t xml:space="preserve">from our group also found a reduction in neural drive to gastrocnemius lateralis but not to gastrocnemius medialis or soleus in runners with AT compared to </w:t>
      </w:r>
      <w:r w:rsidR="00D87B12">
        <w:rPr>
          <w:rFonts w:ascii="Times New Roman" w:hAnsi="Times New Roman" w:cs="Times New Roman"/>
          <w:color w:val="auto"/>
          <w:sz w:val="24"/>
          <w:szCs w:val="24"/>
          <w:lang w:val="en-AU"/>
        </w:rPr>
        <w:t>healthy runners</w:t>
      </w:r>
      <w:r w:rsidR="00AB5FED" w:rsidRPr="003A1A2E">
        <w:rPr>
          <w:rFonts w:ascii="Times New Roman" w:hAnsi="Times New Roman" w:cs="Times New Roman"/>
          <w:color w:val="auto"/>
          <w:sz w:val="24"/>
          <w:szCs w:val="24"/>
          <w:lang w:val="en-AU"/>
        </w:rPr>
        <w:t xml:space="preserve"> during submaximal contractions.</w:t>
      </w:r>
      <w:r w:rsidR="005811A7" w:rsidRPr="003A1A2E">
        <w:rPr>
          <w:rFonts w:ascii="Times New Roman" w:hAnsi="Times New Roman" w:cs="Times New Roman"/>
          <w:color w:val="auto"/>
          <w:sz w:val="24"/>
          <w:szCs w:val="24"/>
        </w:rPr>
        <w:t xml:space="preserve"> </w:t>
      </w:r>
    </w:p>
    <w:p w14:paraId="0046EF9B" w14:textId="13BC219A" w:rsidR="00AB5FED" w:rsidRPr="003A1A2E" w:rsidRDefault="00450D56" w:rsidP="00C05218">
      <w:pPr>
        <w:autoSpaceDE w:val="0"/>
        <w:autoSpaceDN w:val="0"/>
        <w:adjustRightInd w:val="0"/>
        <w:spacing w:line="480" w:lineRule="auto"/>
        <w:ind w:firstLine="720"/>
        <w:jc w:val="both"/>
      </w:pPr>
      <w:r w:rsidRPr="003A1A2E">
        <w:t>Soleus m</w:t>
      </w:r>
      <w:r w:rsidR="002E6E4D" w:rsidRPr="003A1A2E">
        <w:t xml:space="preserve">otor unit peak discharge rate </w:t>
      </w:r>
      <w:r w:rsidR="00F577AD" w:rsidRPr="003A1A2E">
        <w:t>and</w:t>
      </w:r>
      <w:r w:rsidR="002E6E4D" w:rsidRPr="003A1A2E">
        <w:t xml:space="preserve"> recruitment threshold </w:t>
      </w:r>
      <w:r w:rsidR="00EC3F8F" w:rsidRPr="003A1A2E">
        <w:t xml:space="preserve">also </w:t>
      </w:r>
      <w:r w:rsidR="002E6E4D" w:rsidRPr="003A1A2E">
        <w:t xml:space="preserve">showed </w:t>
      </w:r>
      <w:r w:rsidR="00122D0E" w:rsidRPr="003A1A2E">
        <w:t xml:space="preserve">no differences </w:t>
      </w:r>
      <w:r w:rsidR="00EA3B6A" w:rsidRPr="003A1A2E">
        <w:t>between groups</w:t>
      </w:r>
      <w:r w:rsidR="00273762" w:rsidRPr="003A1A2E">
        <w:t xml:space="preserve">. </w:t>
      </w:r>
      <w:r w:rsidR="00BF01B3" w:rsidRPr="003A1A2E">
        <w:t xml:space="preserve">A reduction in neural drive to the motor neurone, would negatively impact </w:t>
      </w:r>
      <w:r w:rsidR="00EC3F8F" w:rsidRPr="003A1A2E">
        <w:t>s</w:t>
      </w:r>
      <w:r w:rsidR="008E684B" w:rsidRPr="003A1A2E">
        <w:t>oleus motor neurone</w:t>
      </w:r>
      <w:r w:rsidR="00C551CF" w:rsidRPr="003A1A2E">
        <w:fldChar w:fldCharType="begin" w:fldLock="1"/>
      </w:r>
      <w:r w:rsidR="000A2C11" w:rsidRPr="003A1A2E">
        <w:instrText>ADDIN CSL_CITATION {"citationItems":[{"id":"ITEM-1","itemData":{"DOI":"10.1002/mus.20261","ISSN":"0148639X","PMID":"15736297","abstract":"The dendrites of motoneurons are not, as once thought, passive conduits for synaptic inputs. Instead they have voltage-dependent channels that provide the capacity to generate a very strong persistent inward current (PIC). The amplitude of the PIC is proportional to the level of neuromodulatory input from the brainstem, which is mediated primarily by the monoamines serotonin and norepinephrine. During normal motor behavior, monoaminergic drive is likely to be moderately strong and the dendritic PIC generates many of the characteristic features of motor unit firing patterns. Most of the PIC activates at or below recruitment threshold and thus motor unit firing patterns exhibit a linear increase just above recruitment. The dendritic PIC allows motor unit derecruitment to occur at a lower input level than recruitment, thus providing sustained tonic firing with little or no synaptic input, especially in low-threshold units. However the dendritic PIC can be readily deactivated by synaptic inhibition. The overall amplification due to the dendritic PIC and other effects of monoamines on motoneurons greatly increases the input-output gain of the motor pool. Thus the brainstem neuromodulatory input provides a mechanism by which the excitability of motoneurons can be varied for different motor behaviors. This control system is lost in spinal cord injury but PICs nonetheless recover near-normal amplitudes in the months following the initial injury. The relationship of these findings to the cause of the spasticity syndrome developing after spinal cord injury is discussed.","author":[{"dropping-particle":"","family":"Heckman","given":"C. J.","non-dropping-particle":"","parse-names":false,"suffix":""},{"dropping-particle":"","family":"Gorassini","given":"Monica A.","non-dropping-particle":"","parse-names":false,"suffix":""},{"dropping-particle":"","family":"Bennett","given":"David J.","non-dropping-particle":"","parse-names":false,"suffix":""}],"container-title":"Muscle and Nerve","id":"ITEM-1","issue":"2","issued":{"date-parts":[["2005"]]},"page":"135-156","title":"Persistent inward currents in motoneuron dendrites: Implications for motor output","type":"article-journal","volume":"31"},"uris":["http://www.mendeley.com/documents/?uuid=7ca178aa-2502-45ee-a785-5f567bfdbc8e"]},{"id":"ITEM-2","itemData":{"DOI":"10.1242/jeb.229922","ISSN":"0022-0949","abstract":"Prolonged (≥60 s) passive muscle stretching acutely reduces maximal force production at least partly through a suppression of efferent neural drive. The origin of this neural suppression has not been determined, however some evidence suggests that reductions in the amplitude of persistent inward currents (PICs) in the motoneurons may be important. The aim of the present study was to determine whether acute passive (static) muscle stretching affects PIC strength in gastrocnemius medialis (GM) and soleus (SOL) motor units. We calculated the difference in instantaneous discharge rates at recruitment and derecruitment (ΔF) for pairs of motor units in GM and SOL during triangular isometric plantar flexor contractions (20% maximum) both before and immediately after a 5-min control period and immediately after five 1-min passive plantar flexor stretches. After stretching there was a significant reduction in SOL ΔF (−25.6%; 95%CI=−45.1 to −9.1 %, p=0.002) but not GM ΔF. These data suggest passive muscle stretching can reduce the intrinsic excitability, via PICs, of SOL motor units. These findings (1) suggest that PIC strength might be reduced after passive stretching, (2) are consistent with previously-established post-stretch decreases in SOL but not GM EMG amplitudes during contraction, and (3) indicate that reductions in PIC strength could underpin the stretch-induced force loss.","author":[{"dropping-particle":"","family":"Trajano","given":"Gabriel S.","non-dropping-particle":"","parse-names":false,"suffix":""},{"dropping-particle":"","family":"Taylor","given":"Janet L.","non-dropping-particle":"","parse-names":false,"suffix":""},{"dropping-particle":"","family":"Orssatto","given":"Lucas B. R.","non-dropping-particle":"","parse-names":false,"suffix":""},{"dropping-particle":"","family":"McNulty","given":"Craig R.","non-dropping-particle":"","parse-names":false,"suffix":""},{"dropping-particle":"","family":"Blazevich","given":"Anthony J.","non-dropping-particle":"","parse-names":false,"suffix":""}],"container-title":"The Journal of Experimental Biology","id":"ITEM-2","issue":"61 7","issued":{"date-parts":[["2020"]]},"page":"jeb.229922","title":"Passive muscle stretching reduces estimates of persistent inward current strength in soleus motor units","type":"article-journal"},"uris":["http://www.mendeley.com/documents/?uuid=3163c4ac-e021-45a9-bf01-e45d47b3167c"]}],"mendeley":{"formattedCitation":"&lt;sup&gt;11,12&lt;/sup&gt;","plainTextFormattedCitation":"11,12","previouslyFormattedCitation":"&lt;sup&gt;11,12&lt;/sup&gt;"},"properties":{"noteIndex":0},"schema":"https://github.com/citation-style-language/schema/raw/master/csl-citation.json"}</w:instrText>
      </w:r>
      <w:r w:rsidR="00C551CF" w:rsidRPr="003A1A2E">
        <w:fldChar w:fldCharType="separate"/>
      </w:r>
      <w:r w:rsidR="00C551CF" w:rsidRPr="003A1A2E">
        <w:rPr>
          <w:noProof/>
          <w:vertAlign w:val="superscript"/>
        </w:rPr>
        <w:t>11,12</w:t>
      </w:r>
      <w:r w:rsidR="00C551CF" w:rsidRPr="003A1A2E">
        <w:fldChar w:fldCharType="end"/>
      </w:r>
      <w:r w:rsidR="00C551CF" w:rsidRPr="003A1A2E">
        <w:t>.</w:t>
      </w:r>
      <w:r w:rsidR="002E0E05">
        <w:t xml:space="preserve"> </w:t>
      </w:r>
      <w:r w:rsidR="00EC3F8F" w:rsidRPr="003A1A2E">
        <w:t xml:space="preserve">This </w:t>
      </w:r>
      <w:r w:rsidR="00BF01B3" w:rsidRPr="003A1A2E">
        <w:t xml:space="preserve">would </w:t>
      </w:r>
      <w:r w:rsidR="00EC3F8F" w:rsidRPr="003A1A2E">
        <w:t xml:space="preserve">have </w:t>
      </w:r>
      <w:r w:rsidR="00BF01B3" w:rsidRPr="003A1A2E">
        <w:t>b</w:t>
      </w:r>
      <w:r w:rsidR="00EC3F8F" w:rsidRPr="003A1A2E">
        <w:t>e</w:t>
      </w:r>
      <w:r w:rsidR="00BF01B3" w:rsidRPr="003A1A2E">
        <w:t>e</w:t>
      </w:r>
      <w:r w:rsidR="00EC3F8F" w:rsidRPr="003A1A2E">
        <w:t>n</w:t>
      </w:r>
      <w:r w:rsidR="00BF01B3" w:rsidRPr="003A1A2E">
        <w:t xml:space="preserve"> seen as reduced discharge rate and force </w:t>
      </w:r>
      <w:r w:rsidR="00EC3F8F" w:rsidRPr="003A1A2E">
        <w:t>output;</w:t>
      </w:r>
      <w:r w:rsidR="00BF01B3" w:rsidRPr="003A1A2E">
        <w:t xml:space="preserve"> however, this was not observed in our study.</w:t>
      </w:r>
      <w:r w:rsidR="008E684B" w:rsidRPr="003A1A2E">
        <w:t xml:space="preserve"> </w:t>
      </w:r>
      <w:r w:rsidR="00BF01B3" w:rsidRPr="003A1A2E">
        <w:t xml:space="preserve">Thus, </w:t>
      </w:r>
      <w:r w:rsidR="00EC3F8F" w:rsidRPr="003A1A2E">
        <w:t>it is safe to say that s</w:t>
      </w:r>
      <w:r w:rsidR="00AB20DD" w:rsidRPr="003A1A2E">
        <w:t xml:space="preserve">oleus </w:t>
      </w:r>
      <w:r w:rsidR="00BF01B3" w:rsidRPr="003A1A2E">
        <w:t xml:space="preserve">motor </w:t>
      </w:r>
      <w:r w:rsidR="00AB20DD" w:rsidRPr="003A1A2E">
        <w:t xml:space="preserve">neurone excitability </w:t>
      </w:r>
      <w:r w:rsidR="00EC3F8F" w:rsidRPr="003A1A2E">
        <w:t xml:space="preserve">during low intensity isometric contractions, </w:t>
      </w:r>
      <w:r w:rsidR="00AB20DD" w:rsidRPr="003A1A2E">
        <w:t>is not affected in runners with AT</w:t>
      </w:r>
      <w:r w:rsidR="00EC3F8F" w:rsidRPr="003A1A2E">
        <w:t xml:space="preserve">. </w:t>
      </w:r>
      <w:r w:rsidR="000B4D98" w:rsidRPr="003A1A2E">
        <w:t xml:space="preserve">Recruitment threshold was not different between groups, </w:t>
      </w:r>
      <w:r w:rsidR="00BF01B3" w:rsidRPr="003A1A2E">
        <w:t xml:space="preserve">outlining </w:t>
      </w:r>
      <w:r w:rsidR="000B4D98" w:rsidRPr="003A1A2E">
        <w:t>that</w:t>
      </w:r>
      <w:r w:rsidR="00BF01B3" w:rsidRPr="003A1A2E">
        <w:t xml:space="preserve"> </w:t>
      </w:r>
      <w:r w:rsidR="000B4D98" w:rsidRPr="003A1A2E">
        <w:t>similar populations (low</w:t>
      </w:r>
      <w:r w:rsidR="00667F59" w:rsidRPr="003A1A2E">
        <w:t>er</w:t>
      </w:r>
      <w:r w:rsidR="00386CA0" w:rsidRPr="003A1A2E">
        <w:t>-</w:t>
      </w:r>
      <w:r w:rsidR="000B4D98" w:rsidRPr="003A1A2E">
        <w:t>threshold) of motor units</w:t>
      </w:r>
      <w:r w:rsidR="00BF01B3" w:rsidRPr="003A1A2E">
        <w:t xml:space="preserve"> were analysed and compared between groups</w:t>
      </w:r>
      <w:r w:rsidR="00AB20DD" w:rsidRPr="003A1A2E">
        <w:t xml:space="preserve">. </w:t>
      </w:r>
      <w:r w:rsidR="00015641" w:rsidRPr="003A1A2E">
        <w:t xml:space="preserve">It is possible that different results would have been observed during higher contraction intensities, which would require recruitment of higher-threshold motor units and higher discharge rates. </w:t>
      </w:r>
      <w:r w:rsidR="00B70CCB">
        <w:t xml:space="preserve"> </w:t>
      </w:r>
      <w:bookmarkStart w:id="16" w:name="_Hlk120542624"/>
      <w:r w:rsidR="00B70CCB">
        <w:t xml:space="preserve">However, using higher intensity contractions </w:t>
      </w:r>
      <w:r w:rsidR="00211CA9">
        <w:t xml:space="preserve">reduces </w:t>
      </w:r>
      <w:r w:rsidR="00B70CCB">
        <w:t xml:space="preserve">the </w:t>
      </w:r>
      <w:r w:rsidR="005827E6">
        <w:t>number of</w:t>
      </w:r>
      <w:r w:rsidR="00B70CCB">
        <w:t xml:space="preserve"> motor units</w:t>
      </w:r>
      <w:r w:rsidR="009F7ED4">
        <w:t xml:space="preserve">, </w:t>
      </w:r>
      <w:r w:rsidR="005827E6">
        <w:t>yielded by the decomposition algorithm</w:t>
      </w:r>
      <w:r w:rsidR="002605CF">
        <w:fldChar w:fldCharType="begin" w:fldLock="1"/>
      </w:r>
      <w:r w:rsidR="005827E6">
        <w:instrText xml:space="preserve">ADDIN CSL_CITATION {"citationItems":[{"id":"ITEM-1","itemData":{"DOI":"10.1016/j.clinph.2005.02.006","ISSN":"13882457","PMID":"15876553","abstract":"Objective: To examine the effect of contractile level on motor unit number estimates (MUNEs) and establish the contraction intensity that will yield the most representative MUNE for the tibialis anterior (TA) muscle. Methods: Surface and intramuscular electromyographic (EMG) signals were collected during a range of submaximal (threshold, 10, 20, 30 and 40% MVC) isometric dorsiflexion contractions using decomposition-enhanced spike-triggered averaging (DE-STA). Six MUNEs were calculated, one for each of the five intensities, and an ensemble sixth MUNE that had equal MU contributions from all intensities. Results: Mean surface-motor unit potential sizes increased significantly (26-69 μV) and MUNEs decreased accordingly (226-91) as contraction intensity increased from threshold to 40% MVC, respectively (P&lt;0.05). The ensemble MUNE was 153, and extrapolated to </w:instrText>
      </w:r>
      <w:r w:rsidR="005827E6">
        <w:rPr>
          <w:rFonts w:ascii="Cambria Math" w:hAnsi="Cambria Math" w:cs="Cambria Math"/>
        </w:rPr>
        <w:instrText>∼</w:instrText>
      </w:r>
      <w:r w:rsidR="005827E6">
        <w:instrText xml:space="preserve">25% MVC. Conclusions: There was a significant and progressive decline in the MUNE as contraction intensity increased, confirming the importance of monitoring torque during data collection. The ensemble MUNE suggests that collecting EMG signals at a contraction intensity of </w:instrText>
      </w:r>
      <w:r w:rsidR="005827E6">
        <w:rPr>
          <w:rFonts w:ascii="Cambria Math" w:hAnsi="Cambria Math" w:cs="Cambria Math"/>
        </w:rPr>
        <w:instrText>∼</w:instrText>
      </w:r>
      <w:r w:rsidR="005827E6">
        <w:instrText>25% MVC provides the most representative sample of the actual number and sizes of MUs in the TA. Significance: Establishing appropriate contraction intensities improves the utility of DE-STA as a useful method for tracking changes to the MU pool in disease states and healthy aging. © 2005 Published by Elsevier Ireland Ltd. on behalf of International Federation of Clinical Neurophysiology.","author":[{"dropping-particle":"","family":"McNeil","given":"Chris J.","non-dropping-particle":"","parse-names":false,"suffix":""},{"dropping-particle":"","family":"Doherty","given":"Timothy J.","non-dropping-particle":"","parse-names":false,"suffix":""},{"dropping-particle":"","family":"Stashuk","given":"Daniel W.","non-dropping-particle":"","parse-names":false,"suffix":""},{"dropping-particle":"","family":"Rice","given":"Charles L.","non-dropping-particle":"","parse-names":false,"suffix":""}],"container-title":"Clinical Neurophysiology","id":"ITEM-1","issue":"6","issued":{"date-parts":[["2005"]]},"page":"1342-1347","title":"The effect of contraction intensity on motor unit number estimates of the tibialis anterior","type":"article-journal","volume":"116"},"uris":["http://www.mendeley.com/documents/?uuid=2220859e-ff18-490a-b95e-9fc105345cf3"]},{"id":"ITEM-2","itemData":{"DOI":"10.1109/EMBC.2019.8857475","ISBN":"9781538613115","ISSN":"1557170X","PMID":"31946719","abstract":"Analyses of motor unit activity provide a window to the neural control of motor output. In recent years, considerable advancements in surface EMG decomposition methods have allowed for the discrimination of dozens of individual motor units across a range of muscle forces. While these non-invasive methods show great potential as an emerging technology, they have difficulty discriminating a representative sample of the motor pool. In the present study, we investigate the distribution of recruitment thresholds and motor unit action potential waveforms obtained from high density EMG across four muscles: soleus, tibialis anterior, biceps brachii, and triceps brachii. Ten young and healthy control subjects generated isometric torque ramps between 10-50% maximum voluntary torque during elbow or ankle flexion and extension. Hundreds of motor unit spike trains were decomposed for each muscle across all trials. For lower contraction levels and speeds, surface EMG decomposition discriminated a large number of low-threshold units. However, during contractions of greater speed and torque level the proportion of low threshold motor units decomposed was reduced, resulting in a relatively uniform distribution of recruitment thresholds. The number of motor units decomposed decreased as the contraction level and speed increased. The decomposed units showed a wide range of recruitment thresholds and motor unit action potential amplitudes. In conclusion, although surface EMG decomposition is a useful tool to study large populations of motor units, results of such methods should be interpreted in the context of limitations in sampling of the motor pool.","author":[{"dropping-particle":"","family":"Hassan","given":"Altamash S.","non-dropping-particle":"","parse-names":false,"suffix":""},{"dropping-particle":"","family":"Kim","given":"Edward H.","non-dropping-particle":"","parse-names":false,"suffix":""},{"dropping-particle":"","family":"Khurram","given":"Obaid U.","non-dropping-particle":"","parse-names":false,"suffix":""},{"dropping-particle":"","family":"Cummings","given":"Mark","non-dropping-particle":"","parse-names":false,"suffix":""},{"dropping-particle":"","family":"Thompson","given":"Christopher K.","non-dropping-particle":"","parse-names":false,"suffix":""},{"dropping-particle":"","family":"Miller McPherson","given":"Laura","non-dropping-particle":"","parse-names":false,"suffix":""},{"dropping-particle":"","family":"Heckman","given":"C. J.","non-dropping-particle":"","parse-names":false,"suffix":""},{"dropping-particle":"","family":"Dewald","given":"Julius P.A.","non-dropping-particle":"","parse-names":false,"suffix":""},{"dropping-particle":"","family":"Negro","given":"Francesco","non-dropping-particle":"","parse-names":false,"suffix":""}],"container-title":"Proceedings of the Annual International Conference of the IEEE Engineering in Medicine and Biology Society, EMBS","id":"ITEM-2","issued":{"date-parts":[["2019"]]},"page":"3874-3878","publisher":"IEEE","title":"Properties of Motor Units of Elbow and Ankle Muscles Decomposed Using High-Density Surface EMG","type":"article-journal"},"uris":["http://www.mendeley.com/documents/?uuid=4f4b62d6-f142-421c-b878-831ebbea9a0a"]},{"id":"ITEM-3","itemData":{"DOI":"10.1016/j.jelekin.2020.102426","ISSN":"18735711","PMID":"32438235","abstract":"Recent work demonstrated that it is possible to identify motor unit discharge times from high-density surface EMG (HDEMG) decomposition. Since then, the number of studies that use HDEMG decomposition for motor unit investigations has increased considerably. Although HDEMG decomposition is a semi-automatic process, the analysis and interpretation of the motor unit pulse trains requires a thorough inspection of the output of the decomposition result. Here, we report guidelines to perform an accurate extraction of motor unit discharge times and interpretation of the signals. This tutorial includes a discussion of the differences between the extraction of global EMG signal features versus the identification of motor unit activity for physiological investigations followed by a comprehensive guide on how to acquire, inspect, and decompose HDEMG signals, and robust extraction of motor unit discharge characteristics.","author":[{"dropping-particle":"","family":"Vecchio","given":"A.","non-dropping-particle":"Del","parse-names":false,"suffix":""},{"dropping-particle":"","family":"Holobar","given":"A.","non-dropping-particle":"","parse-names":false,"suffix":""},{"dropping-particle":"","family":"Falla","given":"D.","non-dropping-particle":"","parse-names":false,"suffix":""},{"dropping-particle":"","family":"Felici","given":"F.","non-dropping-particle":"","parse-names":false,"suffix":""},{"dropping-particle":"","family":"Enoka","given":"R. M.","non-dropping-particle":"","parse-names":false,"suffix":""},{"dropping-particle":"","family":"Farina","given":"D.","non-dropping-particle":"","parse-names":false,"suffix":""}],"container-title":"Journal of Electromyography and Kinesiology","id":"ITEM-3","issued":{"date-parts":[["2020"]]},"page":"102426","publisher":"Elsevier Ltd","title":"Tutorial: Analysis of motor unit discharge characteristics from high-density surface EMG signals","type":"article-journal","volume":"53"},"uris":["http://www.mendeley.com/documents/?uuid=abe2731f-79e8-4c5a-a658-867a56e1b252"]}],"mendeley":{"formattedCitation":"&lt;sup&gt;24,39,40&lt;/sup&gt;","plainTextFormattedCitation":"24,39,40","previouslyFormattedCitation":"&lt;sup&gt;24,40,41&lt;/sup&gt;"},"properties":{"noteIndex":0},"schema":"https://github.com/citation-style-language/schema/raw/master/csl-citation.json"}</w:instrText>
      </w:r>
      <w:r w:rsidR="002605CF">
        <w:fldChar w:fldCharType="separate"/>
      </w:r>
      <w:r w:rsidR="005827E6" w:rsidRPr="005827E6">
        <w:rPr>
          <w:noProof/>
          <w:vertAlign w:val="superscript"/>
        </w:rPr>
        <w:t>24,39,40</w:t>
      </w:r>
      <w:r w:rsidR="002605CF">
        <w:fldChar w:fldCharType="end"/>
      </w:r>
      <w:r w:rsidR="001C5330">
        <w:t>.</w:t>
      </w:r>
      <w:r w:rsidR="00F0269A">
        <w:t xml:space="preserve"> Future studies should try and use higher contraction intensities and try and replicate our studies using lower-threshold motor units. </w:t>
      </w:r>
      <w:r w:rsidR="001C5330">
        <w:t xml:space="preserve"> </w:t>
      </w:r>
      <w:bookmarkEnd w:id="16"/>
    </w:p>
    <w:p w14:paraId="78EC6893" w14:textId="7B01883E" w:rsidR="00B42708" w:rsidRPr="003A1A2E" w:rsidRDefault="00AB5FED" w:rsidP="005811A7">
      <w:pPr>
        <w:autoSpaceDE w:val="0"/>
        <w:autoSpaceDN w:val="0"/>
        <w:adjustRightInd w:val="0"/>
        <w:spacing w:line="480" w:lineRule="auto"/>
        <w:ind w:firstLine="720"/>
        <w:jc w:val="both"/>
      </w:pPr>
      <w:r w:rsidRPr="003A1A2E">
        <w:t xml:space="preserve">All these findings imply that </w:t>
      </w:r>
      <w:r w:rsidR="002E0E05">
        <w:t xml:space="preserve">the </w:t>
      </w:r>
      <w:r w:rsidRPr="003A1A2E">
        <w:t xml:space="preserve">ability </w:t>
      </w:r>
      <w:r w:rsidR="002E0E05">
        <w:t xml:space="preserve">of the soleus </w:t>
      </w:r>
      <w:r w:rsidRPr="003A1A2E">
        <w:t>to produce force might not be affected in AT, as previously suggested in the literature</w:t>
      </w:r>
      <w:r w:rsidRPr="003A1A2E">
        <w:fldChar w:fldCharType="begin" w:fldLock="1"/>
      </w:r>
      <w:r w:rsidRPr="003A1A2E">
        <w:instrText>ADDIN CSL_CITATION {"citationItems":[{"id":"ITEM-1","itemData":{"DOI":"10.1016/j.ptsp.2019.03.002","ISSN":"18731600","PMID":"30884279","abstract":"Objectives: Determine how the strength and endurance of the plantar flexors are affected by Achilles tendinopathy and whether one muscle is more affected than another. Design: Case control study. Setting: University Laboratory. Participants: 39 Runners with mid-portion Achilles tendinopathy and 38 healthy runners participated in this study. Main outcome measures: Isokinetic dynamometry was completed bilaterally in two knee positions on all subjects to assess the torque and endurance capacity of the plantar flexors. Results: Subjects with Achilles tendinopathy were statistically weaker (by 26.1Nm Concentric 90°/sec, 14,8Nm Concentric 225°/sec and 55.5Nm Eccentric 90°/sec for knee extended testing and 17.3Nm, 10.1Nm and 52.3Nm for the flexed knee respectively) than healthy controls at all isokinetic test speeds and contraction modes irrespective of knee position (p value = &lt;0.001). The endurance capacity of the plantar flexors was significantly reduced (Total work done 613.5Nm less) in subjects with Achilles tendinopathy when compared to the healthy controls (p value = &lt;0.001). Conclusions: Achilles tendinopathy is associated with large deficits in plantar flexor torque and endurance. The deficits are bilateral in nature and appear to be explained by a greater loss of the soleus force generating capacity rather than the gastrocnemius.","author":[{"dropping-particle":"","family":"O'Neill","given":"Seth","non-dropping-particle":"","parse-names":false,"suffix":""},{"dropping-particle":"","family":"Barry","given":"Simon","non-dropping-particle":"","parse-names":false,"suffix":""},{"dropping-particle":"","family":"Watson","given":"Paul","non-dropping-particle":"","parse-names":false,"suffix":""}],"container-title":"Physical Therapy in Sport","id":"ITEM-1","issued":{"date-parts":[["2019"]]},"page":"69-76","publisher":"Elsevier Ltd","title":"Plantarflexor strength and endurance deficits associated with mid-portion Achilles tendinopathy: The role of soleus","type":"article-journal","volume":"37"},"uris":["http://www.mendeley.com/documents/?uuid=39aa78e9-0163-498d-8c93-359b0cbff29a"]}],"mendeley":{"formattedCitation":"&lt;sup&gt;2&lt;/sup&gt;","plainTextFormattedCitation":"2","previouslyFormattedCitation":"&lt;sup&gt;2&lt;/sup&gt;"},"properties":{"noteIndex":0},"schema":"https://github.com/citation-style-language/schema/raw/master/csl-citation.json"}</w:instrText>
      </w:r>
      <w:r w:rsidRPr="003A1A2E">
        <w:fldChar w:fldCharType="separate"/>
      </w:r>
      <w:r w:rsidRPr="003A1A2E">
        <w:rPr>
          <w:noProof/>
          <w:vertAlign w:val="superscript"/>
        </w:rPr>
        <w:t>2</w:t>
      </w:r>
      <w:r w:rsidRPr="003A1A2E">
        <w:fldChar w:fldCharType="end"/>
      </w:r>
      <w:r w:rsidRPr="003A1A2E">
        <w:t xml:space="preserve">. </w:t>
      </w:r>
      <w:r w:rsidR="00464E7F" w:rsidRPr="003A1A2E">
        <w:t xml:space="preserve">Future studies should investigate </w:t>
      </w:r>
      <w:r w:rsidR="00464E7F" w:rsidRPr="003A1A2E">
        <w:lastRenderedPageBreak/>
        <w:t xml:space="preserve">motor neurone excitability of each individual muscle of the triceps surae to understand </w:t>
      </w:r>
      <w:r w:rsidR="005811A7" w:rsidRPr="003A1A2E">
        <w:t>if these muscle deficits</w:t>
      </w:r>
      <w:r w:rsidR="005811A7" w:rsidRPr="003A1A2E">
        <w:fldChar w:fldCharType="begin" w:fldLock="1"/>
      </w:r>
      <w:r w:rsidR="005827E6">
        <w:instrText>ADDIN CSL_CITATION {"citationItems":[{"id":"ITEM-1","itemData":{"DOI":"10.4085/1062-6050-43-18","ISBN":"4201502538","ISSN":"1938162X","PMID":"31386582","abstract":"Background: Persistent strength deficits secondary to Achilles tendinopathy (AT) have been postulated to account for difficulty engaging in tendon-loading movements, such as running and jumping, and may contribute to the increased risk of recurrence. To date, little consensus exists on the presence of strength deficits in AT. Consequently, researchers are uncertain about the appropriate methods of assessment that may inform rehabilitation in clinical practice. Objective: To evaluate and synthesize the literature investigating plantar-flexion (PF) strength in individuals with AT. Study Selection: Two independent reviewers searched 9 electronic databases using an agreed-upon set of key words. Data Extraction: Data were extracted from studies comparing strength measures (maximal, reactive, and explosive strength) between individuals with AT and healthy control participants or between the injured and uninjured sides of people with AT. The Critical Appraisal Skills Programme Case-Control Study Checklist was used to assess the risk of bias for the included studies. Data Synthesis: A total of 19 studies were eligible. Pooled meta-analyses for isokinetic dynamometry demonstrated reductions in maximal strength (concentric PF peak torque [PT] slow [Hedges g ¼ 0.52, 44% deficit], concentric PF PT fast [Hedges g ¼ 0.61, 38% deficit], and eccentric PF PT slow [Hedges g ¼ 0.26, 18% deficit]). Reactive strength, particularly during hopping, was also reduced (Hedges g range ¼ 0.32–2.61, 16%–35% deficit). For explosive strength, reductions in the rate of force development (Hedges g range ¼ 0.31–1.73, 10%–21% deficit) were observed, whereas the findings for ground reaction force varied but were not consistently altered. Conclusions: Individuals with AT demonstrated strength deficits compared with the uninjured side or with asymptomatic control participants. Deficits were reported across the strength spectrum for maximal, reactive, and explosive strength. Clinicians and researchers may need to adapt their assessment of Achilles tendon function, which may ultimately help to optimize rehabilitation outcomes.","author":[{"dropping-particle":"","family":"McAuliffe","given":"Seán","non-dropping-particle":"","parse-names":false,"suffix":""},{"dropping-particle":"","family":"Tabuena","given":"Ariane","non-dropping-particle":"","parse-names":false,"suffix":""},{"dropping-particle":"","family":"McCreesh","given":"Karen","non-dropping-particle":"","parse-names":false,"suffix":""},{"dropping-particle":"","family":"O’Keeffe","given":"Mary","non-dropping-particle":"","parse-names":false,"suffix":""},{"dropping-particle":"","family":"Hurley","given":"John","non-dropping-particle":"","parse-names":false,"suffix":""},{"dropping-particle":"","family":"Comyns","given":"Tom","non-dropping-particle":"","parse-names":false,"suffix":""},{"dropping-particle":"","family":"Purtill","given":"Helen","non-dropping-particle":"","parse-names":false,"suffix":""},{"dropping-particle":"","family":"O’Neill","given":"Seth","non-dropping-particle":"","parse-names":false,"suffix":""},{"dropping-particle":"","family":"O’Sullivan","given":"Kieran","non-dropping-particle":"","parse-names":false,"suffix":""}],"container-title":"Journal of Athletic Training","id":"ITEM-1","issue":"8","issued":{"date-parts":[["2019"]]},"page":"889-900","title":"Altered strength profile in Achilles tendinopathy: A systematic review and meta-analysis","type":"article-journal","volume":"54"},"uris":["http://www.mendeley.com/documents/?uuid=c6b7fe8c-16a6-4e2a-a200-0a5887931c17"]}],"mendeley":{"formattedCitation":"&lt;sup&gt;36&lt;/sup&gt;","plainTextFormattedCitation":"36","previouslyFormattedCitation":"&lt;sup&gt;37&lt;/sup&gt;"},"properties":{"noteIndex":0},"schema":"https://github.com/citation-style-language/schema/raw/master/csl-citation.json"}</w:instrText>
      </w:r>
      <w:r w:rsidR="005811A7" w:rsidRPr="003A1A2E">
        <w:fldChar w:fldCharType="separate"/>
      </w:r>
      <w:r w:rsidR="005827E6" w:rsidRPr="005827E6">
        <w:rPr>
          <w:noProof/>
          <w:vertAlign w:val="superscript"/>
        </w:rPr>
        <w:t>36</w:t>
      </w:r>
      <w:r w:rsidR="005811A7" w:rsidRPr="003A1A2E">
        <w:fldChar w:fldCharType="end"/>
      </w:r>
      <w:r w:rsidR="005811A7" w:rsidRPr="003A1A2E">
        <w:t xml:space="preserve"> widely reported in runners with AT are in fact muscle specific. </w:t>
      </w:r>
    </w:p>
    <w:p w14:paraId="43AD66EE" w14:textId="77777777" w:rsidR="00A22F4F" w:rsidRPr="003A1A2E" w:rsidRDefault="00A22F4F" w:rsidP="00A22F4F">
      <w:pPr>
        <w:pStyle w:val="BodyA"/>
        <w:spacing w:after="0"/>
        <w:rPr>
          <w:rFonts w:ascii="Times New Roman" w:hAnsi="Times New Roman" w:cs="Times New Roman"/>
          <w:color w:val="auto"/>
        </w:rPr>
      </w:pPr>
    </w:p>
    <w:p w14:paraId="45405F61" w14:textId="5DB5000B" w:rsidR="004E69BA" w:rsidRPr="003A1A2E" w:rsidRDefault="004E69BA" w:rsidP="00504A0D">
      <w:pPr>
        <w:pStyle w:val="BodyA"/>
        <w:spacing w:after="0"/>
        <w:ind w:firstLine="0"/>
        <w:rPr>
          <w:rFonts w:ascii="Times New Roman" w:hAnsi="Times New Roman" w:cs="Times New Roman"/>
          <w:i/>
          <w:iCs/>
          <w:color w:val="auto"/>
          <w:sz w:val="24"/>
          <w:szCs w:val="24"/>
          <w:lang w:val="en-AU"/>
        </w:rPr>
      </w:pPr>
      <w:r w:rsidRPr="003A1A2E">
        <w:rPr>
          <w:rFonts w:ascii="Times New Roman" w:hAnsi="Times New Roman" w:cs="Times New Roman"/>
          <w:i/>
          <w:iCs/>
          <w:color w:val="auto"/>
          <w:sz w:val="24"/>
          <w:szCs w:val="24"/>
          <w:lang w:val="en-AU"/>
        </w:rPr>
        <w:t>4.</w:t>
      </w:r>
      <w:r w:rsidR="001338FE" w:rsidRPr="003A1A2E">
        <w:rPr>
          <w:rFonts w:ascii="Times New Roman" w:hAnsi="Times New Roman" w:cs="Times New Roman"/>
          <w:i/>
          <w:iCs/>
          <w:color w:val="auto"/>
          <w:sz w:val="24"/>
          <w:szCs w:val="24"/>
          <w:lang w:val="en-AU"/>
        </w:rPr>
        <w:t>4</w:t>
      </w:r>
      <w:r w:rsidRPr="003A1A2E">
        <w:rPr>
          <w:rFonts w:ascii="Times New Roman" w:hAnsi="Times New Roman" w:cs="Times New Roman"/>
          <w:i/>
          <w:iCs/>
          <w:color w:val="auto"/>
          <w:sz w:val="24"/>
          <w:szCs w:val="24"/>
          <w:lang w:val="en-AU"/>
        </w:rPr>
        <w:t xml:space="preserve"> </w:t>
      </w:r>
      <w:r w:rsidR="00913EEF" w:rsidRPr="003A1A2E">
        <w:rPr>
          <w:rFonts w:ascii="Times New Roman" w:hAnsi="Times New Roman" w:cs="Times New Roman"/>
          <w:i/>
          <w:iCs/>
          <w:color w:val="auto"/>
          <w:sz w:val="24"/>
          <w:szCs w:val="24"/>
          <w:lang w:val="en-AU"/>
        </w:rPr>
        <w:t xml:space="preserve">Strengths and </w:t>
      </w:r>
      <w:r w:rsidR="00706162" w:rsidRPr="003A1A2E">
        <w:rPr>
          <w:rFonts w:ascii="Times New Roman" w:hAnsi="Times New Roman" w:cs="Times New Roman"/>
          <w:i/>
          <w:iCs/>
          <w:color w:val="auto"/>
          <w:sz w:val="24"/>
          <w:szCs w:val="24"/>
          <w:lang w:val="en-AU"/>
        </w:rPr>
        <w:t>L</w:t>
      </w:r>
      <w:r w:rsidRPr="003A1A2E">
        <w:rPr>
          <w:rFonts w:ascii="Times New Roman" w:hAnsi="Times New Roman" w:cs="Times New Roman"/>
          <w:i/>
          <w:iCs/>
          <w:color w:val="auto"/>
          <w:sz w:val="24"/>
          <w:szCs w:val="24"/>
          <w:lang w:val="en-AU"/>
        </w:rPr>
        <w:t xml:space="preserve">imitations </w:t>
      </w:r>
    </w:p>
    <w:p w14:paraId="4E3B26BB" w14:textId="581DFFD3" w:rsidR="003D6CC9" w:rsidRPr="003A1A2E" w:rsidRDefault="009F7B3B" w:rsidP="002A7F02">
      <w:pPr>
        <w:pStyle w:val="BodyA"/>
        <w:spacing w:after="0"/>
        <w:rPr>
          <w:rFonts w:ascii="Times New Roman" w:hAnsi="Times New Roman" w:cs="Times New Roman"/>
          <w:color w:val="auto"/>
          <w:sz w:val="24"/>
          <w:szCs w:val="24"/>
          <w:lang w:val="en-AU"/>
        </w:rPr>
      </w:pPr>
      <w:r w:rsidRPr="003A1A2E">
        <w:rPr>
          <w:rFonts w:ascii="Times New Roman" w:hAnsi="Times New Roman" w:cs="Times New Roman"/>
          <w:color w:val="auto"/>
          <w:sz w:val="24"/>
          <w:szCs w:val="24"/>
          <w:lang w:val="en-AU"/>
        </w:rPr>
        <w:t xml:space="preserve">The </w:t>
      </w:r>
      <w:r w:rsidR="00CC6065" w:rsidRPr="003A1A2E">
        <w:rPr>
          <w:rFonts w:ascii="Times New Roman" w:hAnsi="Times New Roman" w:cs="Times New Roman"/>
          <w:color w:val="auto"/>
          <w:sz w:val="24"/>
          <w:szCs w:val="24"/>
          <w:lang w:val="en-AU"/>
        </w:rPr>
        <w:t>HD-EMG</w:t>
      </w:r>
      <w:r w:rsidR="00913EEF" w:rsidRPr="003A1A2E">
        <w:rPr>
          <w:rFonts w:ascii="Times New Roman" w:hAnsi="Times New Roman" w:cs="Times New Roman"/>
          <w:color w:val="auto"/>
          <w:sz w:val="24"/>
          <w:szCs w:val="24"/>
          <w:lang w:val="en-AU"/>
        </w:rPr>
        <w:t xml:space="preserve"> technology </w:t>
      </w:r>
      <w:r w:rsidRPr="003A1A2E">
        <w:rPr>
          <w:rFonts w:ascii="Times New Roman" w:hAnsi="Times New Roman" w:cs="Times New Roman"/>
          <w:color w:val="auto"/>
          <w:sz w:val="24"/>
          <w:szCs w:val="24"/>
          <w:lang w:val="en-AU"/>
        </w:rPr>
        <w:t xml:space="preserve">used in this study provides reliable estimates </w:t>
      </w:r>
      <w:r w:rsidR="002E0E05">
        <w:rPr>
          <w:rFonts w:ascii="Times New Roman" w:hAnsi="Times New Roman" w:cs="Times New Roman"/>
          <w:color w:val="auto"/>
          <w:sz w:val="24"/>
          <w:szCs w:val="24"/>
          <w:lang w:val="en-AU"/>
        </w:rPr>
        <w:t>of</w:t>
      </w:r>
      <w:r w:rsidR="002E0E05" w:rsidRPr="003A1A2E">
        <w:rPr>
          <w:rFonts w:ascii="Times New Roman" w:hAnsi="Times New Roman" w:cs="Times New Roman"/>
          <w:color w:val="auto"/>
          <w:sz w:val="24"/>
          <w:szCs w:val="24"/>
          <w:lang w:val="en-AU"/>
        </w:rPr>
        <w:t xml:space="preserve"> </w:t>
      </w:r>
      <w:r w:rsidRPr="003A1A2E">
        <w:rPr>
          <w:rFonts w:ascii="Times New Roman" w:hAnsi="Times New Roman" w:cs="Times New Roman"/>
          <w:color w:val="auto"/>
          <w:sz w:val="24"/>
          <w:szCs w:val="24"/>
          <w:lang w:val="en-AU"/>
        </w:rPr>
        <w:t xml:space="preserve">individual motor unit </w:t>
      </w:r>
      <w:r w:rsidR="00913EEF" w:rsidRPr="003A1A2E">
        <w:rPr>
          <w:rFonts w:ascii="Times New Roman" w:hAnsi="Times New Roman" w:cs="Times New Roman"/>
          <w:color w:val="auto"/>
          <w:sz w:val="24"/>
          <w:szCs w:val="24"/>
          <w:lang w:val="en-AU"/>
        </w:rPr>
        <w:t>discharge rates</w:t>
      </w:r>
      <w:r w:rsidRPr="003A1A2E">
        <w:rPr>
          <w:rFonts w:ascii="Times New Roman" w:hAnsi="Times New Roman" w:cs="Times New Roman"/>
        </w:rPr>
        <w:fldChar w:fldCharType="begin" w:fldLock="1"/>
      </w:r>
      <w:r w:rsidR="00D87B12">
        <w:rPr>
          <w:rFonts w:ascii="Times New Roman" w:hAnsi="Times New Roman" w:cs="Times New Roman"/>
          <w:color w:val="auto"/>
          <w:sz w:val="24"/>
          <w:szCs w:val="24"/>
          <w:lang w:val="en-AU"/>
        </w:rPr>
        <w:instrText>ADDIN CSL_CITATION {"citationItems":[{"id":"ITEM-1","itemData":{"DOI":"10.1016/j.clinph.2015.10.065","ISSN":"18728952","PMID":"26778718","abstract":"Objective: To assess the intra- and inter-session reliability of estimates of motor unit behavior and muscle fiber properties derived from high-density surface electromyography (HDEMG). Methods: Ten healthy subjects performed submaximal isometric knee extensions during three recording sessions (separate days) at 10%, 30%, 50% and 70% of their maximum voluntary effort. The discharge timings of motor units of the vastus lateralis and medialis muscles were automatically identified from HDEMG by a decomposition algorithm. We characterized the number of detected motor units, their discharge rates, the coefficient of variation of their inter-spike intervals (CoVisi), the action potential conduction velocity and peak-to-peak amplitude. Reliability was assessed for each motor unit characteristics by intra-class correlation coefficient (ICC). Additionally, a pulse-to-noise ratio (PNR) was calculated, to verify the accuracy of the decomposition. Results: Good to excellent reliability within and between sessions was found for all motor unit characteristics at all force levels (ICCs &gt; 0.8), with the exception of CoVisi that presented poor reliability (ICC &lt; 0.6). PNR was high and similar for both muscles with values ranging between 45.1 and 47.6 dB (accuracy &gt; 95%). Conclusion: Motor unit features can be assessed non-invasively and reliably within and across sessions over a wide range of force levels. Significance: These results suggest that it is possible to characterize motor units in longitudinal intervention studies.","author":[{"dropping-particle":"","family":"Martinez-Valdes","given":"E.","non-dropping-particle":"","parse-names":false,"suffix":""},{"dropping-particle":"","family":"Laine","given":"C. M.","non-dropping-particle":"","parse-names":false,"suffix":""},{"dropping-particle":"","family":"Falla","given":"D.","non-dropping-particle":"","parse-names":false,"suffix":""},{"dropping-particle":"","family":"Mayer","given":"F.","non-dropping-particle":"","parse-names":false,"suffix":""},{"dropping-particle":"","family":"Farina","given":"D.","non-dropping-particle":"","parse-names":false,"suffix":""}],"container-title":"Clinical Neurophysiology","id":"ITEM-1","issue":"6","issued":{"date-parts":[["2016"]]},"page":"2534-2541","publisher":"International Federation of Clinical Neurophysiology","title":"High-density surface electromyography provides reliable estimates of motor unit behavior","type":"article-journal","volume":"127"},"uris":["http://www.mendeley.com/documents/?uuid=e9384a22-e240-4cd9-b847-3fb54a64b43b"]}],"mendeley":{"formattedCitation":"&lt;sup&gt;25&lt;/sup&gt;","plainTextFormattedCitation":"25","previouslyFormattedCitation":"&lt;sup&gt;25&lt;/sup&gt;"},"properties":{"noteIndex":0},"schema":"https://github.com/citation-style-language/schema/raw/master/csl-citation.json"}</w:instrText>
      </w:r>
      <w:r w:rsidRPr="003A1A2E">
        <w:rPr>
          <w:rFonts w:ascii="Times New Roman" w:hAnsi="Times New Roman" w:cs="Times New Roman"/>
        </w:rPr>
        <w:fldChar w:fldCharType="separate"/>
      </w:r>
      <w:r w:rsidR="00D87B12" w:rsidRPr="00D87B12">
        <w:rPr>
          <w:rFonts w:ascii="Times New Roman" w:hAnsi="Times New Roman" w:cs="Times New Roman"/>
          <w:noProof/>
          <w:color w:val="auto"/>
          <w:sz w:val="24"/>
          <w:szCs w:val="24"/>
          <w:vertAlign w:val="superscript"/>
          <w:lang w:val="en-AU"/>
        </w:rPr>
        <w:t>25</w:t>
      </w:r>
      <w:r w:rsidRPr="003A1A2E">
        <w:rPr>
          <w:rFonts w:ascii="Times New Roman" w:hAnsi="Times New Roman" w:cs="Times New Roman"/>
        </w:rPr>
        <w:fldChar w:fldCharType="end"/>
      </w:r>
      <w:r w:rsidR="00913EEF" w:rsidRPr="003A1A2E">
        <w:rPr>
          <w:rFonts w:ascii="Times New Roman" w:hAnsi="Times New Roman" w:cs="Times New Roman"/>
          <w:color w:val="auto"/>
          <w:sz w:val="24"/>
          <w:szCs w:val="24"/>
          <w:lang w:val="en-AU"/>
        </w:rPr>
        <w:t>.</w:t>
      </w:r>
      <w:r w:rsidRPr="003A1A2E">
        <w:rPr>
          <w:rFonts w:ascii="Times New Roman" w:hAnsi="Times New Roman" w:cs="Times New Roman"/>
          <w:color w:val="auto"/>
          <w:sz w:val="24"/>
          <w:szCs w:val="24"/>
          <w:lang w:val="en-AU"/>
        </w:rPr>
        <w:t xml:space="preserve"> </w:t>
      </w:r>
      <w:r w:rsidR="00913EEF" w:rsidRPr="003A1A2E">
        <w:rPr>
          <w:rFonts w:ascii="Times New Roman" w:hAnsi="Times New Roman" w:cs="Times New Roman"/>
          <w:color w:val="auto"/>
          <w:sz w:val="24"/>
          <w:szCs w:val="24"/>
          <w:lang w:val="en-AU"/>
        </w:rPr>
        <w:t>H</w:t>
      </w:r>
      <w:r w:rsidRPr="003A1A2E">
        <w:rPr>
          <w:rFonts w:ascii="Times New Roman" w:hAnsi="Times New Roman" w:cs="Times New Roman"/>
          <w:color w:val="auto"/>
          <w:sz w:val="24"/>
          <w:szCs w:val="24"/>
          <w:lang w:val="en-AU"/>
        </w:rPr>
        <w:t>owever</w:t>
      </w:r>
      <w:r w:rsidR="00913EEF" w:rsidRPr="003A1A2E">
        <w:rPr>
          <w:rFonts w:ascii="Times New Roman" w:hAnsi="Times New Roman" w:cs="Times New Roman"/>
          <w:color w:val="auto"/>
          <w:sz w:val="24"/>
          <w:szCs w:val="24"/>
          <w:lang w:val="en-AU"/>
        </w:rPr>
        <w:t>,</w:t>
      </w:r>
      <w:r w:rsidRPr="003A1A2E">
        <w:rPr>
          <w:rFonts w:ascii="Times New Roman" w:hAnsi="Times New Roman" w:cs="Times New Roman"/>
          <w:color w:val="auto"/>
          <w:sz w:val="24"/>
          <w:szCs w:val="24"/>
          <w:lang w:val="en-AU"/>
        </w:rPr>
        <w:t xml:space="preserve"> it requires data to be collected during </w:t>
      </w:r>
      <w:r w:rsidR="00841C76" w:rsidRPr="003A1A2E">
        <w:rPr>
          <w:rFonts w:ascii="Times New Roman" w:hAnsi="Times New Roman" w:cs="Times New Roman"/>
          <w:color w:val="auto"/>
          <w:sz w:val="24"/>
          <w:szCs w:val="24"/>
          <w:lang w:val="en-AU"/>
        </w:rPr>
        <w:t>isometric contraction</w:t>
      </w:r>
      <w:r w:rsidR="00DD6AA2" w:rsidRPr="003A1A2E">
        <w:rPr>
          <w:rFonts w:ascii="Times New Roman" w:hAnsi="Times New Roman" w:cs="Times New Roman"/>
          <w:color w:val="auto"/>
          <w:sz w:val="24"/>
          <w:szCs w:val="24"/>
          <w:lang w:val="en-AU"/>
        </w:rPr>
        <w:t>s</w:t>
      </w:r>
      <w:r w:rsidR="00841C76" w:rsidRPr="003A1A2E">
        <w:rPr>
          <w:rFonts w:ascii="Times New Roman" w:hAnsi="Times New Roman" w:cs="Times New Roman"/>
          <w:color w:val="auto"/>
          <w:sz w:val="24"/>
          <w:szCs w:val="24"/>
          <w:lang w:val="en-AU"/>
        </w:rPr>
        <w:t xml:space="preserve"> </w:t>
      </w:r>
      <w:r w:rsidR="00913EEF" w:rsidRPr="003A1A2E">
        <w:rPr>
          <w:rFonts w:ascii="Times New Roman" w:hAnsi="Times New Roman" w:cs="Times New Roman"/>
          <w:color w:val="auto"/>
          <w:sz w:val="24"/>
          <w:szCs w:val="24"/>
          <w:lang w:val="en-AU"/>
        </w:rPr>
        <w:t xml:space="preserve">to allow </w:t>
      </w:r>
      <w:r w:rsidR="0076486F" w:rsidRPr="003A1A2E">
        <w:rPr>
          <w:rFonts w:ascii="Times New Roman" w:hAnsi="Times New Roman" w:cs="Times New Roman"/>
          <w:color w:val="auto"/>
          <w:sz w:val="24"/>
          <w:szCs w:val="24"/>
          <w:lang w:val="en-AU"/>
        </w:rPr>
        <w:t>accurate</w:t>
      </w:r>
      <w:r w:rsidR="00841C76" w:rsidRPr="003A1A2E">
        <w:rPr>
          <w:rFonts w:ascii="Times New Roman" w:hAnsi="Times New Roman" w:cs="Times New Roman"/>
          <w:color w:val="auto"/>
          <w:sz w:val="24"/>
          <w:szCs w:val="24"/>
          <w:lang w:val="en-AU"/>
        </w:rPr>
        <w:t xml:space="preserve"> motor unit </w:t>
      </w:r>
      <w:r w:rsidR="00950B7A" w:rsidRPr="003A1A2E">
        <w:rPr>
          <w:rFonts w:ascii="Times New Roman" w:hAnsi="Times New Roman" w:cs="Times New Roman"/>
          <w:color w:val="auto"/>
          <w:sz w:val="24"/>
          <w:szCs w:val="24"/>
          <w:lang w:val="en-AU"/>
        </w:rPr>
        <w:t xml:space="preserve">recording and </w:t>
      </w:r>
      <w:r w:rsidR="00841C76" w:rsidRPr="003A1A2E">
        <w:rPr>
          <w:rFonts w:ascii="Times New Roman" w:hAnsi="Times New Roman" w:cs="Times New Roman"/>
          <w:color w:val="auto"/>
          <w:sz w:val="24"/>
          <w:szCs w:val="24"/>
          <w:lang w:val="en-AU"/>
        </w:rPr>
        <w:t>decomposition</w:t>
      </w:r>
      <w:r w:rsidR="00913EEF" w:rsidRPr="003A1A2E">
        <w:rPr>
          <w:rFonts w:ascii="Times New Roman" w:hAnsi="Times New Roman" w:cs="Times New Roman"/>
          <w:color w:val="auto"/>
          <w:sz w:val="24"/>
          <w:szCs w:val="24"/>
          <w:lang w:val="en-AU"/>
        </w:rPr>
        <w:t>.</w:t>
      </w:r>
      <w:r w:rsidR="00841C76" w:rsidRPr="003A1A2E">
        <w:rPr>
          <w:rFonts w:ascii="Times New Roman" w:hAnsi="Times New Roman" w:cs="Times New Roman"/>
          <w:color w:val="auto"/>
          <w:sz w:val="24"/>
          <w:szCs w:val="24"/>
          <w:lang w:val="en-AU"/>
        </w:rPr>
        <w:t xml:space="preserve"> </w:t>
      </w:r>
      <w:r w:rsidR="00913EEF" w:rsidRPr="003A1A2E">
        <w:rPr>
          <w:rFonts w:ascii="Times New Roman" w:hAnsi="Times New Roman" w:cs="Times New Roman"/>
          <w:color w:val="auto"/>
          <w:sz w:val="24"/>
          <w:szCs w:val="24"/>
          <w:lang w:val="en-AU"/>
        </w:rPr>
        <w:t>T</w:t>
      </w:r>
      <w:r w:rsidR="00BA1200" w:rsidRPr="003A1A2E">
        <w:rPr>
          <w:rFonts w:ascii="Times New Roman" w:hAnsi="Times New Roman" w:cs="Times New Roman"/>
          <w:color w:val="auto"/>
          <w:sz w:val="24"/>
          <w:szCs w:val="24"/>
          <w:lang w:val="en-AU"/>
        </w:rPr>
        <w:t>herefore, we</w:t>
      </w:r>
      <w:r w:rsidR="00841C76" w:rsidRPr="003A1A2E">
        <w:rPr>
          <w:rFonts w:ascii="Times New Roman" w:hAnsi="Times New Roman" w:cs="Times New Roman"/>
          <w:color w:val="auto"/>
          <w:sz w:val="24"/>
          <w:szCs w:val="24"/>
          <w:lang w:val="en-AU"/>
        </w:rPr>
        <w:t xml:space="preserve"> cannot extrapolate our results </w:t>
      </w:r>
      <w:r w:rsidR="0076486F" w:rsidRPr="003A1A2E">
        <w:rPr>
          <w:rFonts w:ascii="Times New Roman" w:hAnsi="Times New Roman" w:cs="Times New Roman"/>
          <w:color w:val="auto"/>
          <w:sz w:val="24"/>
          <w:szCs w:val="24"/>
          <w:lang w:val="en-AU"/>
        </w:rPr>
        <w:t>in</w:t>
      </w:r>
      <w:r w:rsidR="00841C76" w:rsidRPr="003A1A2E">
        <w:rPr>
          <w:rFonts w:ascii="Times New Roman" w:hAnsi="Times New Roman" w:cs="Times New Roman"/>
          <w:color w:val="auto"/>
          <w:sz w:val="24"/>
          <w:szCs w:val="24"/>
          <w:lang w:val="en-AU"/>
        </w:rPr>
        <w:t>to dynamic tasks</w:t>
      </w:r>
      <w:r w:rsidR="00BA1200" w:rsidRPr="003A1A2E">
        <w:rPr>
          <w:rFonts w:ascii="Times New Roman" w:hAnsi="Times New Roman" w:cs="Times New Roman"/>
          <w:color w:val="auto"/>
          <w:sz w:val="24"/>
          <w:szCs w:val="24"/>
          <w:lang w:val="en-AU"/>
        </w:rPr>
        <w:t xml:space="preserve"> such as </w:t>
      </w:r>
      <w:r w:rsidR="0076486F" w:rsidRPr="003A1A2E">
        <w:rPr>
          <w:rFonts w:ascii="Times New Roman" w:hAnsi="Times New Roman" w:cs="Times New Roman"/>
          <w:color w:val="auto"/>
          <w:sz w:val="24"/>
          <w:szCs w:val="24"/>
          <w:lang w:val="en-AU"/>
        </w:rPr>
        <w:t xml:space="preserve">calf raises or </w:t>
      </w:r>
      <w:r w:rsidR="00BA1200" w:rsidRPr="003A1A2E">
        <w:rPr>
          <w:rFonts w:ascii="Times New Roman" w:hAnsi="Times New Roman" w:cs="Times New Roman"/>
          <w:color w:val="auto"/>
          <w:sz w:val="24"/>
          <w:szCs w:val="24"/>
          <w:lang w:val="en-AU"/>
        </w:rPr>
        <w:t>running</w:t>
      </w:r>
      <w:r w:rsidR="00841C76" w:rsidRPr="003A1A2E">
        <w:rPr>
          <w:rFonts w:ascii="Times New Roman" w:hAnsi="Times New Roman" w:cs="Times New Roman"/>
          <w:color w:val="auto"/>
          <w:sz w:val="24"/>
          <w:szCs w:val="24"/>
          <w:lang w:val="en-AU"/>
        </w:rPr>
        <w:t xml:space="preserve">. </w:t>
      </w:r>
      <w:r w:rsidRPr="003A1A2E">
        <w:rPr>
          <w:rFonts w:ascii="Times New Roman" w:hAnsi="Times New Roman" w:cs="Times New Roman"/>
          <w:color w:val="auto"/>
          <w:sz w:val="24"/>
          <w:szCs w:val="24"/>
          <w:lang w:val="en-AU"/>
        </w:rPr>
        <w:t>F</w:t>
      </w:r>
      <w:r w:rsidR="00BA1200" w:rsidRPr="003A1A2E">
        <w:rPr>
          <w:rFonts w:ascii="Times New Roman" w:hAnsi="Times New Roman" w:cs="Times New Roman"/>
          <w:color w:val="auto"/>
          <w:sz w:val="24"/>
          <w:szCs w:val="24"/>
          <w:lang w:val="en-AU"/>
        </w:rPr>
        <w:t xml:space="preserve">or optimal motor unit identification </w:t>
      </w:r>
      <w:r w:rsidR="00D770EE" w:rsidRPr="003A1A2E">
        <w:rPr>
          <w:rFonts w:ascii="Times New Roman" w:hAnsi="Times New Roman" w:cs="Times New Roman"/>
          <w:color w:val="auto"/>
          <w:sz w:val="24"/>
          <w:szCs w:val="24"/>
          <w:lang w:val="en-AU"/>
        </w:rPr>
        <w:t xml:space="preserve">and </w:t>
      </w:r>
      <w:r w:rsidR="00AC7147" w:rsidRPr="003A1A2E">
        <w:rPr>
          <w:rFonts w:ascii="Times New Roman" w:hAnsi="Times New Roman" w:cs="Times New Roman"/>
          <w:color w:val="auto"/>
          <w:sz w:val="24"/>
          <w:szCs w:val="24"/>
          <w:lang w:val="en-AU"/>
        </w:rPr>
        <w:t>∆F calculation</w:t>
      </w:r>
      <w:r w:rsidRPr="003A1A2E">
        <w:rPr>
          <w:rFonts w:ascii="Times New Roman" w:hAnsi="Times New Roman" w:cs="Times New Roman"/>
          <w:color w:val="auto"/>
          <w:sz w:val="24"/>
          <w:szCs w:val="24"/>
          <w:lang w:val="en-AU"/>
        </w:rPr>
        <w:t>, submaximal intensity is required</w:t>
      </w:r>
      <w:r w:rsidR="00216232" w:rsidRPr="003A1A2E">
        <w:rPr>
          <w:rFonts w:ascii="Times New Roman" w:hAnsi="Times New Roman" w:cs="Times New Roman"/>
          <w:color w:val="auto"/>
          <w:sz w:val="24"/>
          <w:szCs w:val="24"/>
          <w:lang w:val="en-AU"/>
        </w:rPr>
        <w:t xml:space="preserve"> due to technological limitations. </w:t>
      </w:r>
      <w:r w:rsidR="002E0E05">
        <w:rPr>
          <w:rFonts w:ascii="Times New Roman" w:hAnsi="Times New Roman" w:cs="Times New Roman"/>
          <w:color w:val="auto"/>
          <w:sz w:val="24"/>
          <w:szCs w:val="24"/>
          <w:lang w:val="en-AU"/>
        </w:rPr>
        <w:t xml:space="preserve">A </w:t>
      </w:r>
      <w:r w:rsidR="00C74F66" w:rsidRPr="003A1A2E">
        <w:rPr>
          <w:rFonts w:ascii="Times New Roman" w:hAnsi="Times New Roman" w:cs="Times New Roman"/>
          <w:color w:val="auto"/>
          <w:sz w:val="24"/>
          <w:szCs w:val="24"/>
          <w:lang w:val="en-AU"/>
        </w:rPr>
        <w:t>peak torque</w:t>
      </w:r>
      <w:r w:rsidR="002E0E05">
        <w:rPr>
          <w:rFonts w:ascii="Times New Roman" w:hAnsi="Times New Roman" w:cs="Times New Roman"/>
          <w:color w:val="auto"/>
          <w:sz w:val="24"/>
          <w:szCs w:val="24"/>
          <w:lang w:val="en-AU"/>
        </w:rPr>
        <w:t xml:space="preserve"> of 20% MVC</w:t>
      </w:r>
      <w:r w:rsidR="0076486F" w:rsidRPr="003A1A2E">
        <w:rPr>
          <w:rFonts w:ascii="Times New Roman" w:hAnsi="Times New Roman" w:cs="Times New Roman"/>
          <w:color w:val="auto"/>
          <w:sz w:val="24"/>
          <w:szCs w:val="24"/>
          <w:lang w:val="en-AU"/>
        </w:rPr>
        <w:t>, used in this study,</w:t>
      </w:r>
      <w:r w:rsidR="00C74F66" w:rsidRPr="003A1A2E">
        <w:rPr>
          <w:rFonts w:ascii="Times New Roman" w:hAnsi="Times New Roman" w:cs="Times New Roman"/>
          <w:color w:val="auto"/>
          <w:sz w:val="24"/>
          <w:szCs w:val="24"/>
          <w:lang w:val="en-AU"/>
        </w:rPr>
        <w:t xml:space="preserve"> is a commonly used target torque in PIC studies</w:t>
      </w:r>
      <w:r w:rsidR="00C74F66" w:rsidRPr="003A1A2E">
        <w:rPr>
          <w:rFonts w:ascii="Times New Roman" w:hAnsi="Times New Roman" w:cs="Times New Roman"/>
          <w:color w:val="auto"/>
          <w:sz w:val="24"/>
          <w:szCs w:val="24"/>
          <w:lang w:val="en-AU"/>
        </w:rPr>
        <w:fldChar w:fldCharType="begin" w:fldLock="1"/>
      </w:r>
      <w:r w:rsidR="005827E6">
        <w:rPr>
          <w:rFonts w:ascii="Times New Roman" w:hAnsi="Times New Roman" w:cs="Times New Roman"/>
          <w:color w:val="auto"/>
          <w:sz w:val="24"/>
          <w:szCs w:val="24"/>
          <w:lang w:val="en-AU"/>
        </w:rPr>
        <w:instrText>ADDIN CSL_CITATION {"citationItems":[{"id":"ITEM-1","itemData":{"DOI":"10.1007/s11357-021-00478-z","ISBN":"0123456789","ISSN":"2509-2715","author":[{"dropping-particle":"","family":"Orssatto","given":"Lucas B. R.","non-dropping-particle":"","parse-names":false,"suffix":""},{"dropping-particle":"","family":"Borg","given":"David N.","non-dropping-particle":"","parse-names":false,"suffix":""},{"dropping-particle":"","family":"Blazevich","given":"Anthony J.","non-dropping-particle":"","parse-names":false,"suffix":""},{"dropping-particle":"","family":"Sakugawa","given":"Raphael L.","non-dropping-particle":"","parse-names":false,"suffix":""},{"dropping-particle":"","family":"Shield","given":"Anthony J.","non-dropping-particle":"","parse-names":false,"suffix":""},{"dropping-particle":"","family":"Trajano","given":"Gabriel S.","non-dropping-particle":"","parse-names":false,"suffix":""}],"container-title":"GeroScience","id":"ITEM-1","issued":{"date-parts":[["2021"]]},"page":"2719-2735","title":"Intrinsic motoneuron excitability is reduced in soleus and tibialis anterior of older adults","type":"article-journal"},"uris":["http://www.mendeley.com/documents/?uuid=58f040f7-7484-488d-b342-ba997ebfe23c"]},{"id":"ITEM-2","itemData":{"DOI":"10.1242/jeb.229922","ISSN":"0022-0949","abstract":"Prolonged (≥60 s) passive muscle stretching acutely reduces maximal force production at least partly through a suppression of efferent neural drive. The origin of this neural suppression has not been determined, however some evidence suggests that reductions in the amplitude of persistent inward currents (PICs) in the motoneurons may be important. The aim of the present study was to determine whether acute passive (static) muscle stretching affects PIC strength in gastrocnemius medialis (GM) and soleus (SOL) motor units. We calculated the difference in instantaneous discharge rates at recruitment and derecruitment (ΔF) for pairs of motor units in GM and SOL during triangular isometric plantar flexor contractions (20% maximum) both before and immediately after a 5-min control period and immediately after five 1-min passive plantar flexor stretches. After stretching there was a significant reduction in SOL ΔF (−25.6%; 95%CI=−45.1 to −9.1 %, p=0.002) but not GM ΔF. These data suggest passive muscle stretching can reduce the intrinsic excitability, via PICs, of SOL motor units. These findings (1) suggest that PIC strength might be reduced after passive stretching, (2) are consistent with previously-established post-stretch decreases in SOL but not GM EMG amplitudes during contraction, and (3) indicate that reductions in PIC strength could underpin the stretch-induced force loss.","author":[{"dropping-particle":"","family":"Trajano","given":"Gabriel S.","non-dropping-particle":"","parse-names":false,"suffix":""},{"dropping-particle":"","family":"Taylor","given":"Janet L.","non-dropping-particle":"","parse-names":false,"suffix":""},{"dropping-particle":"","family":"Orssatto","given":"Lucas B. R.","non-dropping-particle":"","parse-names":false,"suffix":""},{"dropping-particle":"","family":"McNulty","given":"Craig R.","non-dropping-particle":"","parse-names":false,"suffix":""},{"dropping-particle":"","family":"Blazevich","given":"Anthony J.","non-dropping-particle":"","parse-names":false,"suffix":""}],"container-title":"The Journal of Experimental Biology","id":"ITEM-2","issue":"61 7","issued":{"date-parts":[["2020"]]},"page":"jeb.229922","title":"Passive muscle stretching reduces estimates of persistent inward current strength in soleus motor units","type":"article-journal"},"uris":["http://www.mendeley.com/documents/?uuid=3163c4ac-e021-45a9-bf01-e45d47b3167c"]},{"id":"ITEM-3","itemData":{"DOI":"10.1152/jn.90296.2008","ISSN":"0022-3077 (Print)","PMID":"18463182","abstract":"Motoneuron activation is strongly influenced by persistent inward currents (PICs)  flowing through voltage-sensitive channels. PIC characteristics and their contribution to the control of motoneuron firing rate have been extensively described in reduced animal preparations, but their contribution to rate modulation in human motoneurons is controversial. It has recently been proposed that the analysis of discharge records of a simultaneously recorded pair of motor units can be used to make quantitative estimates of the PIC contribution, based on the assumption that the firing rate of an early recruited (reporter) unit can be used as a measure of the synaptic drive to a later recruited (test) unit. If the test unit's discharge is augmented by PICs, less synaptic drive will be required to sustain discharge than required to initially recruit it, and the difference in reporter unit discharge (Delta F) at test recruitment and de-recruitment is a measure of the size of the PIC contribution. We applied this analysis to discharge records of pairs of motoneurons in the decerebrate cat preparation, in which motoneuron PICs have been well-characterized and are known to be prominent. Mean Delta F values were positive in 58/63 pairs, and were significantly greater than zero in 40/63 pairs, as would be expected based on PIC characteristics recorded in this preparation. However, several lines of evidence suggest that the Delta F value obtained in a particular motoneuron pair may depend on a number of factors other than the PIC contribution to firing rate.","author":[{"dropping-particle":"","family":"Powers","given":"Randall K","non-dropping-particle":"","parse-names":false,"suffix":""},{"dropping-particle":"","family":"Nardelli","given":"Paul","non-dropping-particle":"","parse-names":false,"suffix":""},{"dropping-particle":"","family":"Cope","given":"T C","non-dropping-particle":"","parse-names":false,"suffix":""}],"container-title":"Journal of neurophysiology","id":"ITEM-3","issue":"1","issued":{"date-parts":[["2008","7"]]},"language":"eng","page":"292-303","title":"Estimation of the contribution of intrinsic currents to motoneuron firing based on  paired motoneuron discharge records in the decerebrate cat.","type":"article-journal","volume":"100"},"uris":["http://www.mendeley.com/documents/?uuid=5fd18c07-428a-4dfb-b100-b77bc8055bd4"]},{"id":"ITEM-4","itemData":{"DOI":"10.1152/jn.00024.2001","ISSN":"00223077","PMID":"11929906","abstract":"The main purpose of this study was to estimate the contribution of intrinsic activation of human motoneurons (e.g., by plateau potentials) during voluntary and reflexive muscle contractions. Pairs of motor units were recorded from either the tibialis anterior or soleus muscle during three different conditions: 1) during a brief muscle vibration followed by a slow relaxation of a steady isometric contraction; 2) during a triangular isometric torque contraction; and 3) during passive sinusoidal muscle stretch superimposed on a steady isometric contraction. In each case, the firing rate of a tonically firing control motor unit was used as a measure of the effective synaptic excitation (i.e., synaptic drive) to a slightly higher-threshold test motor unit that was recruited and de-recruited during a contraction trial. The firing rate of the control unit was compared at recruitment and de-recruitment of the test unit. This was done to determine whether the estimated synaptic drive needed to recruit a motor unit was less than the amount needed to sustain firing as a result of an added depolarization produced from intrinsic sources. After test unit recruitment, the firing rate of the control unit could be decreased significantly (on average by 3.6 Hz from an initial recruitment rate of 9.8 Hz) before the test unit was de-recruited during a descending synaptic drive. Similar decreases in control unit rate occurred in all three experimental conditions. This represents a possible 40% reduction in the estimated synaptic drive needed to maintain firing of a motor unit compared with the estimated amount needed to recruit the unit initially. The firing rates of both the control and test units were modulated together in a highly parallel fashion, suggesting that the unit pairs were driven by common synaptic inputs. This tight correlation further validated the use of the control unit firing rate as a monitor of synaptic drive to the test motor unit. The estimates of intrinsically mediated depolarization of human motoneurons (≈40% during moderate contractions) are consistent with values obtained for plateau potentials obtained from intracellular recordings of motoneurons in reduced animal preparations, although various alternative mechanisms are discussed. This suggests that similar intrinsic conductances provide a substantial activation of human motoneurons during moderate physiological activity.","author":[{"dropping-particle":"","family":"Gorassini","given":"Monica","non-dropping-particle":"","parse-names":false,"suffix":""},{"dropping-particle":"","family":"Yang","given":"Jaynie F.","non-dropping-particle":"","parse-names":false,"suffix":""},{"dropping-particle":"","family":"Siu","given":"Merek","non-dropping-particle":"","parse-names":false,"suffix":""},{"dropping-particle":"","family":"Bennett","given":"David J.","non-dropping-particle":"","parse-names":false,"suffix":""}],"container-title":"Journal of Neurophysiology","id":"ITEM-4","issue":"4","issued":{"date-parts":[["2002"]]},"page":"1850-1858","title":"Intrinsic activation of human motoneurons: Possible contribution to motor unit excitation","type":"article-journal","volume":"87"},"uris":["http://www.mendeley.com/documents/?uuid=8901de22-b1ec-48d4-a966-b5f7ebd53dce"]},{"id":"ITEM-5","itemData":{"DOI":"10.1088/1741-2552/ab5eda","ISSN":"1741-2552","author":[{"dropping-particle":"","family":"Hassan","given":"Altamash","non-dropping-particle":"","parse-names":false,"suffix":""},{"dropping-particle":"","family":"Thompson","given":"Christopher K","non-dropping-particle":"","parse-names":false,"suffix":""},{"dropping-particle":"","family":"Negro","given":"Francesco","non-dropping-particle":"","parse-names":false,"suffix":""},{"dropping-particle":"","family":"Cummings","given":"Mark","non-dropping-particle":"","parse-names":false,"suffix":""},{"dropping-particle":"","family":"Powers","given":"Randall K","non-dropping-particle":"","parse-names":false,"suffix":""},{"dropping-particle":"","family":"Heckman","given":"C J","non-dropping-particle":"","parse-names":false,"suffix":""},{"dropping-particle":"","family":"Dewald","given":"Julius P A","non-dropping-particle":"","parse-names":false,"suffix":""},{"dropping-particle":"","family":"McPherson","given":"Laura Miller","non-dropping-particle":"","parse-names":false,"suffix":""}],"container-title":"Journal of Neural Engineering","id":"ITEM-5","issue":"1","issued":{"date-parts":[["2020","2","18"]]},"page":"016063","title":"Impact of parameter selection on estimates of motoneuron excitability using paired motor unit analysis","type":"article-journal","volume":"17"},"uris":["http://www.mendeley.com/documents/?uuid=2561f3cd-2f42-382c-8626-cb80c0a600cf"]},{"id":"ITEM-6","itemData":{"DOI":"10.1113/JP283708","abstract":"A well-coordinated control of motor neuronal persistent inward currents (PICs) via diffuse neuromodulation and local inhibition is essential to ensure motor units discharge at required times and frequencies. Current best estimates indicate that PICs are reduced in older adults; however, it is not yet known whether PIC facilitation-inhibition control is also altered with ageing. We investigated the responses of PICs to i) a remote handgrip contraction, which is believed to diffusely increase serotonergic input onto motor neurones, and ii) tendon vibration of the antagonist muscle, which elicits reciprocal inhibition, in both young and older adults. High-density surface electromyograms were collected from soleus and tibialis anterior of 18 young and 26 older adults during triangular-shaped plantar and dorsiflexion contractions to 20% (handgrip experiments) and 30% (vibration experiments) of maximum torque (rise-decline rate of 2%/s). The paired-motor-unit analysis was used to calculate ΔF, which is assumed proportional to PIC strength. ΔF increased in both soleus (0.55pps, 16.0%) and tibialis anterior (0.42pps, 11.4%) during the handgrip contraction independent of age. However, although antagonist tendon vibration reduced ΔF in soleus (0.28pps, 12.6%) independent of age, less reduction was observed in older (0.42pps, 10.7%) than young adults (0.72pps, 17.8%) in tibialis anterior. Our data indicate a preserved ability of older adults to amplify PICs following a remote handgrip contraction, during which increased serotonergic input onto the motor neurones is expected, in both lower leg muscles. However, PIC deactivation in response to reciprocal inhibition was impaired with ageing in tibialis anterior despite being preserved in soleus.KEYPOINTSMotor neuronal persistent inward currents (PICs) are amplified via diffuse neuromodulation and deactivated by local inhibition to ensure motor units discharge at required times and frequencies, allowing a normal motor behaviour.PIC amplitudes appear to be reduced with ageing, however it is not known whether PIC facilitation-inhibition control is also altered.Remote handgrip contraction, which should diffusely increase serotonergic input onto motor neurones, amplified PICs similarly in both soleus and tibialis anterior of young and older adults.Antagonist tendon vibration, which induces reciprocal inhibition, reduced PICs in soleus in both young and older adults but had less effect in tibialis anterior in older adults.…","author":[{"dropping-particle":"","family":"Orssatto","given":"Lucas B R","non-dropping-particle":"","parse-names":false,"suffix":""},{"dropping-particle":"","family":"Fernandes","given":"Gabriel L","non-dropping-particle":"","parse-names":false,"suffix":""},{"dropping-particle":"","family":"Blazevich","given":"Anthony J","non-dropping-particle":"","parse-names":false,"suffix":""},{"dropping-particle":"","family":"Trajano","given":"Gabriel S","non-dropping-particle":"","parse-names":false,"suffix":""}],"container-title":"Journal of Physiology","id":"ITEM-6","issued":{"date-parts":[["2022"]]},"page":"2022.08.08.503135","title":"Facilitation-inhibition control of motor neuronal persistent inward currents in young and older adults","type":"article-journal","volume":"0"},"uris":["http://www.mendeley.com/documents/?uuid=0c915022-4389-4d68-8f55-36349f9d1cb1"]}],"mendeley":{"formattedCitation":"&lt;sup&gt;8,11,19,23,32,41&lt;/sup&gt;","plainTextFormattedCitation":"8,11,19,23,32,41","previouslyFormattedCitation":"&lt;sup&gt;8,11,19,23,33,42&lt;/sup&gt;"},"properties":{"noteIndex":0},"schema":"https://github.com/citation-style-language/schema/raw/master/csl-citation.json"}</w:instrText>
      </w:r>
      <w:r w:rsidR="00C74F66" w:rsidRPr="003A1A2E">
        <w:rPr>
          <w:rFonts w:ascii="Times New Roman" w:hAnsi="Times New Roman" w:cs="Times New Roman"/>
          <w:color w:val="auto"/>
          <w:sz w:val="24"/>
          <w:szCs w:val="24"/>
          <w:lang w:val="en-AU"/>
        </w:rPr>
        <w:fldChar w:fldCharType="separate"/>
      </w:r>
      <w:r w:rsidR="005827E6" w:rsidRPr="005827E6">
        <w:rPr>
          <w:rFonts w:ascii="Times New Roman" w:hAnsi="Times New Roman" w:cs="Times New Roman"/>
          <w:noProof/>
          <w:color w:val="auto"/>
          <w:sz w:val="24"/>
          <w:szCs w:val="24"/>
          <w:vertAlign w:val="superscript"/>
          <w:lang w:val="en-AU"/>
        </w:rPr>
        <w:t>8,11,19,23,32,41</w:t>
      </w:r>
      <w:r w:rsidR="00C74F66" w:rsidRPr="003A1A2E">
        <w:rPr>
          <w:rFonts w:ascii="Times New Roman" w:hAnsi="Times New Roman" w:cs="Times New Roman"/>
          <w:color w:val="auto"/>
          <w:sz w:val="24"/>
          <w:szCs w:val="24"/>
          <w:lang w:val="en-AU"/>
        </w:rPr>
        <w:fldChar w:fldCharType="end"/>
      </w:r>
      <w:r w:rsidR="00C74F66" w:rsidRPr="003A1A2E">
        <w:rPr>
          <w:rFonts w:ascii="Times New Roman" w:hAnsi="Times New Roman" w:cs="Times New Roman"/>
          <w:color w:val="auto"/>
          <w:sz w:val="24"/>
          <w:szCs w:val="24"/>
          <w:lang w:val="en-AU"/>
        </w:rPr>
        <w:t>.</w:t>
      </w:r>
      <w:r w:rsidR="00667F59" w:rsidRPr="003A1A2E">
        <w:rPr>
          <w:rFonts w:ascii="Times New Roman" w:hAnsi="Times New Roman" w:cs="Times New Roman"/>
          <w:color w:val="auto"/>
          <w:sz w:val="24"/>
          <w:szCs w:val="24"/>
          <w:lang w:val="en-AU"/>
        </w:rPr>
        <w:t xml:space="preserve"> This lower intensity</w:t>
      </w:r>
      <w:r w:rsidR="008C22BE" w:rsidRPr="003A1A2E">
        <w:rPr>
          <w:rFonts w:ascii="Times New Roman" w:hAnsi="Times New Roman" w:cs="Times New Roman"/>
          <w:color w:val="auto"/>
          <w:sz w:val="24"/>
          <w:szCs w:val="24"/>
          <w:lang w:val="en-AU"/>
        </w:rPr>
        <w:t xml:space="preserve"> contraction</w:t>
      </w:r>
      <w:r w:rsidR="00667F59" w:rsidRPr="003A1A2E">
        <w:rPr>
          <w:rFonts w:ascii="Times New Roman" w:hAnsi="Times New Roman" w:cs="Times New Roman"/>
          <w:color w:val="auto"/>
          <w:sz w:val="24"/>
          <w:szCs w:val="24"/>
          <w:lang w:val="en-AU"/>
        </w:rPr>
        <w:t xml:space="preserve"> recruits lower-threshold motor units. </w:t>
      </w:r>
      <w:r w:rsidR="00144F28" w:rsidRPr="003A1A2E">
        <w:rPr>
          <w:rFonts w:ascii="Times New Roman" w:hAnsi="Times New Roman" w:cs="Times New Roman"/>
          <w:color w:val="auto"/>
          <w:sz w:val="24"/>
          <w:szCs w:val="24"/>
          <w:lang w:val="en-AU"/>
        </w:rPr>
        <w:t>Higher contraction intensities</w:t>
      </w:r>
      <w:r w:rsidR="00BA1200" w:rsidRPr="003A1A2E">
        <w:rPr>
          <w:rFonts w:ascii="Times New Roman" w:hAnsi="Times New Roman" w:cs="Times New Roman"/>
          <w:color w:val="auto"/>
          <w:sz w:val="24"/>
          <w:szCs w:val="24"/>
          <w:lang w:val="en-AU"/>
        </w:rPr>
        <w:t xml:space="preserve"> </w:t>
      </w:r>
      <w:r w:rsidR="00B654D6" w:rsidRPr="003A1A2E">
        <w:rPr>
          <w:rFonts w:ascii="Times New Roman" w:hAnsi="Times New Roman" w:cs="Times New Roman"/>
          <w:color w:val="auto"/>
          <w:sz w:val="24"/>
          <w:szCs w:val="24"/>
          <w:lang w:val="en-AU"/>
        </w:rPr>
        <w:t xml:space="preserve">would </w:t>
      </w:r>
      <w:r w:rsidR="00CD3F6D" w:rsidRPr="003A1A2E">
        <w:rPr>
          <w:rFonts w:ascii="Times New Roman" w:hAnsi="Times New Roman" w:cs="Times New Roman"/>
          <w:color w:val="auto"/>
          <w:sz w:val="24"/>
          <w:szCs w:val="24"/>
          <w:lang w:val="en-AU"/>
        </w:rPr>
        <w:t>require</w:t>
      </w:r>
      <w:r w:rsidR="00667F59" w:rsidRPr="003A1A2E">
        <w:rPr>
          <w:rFonts w:ascii="Times New Roman" w:hAnsi="Times New Roman" w:cs="Times New Roman"/>
          <w:color w:val="auto"/>
          <w:sz w:val="24"/>
          <w:szCs w:val="24"/>
          <w:lang w:val="en-AU"/>
        </w:rPr>
        <w:t xml:space="preserve"> </w:t>
      </w:r>
      <w:r w:rsidR="008C22BE" w:rsidRPr="003A1A2E">
        <w:rPr>
          <w:rFonts w:ascii="Times New Roman" w:hAnsi="Times New Roman" w:cs="Times New Roman"/>
          <w:color w:val="auto"/>
          <w:sz w:val="24"/>
          <w:szCs w:val="24"/>
          <w:lang w:val="en-AU"/>
        </w:rPr>
        <w:t xml:space="preserve">a </w:t>
      </w:r>
      <w:r w:rsidR="00274293" w:rsidRPr="003A1A2E">
        <w:rPr>
          <w:rFonts w:ascii="Times New Roman" w:hAnsi="Times New Roman" w:cs="Times New Roman"/>
          <w:color w:val="auto"/>
          <w:sz w:val="24"/>
          <w:szCs w:val="24"/>
          <w:lang w:val="en-AU"/>
        </w:rPr>
        <w:t>recruitment of high</w:t>
      </w:r>
      <w:r w:rsidR="00667F59" w:rsidRPr="003A1A2E">
        <w:rPr>
          <w:rFonts w:ascii="Times New Roman" w:hAnsi="Times New Roman" w:cs="Times New Roman"/>
          <w:color w:val="auto"/>
          <w:sz w:val="24"/>
          <w:szCs w:val="24"/>
          <w:lang w:val="en-AU"/>
        </w:rPr>
        <w:t>er</w:t>
      </w:r>
      <w:r w:rsidR="00274293" w:rsidRPr="003A1A2E">
        <w:rPr>
          <w:rFonts w:ascii="Times New Roman" w:hAnsi="Times New Roman" w:cs="Times New Roman"/>
          <w:color w:val="auto"/>
          <w:sz w:val="24"/>
          <w:szCs w:val="24"/>
          <w:lang w:val="en-AU"/>
        </w:rPr>
        <w:t>-threshold motor units</w:t>
      </w:r>
      <w:r w:rsidR="008C22BE" w:rsidRPr="003A1A2E">
        <w:rPr>
          <w:rFonts w:ascii="Times New Roman" w:hAnsi="Times New Roman" w:cs="Times New Roman"/>
          <w:color w:val="auto"/>
          <w:sz w:val="24"/>
          <w:szCs w:val="24"/>
          <w:lang w:val="en-AU"/>
        </w:rPr>
        <w:t>, which could present different results</w:t>
      </w:r>
      <w:r w:rsidR="00AA6A1D">
        <w:rPr>
          <w:rFonts w:ascii="Times New Roman" w:hAnsi="Times New Roman" w:cs="Times New Roman"/>
          <w:color w:val="auto"/>
          <w:sz w:val="24"/>
          <w:szCs w:val="24"/>
          <w:lang w:val="en-AU"/>
        </w:rPr>
        <w:t>, h</w:t>
      </w:r>
      <w:r w:rsidR="001317D1">
        <w:rPr>
          <w:rFonts w:ascii="Times New Roman" w:hAnsi="Times New Roman" w:cs="Times New Roman"/>
          <w:color w:val="auto"/>
          <w:sz w:val="24"/>
          <w:szCs w:val="24"/>
          <w:lang w:val="en-AU"/>
        </w:rPr>
        <w:t>owever these measures are not possible</w:t>
      </w:r>
      <w:r w:rsidR="00274293" w:rsidRPr="003A1A2E">
        <w:rPr>
          <w:rFonts w:ascii="Times New Roman" w:hAnsi="Times New Roman" w:cs="Times New Roman"/>
          <w:color w:val="auto"/>
          <w:sz w:val="24"/>
          <w:szCs w:val="24"/>
          <w:lang w:val="en-AU"/>
        </w:rPr>
        <w:t>.</w:t>
      </w:r>
      <w:r w:rsidR="008C22BE" w:rsidRPr="003A1A2E">
        <w:rPr>
          <w:rFonts w:ascii="Times New Roman" w:hAnsi="Times New Roman" w:cs="Times New Roman"/>
          <w:color w:val="auto"/>
          <w:sz w:val="24"/>
          <w:szCs w:val="24"/>
          <w:lang w:val="en-AU"/>
        </w:rPr>
        <w:t xml:space="preserve"> </w:t>
      </w:r>
      <w:r w:rsidR="00C74F66" w:rsidRPr="003A1A2E">
        <w:rPr>
          <w:rFonts w:ascii="Times New Roman" w:hAnsi="Times New Roman" w:cs="Times New Roman"/>
          <w:color w:val="auto"/>
          <w:sz w:val="24"/>
          <w:szCs w:val="24"/>
          <w:lang w:val="en-AU"/>
        </w:rPr>
        <w:t xml:space="preserve">Perhaps the data obtained in low level forces </w:t>
      </w:r>
      <w:r w:rsidR="0086574C" w:rsidRPr="003A1A2E">
        <w:rPr>
          <w:rFonts w:ascii="Times New Roman" w:hAnsi="Times New Roman" w:cs="Times New Roman"/>
          <w:color w:val="auto"/>
          <w:sz w:val="24"/>
          <w:szCs w:val="24"/>
          <w:lang w:val="en-AU"/>
        </w:rPr>
        <w:t>do</w:t>
      </w:r>
      <w:r w:rsidR="00C74F66" w:rsidRPr="003A1A2E">
        <w:rPr>
          <w:rFonts w:ascii="Times New Roman" w:hAnsi="Times New Roman" w:cs="Times New Roman"/>
          <w:color w:val="auto"/>
          <w:sz w:val="24"/>
          <w:szCs w:val="24"/>
          <w:lang w:val="en-AU"/>
        </w:rPr>
        <w:t xml:space="preserve"> not represent </w:t>
      </w:r>
      <w:r w:rsidR="002B3F49" w:rsidRPr="003A1A2E">
        <w:rPr>
          <w:rFonts w:ascii="Times New Roman" w:hAnsi="Times New Roman" w:cs="Times New Roman"/>
          <w:color w:val="auto"/>
          <w:sz w:val="24"/>
          <w:szCs w:val="24"/>
          <w:lang w:val="en-AU"/>
        </w:rPr>
        <w:t xml:space="preserve">the </w:t>
      </w:r>
      <w:r w:rsidR="00C74F66" w:rsidRPr="003A1A2E">
        <w:rPr>
          <w:rFonts w:ascii="Times New Roman" w:hAnsi="Times New Roman" w:cs="Times New Roman"/>
          <w:color w:val="auto"/>
          <w:sz w:val="24"/>
          <w:szCs w:val="24"/>
          <w:lang w:val="en-AU"/>
        </w:rPr>
        <w:t>motor neuron</w:t>
      </w:r>
      <w:r w:rsidR="00706162" w:rsidRPr="003A1A2E">
        <w:rPr>
          <w:rFonts w:ascii="Times New Roman" w:hAnsi="Times New Roman" w:cs="Times New Roman"/>
          <w:color w:val="auto"/>
          <w:sz w:val="24"/>
          <w:szCs w:val="24"/>
          <w:lang w:val="en-AU"/>
        </w:rPr>
        <w:t>e</w:t>
      </w:r>
      <w:r w:rsidR="0086574C" w:rsidRPr="003A1A2E">
        <w:rPr>
          <w:rFonts w:ascii="Times New Roman" w:hAnsi="Times New Roman" w:cs="Times New Roman"/>
          <w:color w:val="auto"/>
          <w:sz w:val="24"/>
          <w:szCs w:val="24"/>
          <w:lang w:val="en-AU"/>
        </w:rPr>
        <w:t xml:space="preserve"> excitability</w:t>
      </w:r>
      <w:r w:rsidR="00706162" w:rsidRPr="003A1A2E">
        <w:rPr>
          <w:rFonts w:ascii="Times New Roman" w:hAnsi="Times New Roman" w:cs="Times New Roman"/>
          <w:color w:val="auto"/>
          <w:sz w:val="24"/>
          <w:szCs w:val="24"/>
          <w:lang w:val="en-AU"/>
        </w:rPr>
        <w:t xml:space="preserve"> when higher intensity contractions are required (</w:t>
      </w:r>
      <w:r w:rsidR="0086574C" w:rsidRPr="003A1A2E">
        <w:rPr>
          <w:rFonts w:ascii="Times New Roman" w:hAnsi="Times New Roman" w:cs="Times New Roman"/>
          <w:color w:val="auto"/>
          <w:sz w:val="24"/>
          <w:szCs w:val="24"/>
          <w:lang w:val="en-AU"/>
        </w:rPr>
        <w:t>e</w:t>
      </w:r>
      <w:r w:rsidR="00706162" w:rsidRPr="003A1A2E">
        <w:rPr>
          <w:rFonts w:ascii="Times New Roman" w:hAnsi="Times New Roman" w:cs="Times New Roman"/>
          <w:color w:val="auto"/>
          <w:sz w:val="24"/>
          <w:szCs w:val="24"/>
          <w:lang w:val="en-AU"/>
        </w:rPr>
        <w:t>.</w:t>
      </w:r>
      <w:r w:rsidR="00AE7693" w:rsidRPr="003A1A2E">
        <w:rPr>
          <w:rFonts w:ascii="Times New Roman" w:hAnsi="Times New Roman" w:cs="Times New Roman"/>
          <w:color w:val="auto"/>
          <w:sz w:val="24"/>
          <w:szCs w:val="24"/>
          <w:lang w:val="en-AU"/>
        </w:rPr>
        <w:t>g.</w:t>
      </w:r>
      <w:r w:rsidR="00706162" w:rsidRPr="003A1A2E">
        <w:rPr>
          <w:rFonts w:ascii="Times New Roman" w:hAnsi="Times New Roman" w:cs="Times New Roman"/>
          <w:color w:val="auto"/>
          <w:sz w:val="24"/>
          <w:szCs w:val="24"/>
          <w:lang w:val="en-AU"/>
        </w:rPr>
        <w:t xml:space="preserve"> </w:t>
      </w:r>
      <w:r w:rsidR="00AC7147" w:rsidRPr="003A1A2E">
        <w:rPr>
          <w:rFonts w:ascii="Times New Roman" w:hAnsi="Times New Roman" w:cs="Times New Roman"/>
          <w:color w:val="auto"/>
          <w:sz w:val="24"/>
          <w:szCs w:val="24"/>
          <w:lang w:val="en-AU"/>
        </w:rPr>
        <w:t xml:space="preserve">higher intensity </w:t>
      </w:r>
      <w:r w:rsidR="00706162" w:rsidRPr="003A1A2E">
        <w:rPr>
          <w:rFonts w:ascii="Times New Roman" w:hAnsi="Times New Roman" w:cs="Times New Roman"/>
          <w:color w:val="auto"/>
          <w:sz w:val="24"/>
          <w:szCs w:val="24"/>
          <w:lang w:val="en-AU"/>
        </w:rPr>
        <w:t>running</w:t>
      </w:r>
      <w:r w:rsidR="007D0329" w:rsidRPr="003A1A2E">
        <w:rPr>
          <w:rFonts w:ascii="Times New Roman" w:hAnsi="Times New Roman" w:cs="Times New Roman"/>
          <w:color w:val="auto"/>
          <w:sz w:val="24"/>
          <w:szCs w:val="24"/>
          <w:lang w:val="en-AU"/>
        </w:rPr>
        <w:t>)</w:t>
      </w:r>
      <w:r w:rsidR="005811A7" w:rsidRPr="003A1A2E">
        <w:rPr>
          <w:rFonts w:ascii="Times New Roman" w:hAnsi="Times New Roman" w:cs="Times New Roman"/>
          <w:color w:val="auto"/>
          <w:sz w:val="24"/>
          <w:szCs w:val="24"/>
          <w:lang w:val="en-AU"/>
        </w:rPr>
        <w:t>.</w:t>
      </w:r>
      <w:r w:rsidR="00562C8E">
        <w:rPr>
          <w:rFonts w:ascii="Times New Roman" w:hAnsi="Times New Roman" w:cs="Times New Roman"/>
          <w:color w:val="auto"/>
          <w:sz w:val="24"/>
          <w:szCs w:val="24"/>
          <w:lang w:val="en-AU"/>
        </w:rPr>
        <w:t xml:space="preserve"> </w:t>
      </w:r>
      <w:r w:rsidR="007D0329" w:rsidRPr="003A1A2E">
        <w:rPr>
          <w:rFonts w:ascii="Times New Roman" w:hAnsi="Times New Roman" w:cs="Times New Roman"/>
          <w:color w:val="auto"/>
          <w:sz w:val="24"/>
          <w:szCs w:val="24"/>
          <w:lang w:val="en-AU"/>
        </w:rPr>
        <w:t xml:space="preserve"> </w:t>
      </w:r>
      <w:r w:rsidR="00AB20DD" w:rsidRPr="003A1A2E">
        <w:rPr>
          <w:rFonts w:ascii="Times New Roman" w:hAnsi="Times New Roman" w:cs="Times New Roman"/>
          <w:color w:val="auto"/>
          <w:sz w:val="24"/>
          <w:szCs w:val="24"/>
          <w:lang w:val="en-AU"/>
        </w:rPr>
        <w:t xml:space="preserve">It is </w:t>
      </w:r>
      <w:r w:rsidR="006C04D1" w:rsidRPr="003A1A2E">
        <w:rPr>
          <w:rFonts w:ascii="Times New Roman" w:hAnsi="Times New Roman" w:cs="Times New Roman"/>
          <w:color w:val="auto"/>
          <w:sz w:val="24"/>
          <w:szCs w:val="24"/>
          <w:lang w:val="en-AU"/>
        </w:rPr>
        <w:t>relevant</w:t>
      </w:r>
      <w:r w:rsidR="00AB20DD" w:rsidRPr="003A1A2E">
        <w:rPr>
          <w:rFonts w:ascii="Times New Roman" w:hAnsi="Times New Roman" w:cs="Times New Roman"/>
          <w:color w:val="auto"/>
          <w:sz w:val="24"/>
          <w:szCs w:val="24"/>
          <w:lang w:val="en-AU"/>
        </w:rPr>
        <w:t xml:space="preserve"> to point </w:t>
      </w:r>
      <w:r w:rsidR="007D0329" w:rsidRPr="003A1A2E">
        <w:rPr>
          <w:rFonts w:ascii="Times New Roman" w:hAnsi="Times New Roman" w:cs="Times New Roman"/>
          <w:color w:val="auto"/>
          <w:sz w:val="24"/>
          <w:szCs w:val="24"/>
          <w:lang w:val="en-AU"/>
        </w:rPr>
        <w:t xml:space="preserve">out </w:t>
      </w:r>
      <w:r w:rsidR="00AB20DD" w:rsidRPr="003A1A2E">
        <w:rPr>
          <w:rFonts w:ascii="Times New Roman" w:hAnsi="Times New Roman" w:cs="Times New Roman"/>
          <w:color w:val="auto"/>
          <w:sz w:val="24"/>
          <w:szCs w:val="24"/>
          <w:lang w:val="en-AU"/>
        </w:rPr>
        <w:t xml:space="preserve">that there were no differences in isometric peak torque between groups. </w:t>
      </w:r>
      <w:r w:rsidR="006C04D1" w:rsidRPr="003A1A2E">
        <w:rPr>
          <w:rFonts w:ascii="Times New Roman" w:hAnsi="Times New Roman" w:cs="Times New Roman"/>
          <w:color w:val="auto"/>
          <w:sz w:val="24"/>
          <w:szCs w:val="24"/>
          <w:lang w:val="en-AU"/>
        </w:rPr>
        <w:t xml:space="preserve">We would expect to see </w:t>
      </w:r>
      <w:r w:rsidR="00716618" w:rsidRPr="003A1A2E">
        <w:rPr>
          <w:rFonts w:ascii="Times New Roman" w:hAnsi="Times New Roman" w:cs="Times New Roman"/>
          <w:color w:val="auto"/>
          <w:sz w:val="24"/>
          <w:szCs w:val="24"/>
          <w:lang w:val="en-AU"/>
        </w:rPr>
        <w:t>deficits in</w:t>
      </w:r>
      <w:r w:rsidR="006C04D1" w:rsidRPr="003A1A2E">
        <w:rPr>
          <w:rFonts w:ascii="Times New Roman" w:hAnsi="Times New Roman" w:cs="Times New Roman"/>
          <w:color w:val="auto"/>
          <w:sz w:val="24"/>
          <w:szCs w:val="24"/>
          <w:lang w:val="en-AU"/>
        </w:rPr>
        <w:t xml:space="preserve"> motor neuron</w:t>
      </w:r>
      <w:r w:rsidR="00AE7693" w:rsidRPr="003A1A2E">
        <w:rPr>
          <w:rFonts w:ascii="Times New Roman" w:hAnsi="Times New Roman" w:cs="Times New Roman"/>
          <w:color w:val="auto"/>
          <w:sz w:val="24"/>
          <w:szCs w:val="24"/>
          <w:lang w:val="en-AU"/>
        </w:rPr>
        <w:t>e</w:t>
      </w:r>
      <w:r w:rsidR="006C04D1" w:rsidRPr="003A1A2E">
        <w:rPr>
          <w:rFonts w:ascii="Times New Roman" w:hAnsi="Times New Roman" w:cs="Times New Roman"/>
          <w:color w:val="auto"/>
          <w:sz w:val="24"/>
          <w:szCs w:val="24"/>
          <w:lang w:val="en-AU"/>
        </w:rPr>
        <w:t xml:space="preserve"> excitability </w:t>
      </w:r>
      <w:r w:rsidR="00982AD8">
        <w:rPr>
          <w:rFonts w:ascii="Times New Roman" w:hAnsi="Times New Roman" w:cs="Times New Roman"/>
          <w:color w:val="auto"/>
          <w:sz w:val="24"/>
          <w:szCs w:val="24"/>
          <w:lang w:val="en-AU"/>
        </w:rPr>
        <w:t xml:space="preserve">to be </w:t>
      </w:r>
      <w:r w:rsidR="006C04D1" w:rsidRPr="003A1A2E">
        <w:rPr>
          <w:rFonts w:ascii="Times New Roman" w:hAnsi="Times New Roman" w:cs="Times New Roman"/>
          <w:color w:val="auto"/>
          <w:sz w:val="24"/>
          <w:szCs w:val="24"/>
          <w:lang w:val="en-AU"/>
        </w:rPr>
        <w:t xml:space="preserve">associated </w:t>
      </w:r>
      <w:r w:rsidR="00982AD8">
        <w:rPr>
          <w:rFonts w:ascii="Times New Roman" w:hAnsi="Times New Roman" w:cs="Times New Roman"/>
          <w:color w:val="auto"/>
          <w:sz w:val="24"/>
          <w:szCs w:val="24"/>
          <w:lang w:val="en-AU"/>
        </w:rPr>
        <w:t>with</w:t>
      </w:r>
      <w:r w:rsidR="006C04D1" w:rsidRPr="003A1A2E">
        <w:rPr>
          <w:rFonts w:ascii="Times New Roman" w:hAnsi="Times New Roman" w:cs="Times New Roman"/>
          <w:color w:val="auto"/>
          <w:sz w:val="24"/>
          <w:szCs w:val="24"/>
          <w:lang w:val="en-AU"/>
        </w:rPr>
        <w:t xml:space="preserve"> deficits</w:t>
      </w:r>
      <w:r w:rsidR="002B3F49" w:rsidRPr="003A1A2E">
        <w:rPr>
          <w:rFonts w:ascii="Times New Roman" w:hAnsi="Times New Roman" w:cs="Times New Roman"/>
          <w:color w:val="auto"/>
          <w:sz w:val="24"/>
          <w:szCs w:val="24"/>
          <w:lang w:val="en-AU"/>
        </w:rPr>
        <w:t xml:space="preserve"> in force</w:t>
      </w:r>
      <w:r w:rsidR="005811A7" w:rsidRPr="003A1A2E">
        <w:rPr>
          <w:rFonts w:ascii="Times New Roman" w:hAnsi="Times New Roman" w:cs="Times New Roman"/>
          <w:color w:val="auto"/>
          <w:sz w:val="24"/>
          <w:szCs w:val="24"/>
          <w:lang w:val="en-AU"/>
        </w:rPr>
        <w:t>.</w:t>
      </w:r>
    </w:p>
    <w:p w14:paraId="3A53D714" w14:textId="1BF6F5DB" w:rsidR="00E875F7" w:rsidRPr="003A1A2E" w:rsidRDefault="000628FD" w:rsidP="00504A0D">
      <w:pPr>
        <w:pStyle w:val="BodyA"/>
        <w:spacing w:after="0"/>
        <w:ind w:firstLine="0"/>
        <w:rPr>
          <w:rFonts w:ascii="Times New Roman" w:hAnsi="Times New Roman" w:cs="Times New Roman"/>
          <w:color w:val="auto"/>
          <w:sz w:val="24"/>
          <w:szCs w:val="24"/>
          <w:lang w:val="en-AU"/>
        </w:rPr>
      </w:pPr>
      <w:r w:rsidRPr="003A1A2E">
        <w:rPr>
          <w:rFonts w:ascii="Times New Roman" w:hAnsi="Times New Roman" w:cs="Times New Roman"/>
          <w:color w:val="auto"/>
          <w:sz w:val="24"/>
          <w:szCs w:val="24"/>
          <w:lang w:val="en-AU"/>
        </w:rPr>
        <w:t xml:space="preserve"> </w:t>
      </w:r>
    </w:p>
    <w:p w14:paraId="5600E42C" w14:textId="5F5DD194" w:rsidR="006F0000" w:rsidRPr="003A1A2E" w:rsidRDefault="00A93A35" w:rsidP="00504A0D">
      <w:pPr>
        <w:pStyle w:val="BodyA"/>
        <w:spacing w:after="0"/>
        <w:ind w:firstLine="0"/>
        <w:rPr>
          <w:rFonts w:ascii="Times New Roman" w:hAnsi="Times New Roman" w:cs="Times New Roman"/>
          <w:b/>
          <w:bCs/>
          <w:color w:val="auto"/>
          <w:sz w:val="24"/>
          <w:szCs w:val="24"/>
          <w:lang w:val="en-AU"/>
        </w:rPr>
      </w:pPr>
      <w:r w:rsidRPr="003A1A2E">
        <w:rPr>
          <w:rFonts w:ascii="Times New Roman" w:hAnsi="Times New Roman" w:cs="Times New Roman"/>
          <w:b/>
          <w:bCs/>
          <w:color w:val="auto"/>
          <w:sz w:val="24"/>
          <w:szCs w:val="24"/>
          <w:lang w:val="en-AU"/>
        </w:rPr>
        <w:t>5. Conclusion</w:t>
      </w:r>
    </w:p>
    <w:p w14:paraId="2334AFD4" w14:textId="0975FF1E" w:rsidR="008A2206" w:rsidRPr="003A1A2E" w:rsidRDefault="004F0012" w:rsidP="008A2206">
      <w:pPr>
        <w:autoSpaceDE w:val="0"/>
        <w:autoSpaceDN w:val="0"/>
        <w:adjustRightInd w:val="0"/>
        <w:spacing w:line="480" w:lineRule="auto"/>
        <w:ind w:firstLine="720"/>
        <w:jc w:val="both"/>
      </w:pPr>
      <w:r w:rsidRPr="003A1A2E">
        <w:t xml:space="preserve">This study </w:t>
      </w:r>
      <w:r w:rsidR="00FF294F" w:rsidRPr="003A1A2E">
        <w:t xml:space="preserve">investigated </w:t>
      </w:r>
      <w:r w:rsidR="00F2591A" w:rsidRPr="003A1A2E">
        <w:t>soleus</w:t>
      </w:r>
      <w:r w:rsidR="00374E3F" w:rsidRPr="003A1A2E">
        <w:t xml:space="preserve"> motor neurone </w:t>
      </w:r>
      <w:r w:rsidR="00402669" w:rsidRPr="003A1A2E">
        <w:t xml:space="preserve">intrinsic </w:t>
      </w:r>
      <w:r w:rsidR="00F2591A" w:rsidRPr="003A1A2E">
        <w:t>excitability</w:t>
      </w:r>
      <w:r w:rsidR="002116B2" w:rsidRPr="003A1A2E">
        <w:t xml:space="preserve"> </w:t>
      </w:r>
      <w:r w:rsidR="00324B7D" w:rsidRPr="003A1A2E">
        <w:t xml:space="preserve">by estimating PICs </w:t>
      </w:r>
      <w:r w:rsidR="00205772" w:rsidRPr="003A1A2E">
        <w:t xml:space="preserve">amplitude </w:t>
      </w:r>
      <w:r w:rsidR="00324B7D" w:rsidRPr="003A1A2E">
        <w:t>(i.e.</w:t>
      </w:r>
      <w:r w:rsidR="00D64AF2">
        <w:t>,</w:t>
      </w:r>
      <w:r w:rsidR="00324B7D" w:rsidRPr="003A1A2E">
        <w:t xml:space="preserve"> ΔF</w:t>
      </w:r>
      <w:r w:rsidR="002116B2" w:rsidRPr="003A1A2E">
        <w:t>)</w:t>
      </w:r>
      <w:r w:rsidR="00374E3F" w:rsidRPr="003A1A2E">
        <w:t xml:space="preserve"> as a potential</w:t>
      </w:r>
      <w:r w:rsidRPr="003A1A2E">
        <w:t xml:space="preserve"> neurophysiological mechanism underpinning </w:t>
      </w:r>
      <w:r w:rsidR="003A0F4D" w:rsidRPr="003A1A2E">
        <w:t xml:space="preserve">the </w:t>
      </w:r>
      <w:r w:rsidR="006861E5" w:rsidRPr="003A1A2E">
        <w:t xml:space="preserve">motor </w:t>
      </w:r>
      <w:r w:rsidR="00FF294F" w:rsidRPr="003A1A2E">
        <w:t>function</w:t>
      </w:r>
      <w:r w:rsidR="003A0F4D" w:rsidRPr="003A1A2E">
        <w:t xml:space="preserve"> deficits reported</w:t>
      </w:r>
      <w:r w:rsidR="00FF294F" w:rsidRPr="003A1A2E">
        <w:t xml:space="preserve"> in runners with</w:t>
      </w:r>
      <w:r w:rsidRPr="003A1A2E">
        <w:t xml:space="preserve"> chronic </w:t>
      </w:r>
      <w:r w:rsidR="00402669" w:rsidRPr="003A1A2E">
        <w:t xml:space="preserve">mid-portion </w:t>
      </w:r>
      <w:r w:rsidRPr="003A1A2E">
        <w:t>AT</w:t>
      </w:r>
      <w:r w:rsidR="003A0F4D" w:rsidRPr="003A1A2E">
        <w:t>.</w:t>
      </w:r>
      <w:r w:rsidR="00374E3F" w:rsidRPr="003A1A2E">
        <w:t xml:space="preserve"> </w:t>
      </w:r>
      <w:r w:rsidR="0034371D" w:rsidRPr="003A1A2E">
        <w:t>O</w:t>
      </w:r>
      <w:r w:rsidR="006F0000" w:rsidRPr="003A1A2E">
        <w:t>ur data suggest</w:t>
      </w:r>
      <w:r w:rsidR="008009C8" w:rsidRPr="003A1A2E">
        <w:t xml:space="preserve"> </w:t>
      </w:r>
      <w:r w:rsidR="007D0329" w:rsidRPr="003A1A2E">
        <w:t>that</w:t>
      </w:r>
      <w:r w:rsidR="0034371D" w:rsidRPr="003A1A2E">
        <w:t xml:space="preserve"> </w:t>
      </w:r>
      <w:r w:rsidR="003F216B" w:rsidRPr="003A1A2E">
        <w:t xml:space="preserve">runners with </w:t>
      </w:r>
      <w:r w:rsidR="00FA2AAD" w:rsidRPr="003A1A2E">
        <w:t xml:space="preserve">mid-portion </w:t>
      </w:r>
      <w:r w:rsidR="003F216B" w:rsidRPr="003A1A2E">
        <w:t>AT</w:t>
      </w:r>
      <w:r w:rsidR="0034371D" w:rsidRPr="003A1A2E">
        <w:t xml:space="preserve"> d</w:t>
      </w:r>
      <w:r w:rsidR="003A0F4D" w:rsidRPr="003A1A2E">
        <w:t>o</w:t>
      </w:r>
      <w:r w:rsidR="0034371D" w:rsidRPr="003A1A2E">
        <w:t xml:space="preserve"> not </w:t>
      </w:r>
      <w:r w:rsidR="003F216B" w:rsidRPr="003A1A2E">
        <w:t>present</w:t>
      </w:r>
      <w:r w:rsidR="00BA1200" w:rsidRPr="003A1A2E">
        <w:t xml:space="preserve"> </w:t>
      </w:r>
      <w:r w:rsidR="0034371D" w:rsidRPr="003A1A2E">
        <w:t>deficits in</w:t>
      </w:r>
      <w:r w:rsidR="002116B2" w:rsidRPr="003A1A2E">
        <w:t xml:space="preserve"> soleus</w:t>
      </w:r>
      <w:r w:rsidR="00E677A9" w:rsidRPr="003A1A2E">
        <w:t xml:space="preserve"> motor neurone excitability </w:t>
      </w:r>
      <w:r w:rsidR="005811A7" w:rsidRPr="003A1A2E">
        <w:t>or</w:t>
      </w:r>
      <w:r w:rsidR="0034371D" w:rsidRPr="003A1A2E">
        <w:t xml:space="preserve"> </w:t>
      </w:r>
      <w:r w:rsidR="00FA2AAD" w:rsidRPr="003A1A2E">
        <w:t>discharge</w:t>
      </w:r>
      <w:r w:rsidR="0034371D" w:rsidRPr="003A1A2E">
        <w:t xml:space="preserve"> rate</w:t>
      </w:r>
      <w:r w:rsidR="00324B7D" w:rsidRPr="003A1A2E">
        <w:t>s</w:t>
      </w:r>
      <w:r w:rsidR="0034371D" w:rsidRPr="003A1A2E">
        <w:t xml:space="preserve"> </w:t>
      </w:r>
      <w:r w:rsidR="00374E3F" w:rsidRPr="003A1A2E">
        <w:t xml:space="preserve">compared </w:t>
      </w:r>
      <w:r w:rsidR="00F2591A" w:rsidRPr="003A1A2E">
        <w:t>to</w:t>
      </w:r>
      <w:r w:rsidR="00374E3F" w:rsidRPr="003A1A2E">
        <w:t xml:space="preserve"> healthy controls. </w:t>
      </w:r>
      <w:bookmarkEnd w:id="14"/>
      <w:r w:rsidR="0026595F" w:rsidRPr="003A1A2E">
        <w:t xml:space="preserve">Future studies should investigate </w:t>
      </w:r>
      <w:r w:rsidR="00AC7147" w:rsidRPr="003A1A2E">
        <w:t xml:space="preserve">other </w:t>
      </w:r>
      <w:r w:rsidR="00E673F1" w:rsidRPr="003A1A2E">
        <w:t xml:space="preserve">musculotendinous </w:t>
      </w:r>
      <w:r w:rsidR="00E673F1" w:rsidRPr="003A1A2E">
        <w:lastRenderedPageBreak/>
        <w:t xml:space="preserve">and </w:t>
      </w:r>
      <w:r w:rsidR="00AC7147" w:rsidRPr="003A1A2E">
        <w:t xml:space="preserve">neurophysiological mechanisms and </w:t>
      </w:r>
      <w:r w:rsidR="00E673F1" w:rsidRPr="003A1A2E">
        <w:t xml:space="preserve">potential alterations of </w:t>
      </w:r>
      <w:r w:rsidR="00AC7147" w:rsidRPr="003A1A2E">
        <w:t xml:space="preserve">intrinsic </w:t>
      </w:r>
      <w:r w:rsidR="0026595F" w:rsidRPr="003A1A2E">
        <w:t xml:space="preserve">motor neurone excitability and its influence on motor unit discharge rate of </w:t>
      </w:r>
      <w:bookmarkStart w:id="17" w:name="_Hlk93840039"/>
      <w:r w:rsidR="0026595F" w:rsidRPr="003A1A2E">
        <w:t xml:space="preserve">gastrocnemius lateralis and/or medialis </w:t>
      </w:r>
      <w:bookmarkEnd w:id="17"/>
      <w:r w:rsidR="0026595F" w:rsidRPr="003A1A2E">
        <w:t xml:space="preserve">to </w:t>
      </w:r>
      <w:r w:rsidR="00AC7147" w:rsidRPr="003A1A2E">
        <w:t xml:space="preserve">investigate the mechanisms underpinning </w:t>
      </w:r>
      <w:r w:rsidR="0026595F" w:rsidRPr="003A1A2E">
        <w:t xml:space="preserve">muscle deficits reported in </w:t>
      </w:r>
      <w:r w:rsidR="00AC7147" w:rsidRPr="003A1A2E">
        <w:t>AT</w:t>
      </w:r>
      <w:r w:rsidR="0026595F" w:rsidRPr="003A1A2E">
        <w:t>.</w:t>
      </w:r>
    </w:p>
    <w:p w14:paraId="60108AB0" w14:textId="6B873D55" w:rsidR="00447AB3" w:rsidRPr="003A1A2E" w:rsidRDefault="00447AB3" w:rsidP="00C05218">
      <w:pPr>
        <w:pStyle w:val="BodyA"/>
        <w:tabs>
          <w:tab w:val="left" w:pos="2816"/>
        </w:tabs>
        <w:spacing w:after="0"/>
        <w:rPr>
          <w:rFonts w:ascii="Times New Roman" w:hAnsi="Times New Roman" w:cs="Times New Roman"/>
          <w:color w:val="auto"/>
          <w:sz w:val="24"/>
          <w:szCs w:val="24"/>
          <w:lang w:val="en-AU"/>
        </w:rPr>
      </w:pPr>
    </w:p>
    <w:p w14:paraId="38BB08F8" w14:textId="529D67A8" w:rsidR="00E677A9" w:rsidRPr="003A1A2E" w:rsidRDefault="00E677A9" w:rsidP="00504A0D">
      <w:pPr>
        <w:pStyle w:val="BodyA"/>
        <w:spacing w:after="0"/>
        <w:ind w:firstLine="0"/>
        <w:rPr>
          <w:rFonts w:ascii="Times New Roman" w:hAnsi="Times New Roman" w:cs="Times New Roman"/>
          <w:b/>
          <w:bCs/>
          <w:color w:val="auto"/>
          <w:sz w:val="24"/>
          <w:szCs w:val="24"/>
          <w:lang w:val="en-AU"/>
        </w:rPr>
      </w:pPr>
      <w:r w:rsidRPr="003A1A2E">
        <w:rPr>
          <w:rFonts w:ascii="Times New Roman" w:hAnsi="Times New Roman" w:cs="Times New Roman"/>
          <w:b/>
          <w:bCs/>
          <w:color w:val="auto"/>
          <w:sz w:val="24"/>
          <w:szCs w:val="24"/>
          <w:lang w:val="en-AU"/>
        </w:rPr>
        <w:t xml:space="preserve">Authors contribution </w:t>
      </w:r>
    </w:p>
    <w:p w14:paraId="572FF01B" w14:textId="4B2F90F8" w:rsidR="00E677A9" w:rsidRPr="003A1A2E" w:rsidRDefault="00E677A9" w:rsidP="00504A0D">
      <w:pPr>
        <w:pStyle w:val="BodyA"/>
        <w:spacing w:after="0"/>
        <w:ind w:firstLine="0"/>
        <w:rPr>
          <w:rFonts w:ascii="Times New Roman" w:hAnsi="Times New Roman" w:cs="Times New Roman"/>
          <w:color w:val="auto"/>
          <w:sz w:val="24"/>
          <w:szCs w:val="24"/>
          <w:lang w:val="en-AU"/>
        </w:rPr>
      </w:pPr>
      <w:r w:rsidRPr="003A1A2E">
        <w:rPr>
          <w:rFonts w:ascii="Times New Roman" w:hAnsi="Times New Roman" w:cs="Times New Roman"/>
          <w:color w:val="auto"/>
          <w:sz w:val="24"/>
          <w:szCs w:val="24"/>
          <w:lang w:val="en-AU"/>
        </w:rPr>
        <w:t>GLF</w:t>
      </w:r>
      <w:r w:rsidR="003E41C3" w:rsidRPr="003A1A2E">
        <w:rPr>
          <w:rFonts w:ascii="Times New Roman" w:hAnsi="Times New Roman" w:cs="Times New Roman"/>
          <w:color w:val="auto"/>
          <w:sz w:val="24"/>
          <w:szCs w:val="24"/>
          <w:lang w:val="en-AU"/>
        </w:rPr>
        <w:t xml:space="preserve">, LO and </w:t>
      </w:r>
      <w:r w:rsidR="00B73520" w:rsidRPr="003A1A2E">
        <w:rPr>
          <w:rFonts w:ascii="Times New Roman" w:hAnsi="Times New Roman" w:cs="Times New Roman"/>
          <w:color w:val="auto"/>
          <w:sz w:val="24"/>
          <w:szCs w:val="24"/>
          <w:lang w:val="en-AU"/>
        </w:rPr>
        <w:t xml:space="preserve">GST designed the study. GLF and LO conducted experiments. GLF analysed the data and drafted the first version of the manuscript. GLF, LO, AS and GST critically revised the manuscript. All authors read and approved this final version of the manuscript. </w:t>
      </w:r>
    </w:p>
    <w:p w14:paraId="03D6F7DD" w14:textId="77777777" w:rsidR="00B73520" w:rsidRPr="003A1A2E" w:rsidRDefault="00B73520" w:rsidP="00504A0D">
      <w:pPr>
        <w:pStyle w:val="BodyA"/>
        <w:spacing w:after="0"/>
        <w:ind w:firstLine="0"/>
        <w:rPr>
          <w:rFonts w:ascii="Times New Roman" w:hAnsi="Times New Roman" w:cs="Times New Roman"/>
          <w:b/>
          <w:bCs/>
          <w:color w:val="auto"/>
          <w:sz w:val="24"/>
          <w:szCs w:val="24"/>
          <w:lang w:val="en-AU"/>
        </w:rPr>
      </w:pPr>
    </w:p>
    <w:p w14:paraId="5B0B9EFE" w14:textId="77777777" w:rsidR="008534F0" w:rsidRPr="003A1A2E" w:rsidRDefault="008534F0" w:rsidP="00504A0D">
      <w:pPr>
        <w:pStyle w:val="BodyA"/>
        <w:tabs>
          <w:tab w:val="left" w:pos="2816"/>
        </w:tabs>
        <w:spacing w:after="0"/>
        <w:ind w:firstLine="0"/>
        <w:rPr>
          <w:rFonts w:ascii="Times New Roman" w:hAnsi="Times New Roman" w:cs="Times New Roman"/>
          <w:b/>
          <w:bCs/>
          <w:color w:val="auto"/>
          <w:sz w:val="24"/>
          <w:szCs w:val="24"/>
          <w:lang w:val="en-AU"/>
        </w:rPr>
      </w:pPr>
      <w:r w:rsidRPr="003A1A2E">
        <w:rPr>
          <w:rFonts w:ascii="Times New Roman" w:hAnsi="Times New Roman" w:cs="Times New Roman"/>
          <w:b/>
          <w:bCs/>
          <w:color w:val="auto"/>
          <w:sz w:val="24"/>
          <w:szCs w:val="24"/>
          <w:lang w:val="en-AU"/>
        </w:rPr>
        <w:t>Conflict of interests</w:t>
      </w:r>
    </w:p>
    <w:p w14:paraId="67DF5F05" w14:textId="77777777" w:rsidR="008534F0" w:rsidRPr="003A1A2E" w:rsidRDefault="008534F0" w:rsidP="00504A0D">
      <w:pPr>
        <w:pStyle w:val="BodyA"/>
        <w:tabs>
          <w:tab w:val="left" w:pos="2816"/>
        </w:tabs>
        <w:spacing w:after="0"/>
        <w:ind w:firstLine="0"/>
        <w:rPr>
          <w:rFonts w:ascii="Times New Roman" w:hAnsi="Times New Roman" w:cs="Times New Roman"/>
          <w:color w:val="auto"/>
          <w:sz w:val="24"/>
          <w:szCs w:val="24"/>
          <w:lang w:val="en-AU"/>
        </w:rPr>
      </w:pPr>
      <w:r w:rsidRPr="003A1A2E">
        <w:rPr>
          <w:rFonts w:ascii="Times New Roman" w:hAnsi="Times New Roman" w:cs="Times New Roman"/>
          <w:color w:val="auto"/>
          <w:sz w:val="24"/>
          <w:szCs w:val="24"/>
          <w:lang w:val="en-AU"/>
        </w:rPr>
        <w:t xml:space="preserve">The authors declare no conflict of interest with the present research. </w:t>
      </w:r>
    </w:p>
    <w:p w14:paraId="7F4D4078" w14:textId="77777777" w:rsidR="008534F0" w:rsidRPr="003A1A2E" w:rsidRDefault="008534F0" w:rsidP="00504A0D">
      <w:pPr>
        <w:pStyle w:val="BodyA"/>
        <w:tabs>
          <w:tab w:val="left" w:pos="2816"/>
        </w:tabs>
        <w:spacing w:after="0"/>
        <w:ind w:firstLine="0"/>
        <w:rPr>
          <w:rFonts w:ascii="Times New Roman" w:hAnsi="Times New Roman" w:cs="Times New Roman"/>
          <w:color w:val="auto"/>
          <w:sz w:val="24"/>
          <w:szCs w:val="24"/>
          <w:lang w:val="en-AU"/>
        </w:rPr>
      </w:pPr>
    </w:p>
    <w:p w14:paraId="51AF2CE2" w14:textId="77777777" w:rsidR="008534F0" w:rsidRPr="003A1A2E" w:rsidRDefault="008534F0" w:rsidP="00504A0D">
      <w:pPr>
        <w:pStyle w:val="BodyA"/>
        <w:tabs>
          <w:tab w:val="left" w:pos="2816"/>
        </w:tabs>
        <w:spacing w:after="0"/>
        <w:ind w:firstLine="0"/>
        <w:rPr>
          <w:rFonts w:ascii="Times New Roman" w:hAnsi="Times New Roman" w:cs="Times New Roman"/>
          <w:b/>
          <w:bCs/>
          <w:color w:val="auto"/>
          <w:sz w:val="24"/>
          <w:szCs w:val="24"/>
          <w:lang w:val="en-AU"/>
        </w:rPr>
      </w:pPr>
      <w:r w:rsidRPr="003A1A2E">
        <w:rPr>
          <w:rFonts w:ascii="Times New Roman" w:hAnsi="Times New Roman" w:cs="Times New Roman"/>
          <w:b/>
          <w:bCs/>
          <w:color w:val="auto"/>
          <w:sz w:val="24"/>
          <w:szCs w:val="24"/>
          <w:lang w:val="en-AU"/>
        </w:rPr>
        <w:t xml:space="preserve">Acknowledgments </w:t>
      </w:r>
    </w:p>
    <w:p w14:paraId="4859CC84" w14:textId="77777777" w:rsidR="008534F0" w:rsidRPr="003A1A2E" w:rsidRDefault="008534F0" w:rsidP="00504A0D">
      <w:pPr>
        <w:autoSpaceDE w:val="0"/>
        <w:autoSpaceDN w:val="0"/>
        <w:adjustRightInd w:val="0"/>
        <w:spacing w:line="480" w:lineRule="auto"/>
        <w:jc w:val="both"/>
        <w:rPr>
          <w:rFonts w:eastAsia="Arial Unicode MS"/>
          <w:bdr w:val="nil"/>
        </w:rPr>
      </w:pPr>
      <w:r w:rsidRPr="003A1A2E">
        <w:rPr>
          <w:rFonts w:eastAsia="Arial Unicode MS"/>
          <w:bdr w:val="nil"/>
        </w:rPr>
        <w:t xml:space="preserve">The authors declare not having received any funding for this study.  </w:t>
      </w:r>
    </w:p>
    <w:p w14:paraId="1E226E3D" w14:textId="64630250" w:rsidR="008534F0" w:rsidRPr="003A1A2E" w:rsidRDefault="008534F0" w:rsidP="00504A0D">
      <w:pPr>
        <w:autoSpaceDE w:val="0"/>
        <w:autoSpaceDN w:val="0"/>
        <w:adjustRightInd w:val="0"/>
        <w:spacing w:line="480" w:lineRule="auto"/>
        <w:jc w:val="both"/>
      </w:pPr>
      <w:r w:rsidRPr="003A1A2E">
        <w:t xml:space="preserve">The authors thank </w:t>
      </w:r>
      <w:r w:rsidR="009D131A" w:rsidRPr="003A1A2E">
        <w:t xml:space="preserve">all volunteers who participated in this study </w:t>
      </w:r>
      <w:r w:rsidRPr="003A1A2E">
        <w:t>for their contribution to the development and achievement of this research</w:t>
      </w:r>
      <w:r w:rsidR="009D131A" w:rsidRPr="003A1A2E">
        <w:t>.</w:t>
      </w:r>
    </w:p>
    <w:p w14:paraId="455CA4AF" w14:textId="77777777" w:rsidR="00E0626F" w:rsidRPr="003A1A2E" w:rsidRDefault="00E0626F" w:rsidP="00504A0D">
      <w:pPr>
        <w:autoSpaceDE w:val="0"/>
        <w:autoSpaceDN w:val="0"/>
        <w:adjustRightInd w:val="0"/>
        <w:spacing w:line="480" w:lineRule="auto"/>
        <w:jc w:val="both"/>
      </w:pPr>
    </w:p>
    <w:p w14:paraId="7F93053E" w14:textId="465EF518" w:rsidR="00E0626F" w:rsidRPr="003A1A2E" w:rsidRDefault="00E0626F" w:rsidP="00E0626F">
      <w:pPr>
        <w:pStyle w:val="BodyA"/>
        <w:tabs>
          <w:tab w:val="left" w:pos="2816"/>
        </w:tabs>
        <w:spacing w:after="0"/>
        <w:ind w:firstLine="0"/>
        <w:rPr>
          <w:rFonts w:ascii="Times New Roman" w:hAnsi="Times New Roman" w:cs="Times New Roman"/>
          <w:b/>
          <w:bCs/>
          <w:color w:val="auto"/>
          <w:sz w:val="24"/>
          <w:szCs w:val="24"/>
          <w:lang w:val="en-AU"/>
        </w:rPr>
      </w:pPr>
      <w:r w:rsidRPr="003A1A2E">
        <w:rPr>
          <w:rFonts w:ascii="Times New Roman" w:hAnsi="Times New Roman" w:cs="Times New Roman"/>
          <w:b/>
          <w:bCs/>
          <w:color w:val="auto"/>
          <w:sz w:val="24"/>
          <w:szCs w:val="24"/>
          <w:lang w:val="en-AU"/>
        </w:rPr>
        <w:t>Data availability</w:t>
      </w:r>
    </w:p>
    <w:p w14:paraId="0A2E4121" w14:textId="50A9E518" w:rsidR="00E0626F" w:rsidRPr="003A1A2E" w:rsidRDefault="008F3EDA" w:rsidP="00E875F7">
      <w:pPr>
        <w:pStyle w:val="BodyA"/>
        <w:spacing w:after="0"/>
        <w:ind w:firstLine="0"/>
        <w:rPr>
          <w:rFonts w:ascii="Times New Roman" w:hAnsi="Times New Roman" w:cs="Times New Roman"/>
          <w:color w:val="auto"/>
          <w:sz w:val="24"/>
          <w:szCs w:val="24"/>
          <w:lang w:val="en-AU"/>
        </w:rPr>
      </w:pPr>
      <w:r w:rsidRPr="003A1A2E">
        <w:rPr>
          <w:rFonts w:ascii="Times New Roman" w:hAnsi="Times New Roman" w:cs="Times New Roman"/>
          <w:color w:val="auto"/>
          <w:sz w:val="24"/>
          <w:szCs w:val="24"/>
          <w:lang w:val="en-AU"/>
        </w:rPr>
        <w:t>The datasets generated during and/or analysed during the current study are available in the GitHub repository, [PERSISTENT WEB LINK TO DATASETS]</w:t>
      </w:r>
    </w:p>
    <w:p w14:paraId="1DCD2B77" w14:textId="77777777" w:rsidR="008F3EDA" w:rsidRPr="003A1A2E" w:rsidRDefault="008F3EDA" w:rsidP="00E875F7">
      <w:pPr>
        <w:pStyle w:val="BodyA"/>
        <w:spacing w:after="0"/>
        <w:ind w:firstLine="0"/>
        <w:rPr>
          <w:rFonts w:ascii="Times New Roman" w:hAnsi="Times New Roman" w:cs="Times New Roman"/>
          <w:b/>
          <w:bCs/>
          <w:color w:val="auto"/>
          <w:sz w:val="24"/>
          <w:szCs w:val="24"/>
          <w:lang w:val="en-AU"/>
        </w:rPr>
      </w:pPr>
    </w:p>
    <w:p w14:paraId="00E2EBAE" w14:textId="2BEEE135" w:rsidR="00BE5EDA" w:rsidRPr="003A1A2E" w:rsidRDefault="006E48F0" w:rsidP="00762901">
      <w:pPr>
        <w:pStyle w:val="BodyA"/>
        <w:spacing w:after="0"/>
        <w:ind w:firstLine="0"/>
        <w:rPr>
          <w:rFonts w:ascii="Times New Roman" w:hAnsi="Times New Roman" w:cs="Times New Roman"/>
          <w:b/>
          <w:bCs/>
          <w:color w:val="auto"/>
          <w:sz w:val="24"/>
          <w:szCs w:val="24"/>
          <w:lang w:val="pt-BR"/>
        </w:rPr>
      </w:pPr>
      <w:r w:rsidRPr="003A1A2E">
        <w:rPr>
          <w:rFonts w:ascii="Times New Roman" w:hAnsi="Times New Roman" w:cs="Times New Roman"/>
          <w:b/>
          <w:bCs/>
          <w:color w:val="auto"/>
          <w:sz w:val="24"/>
          <w:szCs w:val="24"/>
          <w:lang w:val="pt-BR"/>
        </w:rPr>
        <w:t>References</w:t>
      </w:r>
    </w:p>
    <w:p w14:paraId="1AA235BF" w14:textId="23150D0A" w:rsidR="005827E6" w:rsidRPr="005827E6" w:rsidRDefault="006C4079" w:rsidP="005827E6">
      <w:pPr>
        <w:widowControl w:val="0"/>
        <w:autoSpaceDE w:val="0"/>
        <w:autoSpaceDN w:val="0"/>
        <w:adjustRightInd w:val="0"/>
        <w:spacing w:line="480" w:lineRule="auto"/>
        <w:ind w:left="640" w:hanging="640"/>
        <w:rPr>
          <w:noProof/>
        </w:rPr>
      </w:pPr>
      <w:r w:rsidRPr="003A1A2E">
        <w:fldChar w:fldCharType="begin" w:fldLock="1"/>
      </w:r>
      <w:r w:rsidRPr="003A1A2E">
        <w:rPr>
          <w:lang w:val="pt-BR"/>
        </w:rPr>
        <w:instrText xml:space="preserve">ADDIN Mendeley Bibliography CSL_BIBLIOGRAPHY </w:instrText>
      </w:r>
      <w:r w:rsidRPr="003A1A2E">
        <w:fldChar w:fldCharType="separate"/>
      </w:r>
      <w:r w:rsidR="005827E6" w:rsidRPr="005827E6">
        <w:rPr>
          <w:noProof/>
        </w:rPr>
        <w:t xml:space="preserve">1. </w:t>
      </w:r>
      <w:r w:rsidR="005827E6" w:rsidRPr="005827E6">
        <w:rPr>
          <w:noProof/>
        </w:rPr>
        <w:tab/>
        <w:t xml:space="preserve">Rio E, Moseley L, Purdam C, et al. The pain of tendinopathy: Physiological or pathophysiological? </w:t>
      </w:r>
      <w:r w:rsidR="005827E6" w:rsidRPr="005827E6">
        <w:rPr>
          <w:i/>
          <w:iCs/>
          <w:noProof/>
        </w:rPr>
        <w:t>Sport Med</w:t>
      </w:r>
      <w:r w:rsidR="005827E6" w:rsidRPr="005827E6">
        <w:rPr>
          <w:noProof/>
        </w:rPr>
        <w:t>. 2014;44(1):9-23. doi:10.1007/s40279-013-0096-z</w:t>
      </w:r>
    </w:p>
    <w:p w14:paraId="5BF49090"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2. </w:t>
      </w:r>
      <w:r w:rsidRPr="005827E6">
        <w:rPr>
          <w:noProof/>
        </w:rPr>
        <w:tab/>
        <w:t xml:space="preserve">O’Neill S, Barry S, Watson P. Plantarflexor strength and endurance deficits associated </w:t>
      </w:r>
      <w:r w:rsidRPr="005827E6">
        <w:rPr>
          <w:noProof/>
        </w:rPr>
        <w:lastRenderedPageBreak/>
        <w:t xml:space="preserve">with mid-portion Achilles tendinopathy: The role of soleus. </w:t>
      </w:r>
      <w:r w:rsidRPr="005827E6">
        <w:rPr>
          <w:i/>
          <w:iCs/>
          <w:noProof/>
        </w:rPr>
        <w:t>Phys Ther Sport</w:t>
      </w:r>
      <w:r w:rsidRPr="005827E6">
        <w:rPr>
          <w:noProof/>
        </w:rPr>
        <w:t>. 2019;37:69-76. doi:10.1016/j.ptsp.2019.03.002</w:t>
      </w:r>
    </w:p>
    <w:p w14:paraId="505ADCA6"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3. </w:t>
      </w:r>
      <w:r w:rsidRPr="005827E6">
        <w:rPr>
          <w:noProof/>
        </w:rPr>
        <w:tab/>
        <w:t xml:space="preserve">Mahieu NN, Witvrouw E, Stevens V, Van Tiggelen D, Roget P. Intrinsic risk factors for the development of Achilles tendon overuse injury: A prospective study. </w:t>
      </w:r>
      <w:r w:rsidRPr="005827E6">
        <w:rPr>
          <w:i/>
          <w:iCs/>
          <w:noProof/>
        </w:rPr>
        <w:t>Am J Sports Med</w:t>
      </w:r>
      <w:r w:rsidRPr="005827E6">
        <w:rPr>
          <w:noProof/>
        </w:rPr>
        <w:t>. 2006;34(2):226-235. doi:10.1177/0363546505279918</w:t>
      </w:r>
    </w:p>
    <w:p w14:paraId="48CF9B34"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4. </w:t>
      </w:r>
      <w:r w:rsidRPr="005827E6">
        <w:rPr>
          <w:noProof/>
        </w:rPr>
        <w:tab/>
        <w:t xml:space="preserve">Silbernagel KG, Thomeé R, Eriksson BI, Karlsson J. Full symptomatic recovery does not ensure full recovery of muscle-tendon function in patients with Achilles tendinopathy. </w:t>
      </w:r>
      <w:r w:rsidRPr="005827E6">
        <w:rPr>
          <w:i/>
          <w:iCs/>
          <w:noProof/>
        </w:rPr>
        <w:t>Br J Sports Med</w:t>
      </w:r>
      <w:r w:rsidRPr="005827E6">
        <w:rPr>
          <w:noProof/>
        </w:rPr>
        <w:t>. 2007;41(4):276-280. doi:10.1136/bjsm.2006.033464</w:t>
      </w:r>
    </w:p>
    <w:p w14:paraId="5F81FDFE"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5. </w:t>
      </w:r>
      <w:r w:rsidRPr="005827E6">
        <w:rPr>
          <w:noProof/>
        </w:rPr>
        <w:tab/>
        <w:t xml:space="preserve">Hug F, Tucker K. Muscle Coordination and the Development of Musculoskeletal Disorders. </w:t>
      </w:r>
      <w:r w:rsidRPr="005827E6">
        <w:rPr>
          <w:i/>
          <w:iCs/>
          <w:noProof/>
        </w:rPr>
        <w:t>Exerc Sport Sci Rev</w:t>
      </w:r>
      <w:r w:rsidRPr="005827E6">
        <w:rPr>
          <w:noProof/>
        </w:rPr>
        <w:t>. 2017;45(4):201-208. doi:10.1249/JES.0000000000000122</w:t>
      </w:r>
    </w:p>
    <w:p w14:paraId="18F9ECE4"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6. </w:t>
      </w:r>
      <w:r w:rsidRPr="005827E6">
        <w:rPr>
          <w:noProof/>
        </w:rPr>
        <w:tab/>
        <w:t xml:space="preserve">Cook JL, Purdam CR. Is tendon pathology a continuum? A pathology model to explain the clinical presentation of load-induced tendinopathy. </w:t>
      </w:r>
      <w:r w:rsidRPr="005827E6">
        <w:rPr>
          <w:i/>
          <w:iCs/>
          <w:noProof/>
        </w:rPr>
        <w:t>Br J Sports Med</w:t>
      </w:r>
      <w:r w:rsidRPr="005827E6">
        <w:rPr>
          <w:noProof/>
        </w:rPr>
        <w:t>. 2009;43(6):409-416. doi:10.1136/bjsm.2008.051193</w:t>
      </w:r>
    </w:p>
    <w:p w14:paraId="4701A4B8"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7. </w:t>
      </w:r>
      <w:r w:rsidRPr="005827E6">
        <w:rPr>
          <w:noProof/>
        </w:rPr>
        <w:tab/>
        <w:t xml:space="preserve">Enoka RM, Duchateau J. Rate coding and the control of muscle force. </w:t>
      </w:r>
      <w:r w:rsidRPr="005827E6">
        <w:rPr>
          <w:i/>
          <w:iCs/>
          <w:noProof/>
        </w:rPr>
        <w:t>Cold Spring Harb Perspect Med</w:t>
      </w:r>
      <w:r w:rsidRPr="005827E6">
        <w:rPr>
          <w:noProof/>
        </w:rPr>
        <w:t>. 2017;7(10):1-12. doi:10.1101/cshperspect.a029702</w:t>
      </w:r>
    </w:p>
    <w:p w14:paraId="25190209"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8. </w:t>
      </w:r>
      <w:r w:rsidRPr="005827E6">
        <w:rPr>
          <w:noProof/>
        </w:rPr>
        <w:tab/>
        <w:t xml:space="preserve">Orssatto LBR, Borg DN, Blazevich AJ, Sakugawa RL, Shield AJ, Trajano GS. Intrinsic motoneuron excitability is reduced in soleus and tibialis anterior of older adults. </w:t>
      </w:r>
      <w:r w:rsidRPr="005827E6">
        <w:rPr>
          <w:i/>
          <w:iCs/>
          <w:noProof/>
        </w:rPr>
        <w:t>GeroScience</w:t>
      </w:r>
      <w:r w:rsidRPr="005827E6">
        <w:rPr>
          <w:noProof/>
        </w:rPr>
        <w:t>. Published online 2021:2719-2735. doi:10.1007/s11357-021-00478-z</w:t>
      </w:r>
    </w:p>
    <w:p w14:paraId="4B6FC8EB"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9. </w:t>
      </w:r>
      <w:r w:rsidRPr="005827E6">
        <w:rPr>
          <w:noProof/>
        </w:rPr>
        <w:tab/>
        <w:t xml:space="preserve">Binder MD, Powers RK, Heckman CJ. Nonlinear Input-Output Functions of Motoneurons. </w:t>
      </w:r>
      <w:r w:rsidRPr="005827E6">
        <w:rPr>
          <w:i/>
          <w:iCs/>
          <w:noProof/>
        </w:rPr>
        <w:t>Physiology (Bethesda)</w:t>
      </w:r>
      <w:r w:rsidRPr="005827E6">
        <w:rPr>
          <w:noProof/>
        </w:rPr>
        <w:t>. 2020;35(1):31-39. doi:10.1152/physiol.00026.2019</w:t>
      </w:r>
    </w:p>
    <w:p w14:paraId="1A7BBB50"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10. </w:t>
      </w:r>
      <w:r w:rsidRPr="005827E6">
        <w:rPr>
          <w:noProof/>
        </w:rPr>
        <w:tab/>
        <w:t xml:space="preserve">Orssatto LBRR, Mackay K, Shield AJ, Sakugawa RL, Blazevich AJ, Trajano GS. Estimates of persistent inward currents increase with the level of voluntary drive in </w:t>
      </w:r>
      <w:r w:rsidRPr="005827E6">
        <w:rPr>
          <w:noProof/>
        </w:rPr>
        <w:lastRenderedPageBreak/>
        <w:t xml:space="preserve">low-threshold motor units of plantar flexor muscles. </w:t>
      </w:r>
      <w:r w:rsidRPr="005827E6">
        <w:rPr>
          <w:i/>
          <w:iCs/>
          <w:noProof/>
        </w:rPr>
        <w:t>J Neurophysiol</w:t>
      </w:r>
      <w:r w:rsidRPr="005827E6">
        <w:rPr>
          <w:noProof/>
        </w:rPr>
        <w:t>. 2021;125(5):1746-1754. doi:10.1152/jn.00697.2020</w:t>
      </w:r>
    </w:p>
    <w:p w14:paraId="17CD9AAC"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11. </w:t>
      </w:r>
      <w:r w:rsidRPr="005827E6">
        <w:rPr>
          <w:noProof/>
        </w:rPr>
        <w:tab/>
        <w:t xml:space="preserve">Trajano GS, Taylor JL, Orssatto LBR, McNulty CR, Blazevich AJ. Passive muscle stretching reduces estimates of persistent inward current strength in soleus motor units. </w:t>
      </w:r>
      <w:r w:rsidRPr="005827E6">
        <w:rPr>
          <w:i/>
          <w:iCs/>
          <w:noProof/>
        </w:rPr>
        <w:t>J Exp Biol</w:t>
      </w:r>
      <w:r w:rsidRPr="005827E6">
        <w:rPr>
          <w:noProof/>
        </w:rPr>
        <w:t>. 2020;(61 7):jeb.229922. doi:10.1242/jeb.229922</w:t>
      </w:r>
    </w:p>
    <w:p w14:paraId="45B36B36"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12. </w:t>
      </w:r>
      <w:r w:rsidRPr="005827E6">
        <w:rPr>
          <w:noProof/>
        </w:rPr>
        <w:tab/>
        <w:t xml:space="preserve">Heckman CJ, Gorassini MA, Bennett DJ. Persistent inward currents in motoneuron dendrites: Implications for motor output. </w:t>
      </w:r>
      <w:r w:rsidRPr="005827E6">
        <w:rPr>
          <w:i/>
          <w:iCs/>
          <w:noProof/>
        </w:rPr>
        <w:t>Muscle and Nerve</w:t>
      </w:r>
      <w:r w:rsidRPr="005827E6">
        <w:rPr>
          <w:noProof/>
        </w:rPr>
        <w:t>. 2005;31(2):135-156. doi:10.1002/mus.20261</w:t>
      </w:r>
    </w:p>
    <w:p w14:paraId="0F24CF56"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13. </w:t>
      </w:r>
      <w:r w:rsidRPr="005827E6">
        <w:rPr>
          <w:noProof/>
        </w:rPr>
        <w:tab/>
        <w:t xml:space="preserve">Hyngstrom, A. S., Johnson, M. D., &amp; Heckman CJ. Summation of Excitatory and Inhibitory Synaptic Inputs by Motoneurons With Highly Active Dendrites. </w:t>
      </w:r>
      <w:r w:rsidRPr="005827E6">
        <w:rPr>
          <w:i/>
          <w:iCs/>
          <w:noProof/>
        </w:rPr>
        <w:t>J Neurophysiol</w:t>
      </w:r>
      <w:r w:rsidRPr="005827E6">
        <w:rPr>
          <w:noProof/>
        </w:rPr>
        <w:t>. Published online 2008. doi:10.1152/jn.01253.2007</w:t>
      </w:r>
    </w:p>
    <w:p w14:paraId="1232CC1E"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14. </w:t>
      </w:r>
      <w:r w:rsidRPr="005827E6">
        <w:rPr>
          <w:noProof/>
        </w:rPr>
        <w:tab/>
        <w:t xml:space="preserve">Vandenberk MS, Kalmar JM. An evaluation of paired motor unit estimates of persistent inward current in human motoneurons. </w:t>
      </w:r>
      <w:r w:rsidRPr="005827E6">
        <w:rPr>
          <w:i/>
          <w:iCs/>
          <w:noProof/>
        </w:rPr>
        <w:t>J Neurophysiol</w:t>
      </w:r>
      <w:r w:rsidRPr="005827E6">
        <w:rPr>
          <w:noProof/>
        </w:rPr>
        <w:t>. 2014;111(9):1877-1884. doi:10.1152/jn.00469.2013</w:t>
      </w:r>
    </w:p>
    <w:p w14:paraId="41CD6561"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15. </w:t>
      </w:r>
      <w:r w:rsidRPr="005827E6">
        <w:rPr>
          <w:noProof/>
        </w:rPr>
        <w:tab/>
        <w:t xml:space="preserve">Fernandes GL, Orssatto LBR, Shield AJ, Trajano GS. Runners with mid‐portion Achilles tendinopathy have greater triceps surae intracortical inhibition than healthy controls. </w:t>
      </w:r>
      <w:r w:rsidRPr="005827E6">
        <w:rPr>
          <w:i/>
          <w:iCs/>
          <w:noProof/>
        </w:rPr>
        <w:t>Scand J Med Sci Sports</w:t>
      </w:r>
      <w:r w:rsidRPr="005827E6">
        <w:rPr>
          <w:noProof/>
        </w:rPr>
        <w:t>. Published online 2021:1-18. doi:10.1111/sms.14111</w:t>
      </w:r>
    </w:p>
    <w:p w14:paraId="7FB702D7"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16. </w:t>
      </w:r>
      <w:r w:rsidRPr="005827E6">
        <w:rPr>
          <w:noProof/>
        </w:rPr>
        <w:tab/>
        <w:t xml:space="preserve">Cook JL, Rio E, Purdam CR, Docking SI. Revisiting the continuum model of tendon pathology: What is its merit in clinical practice and research? </w:t>
      </w:r>
      <w:r w:rsidRPr="005827E6">
        <w:rPr>
          <w:i/>
          <w:iCs/>
          <w:noProof/>
        </w:rPr>
        <w:t>Br J Sports Med</w:t>
      </w:r>
      <w:r w:rsidRPr="005827E6">
        <w:rPr>
          <w:noProof/>
        </w:rPr>
        <w:t>. 2016;50(19):1187-1191. doi:10.1136/bjsports-2015-095422</w:t>
      </w:r>
    </w:p>
    <w:p w14:paraId="2AF4F2AF"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17. </w:t>
      </w:r>
      <w:r w:rsidRPr="005827E6">
        <w:rPr>
          <w:noProof/>
        </w:rPr>
        <w:tab/>
        <w:t xml:space="preserve">Sohn MK, Graven-Nielsen T, Arendt-Nielsen L, Svensson P. Inhibition of motor unit firing during experimental muscle pain in humans. </w:t>
      </w:r>
      <w:r w:rsidRPr="005827E6">
        <w:rPr>
          <w:i/>
          <w:iCs/>
          <w:noProof/>
        </w:rPr>
        <w:t>Muscle and Nerve</w:t>
      </w:r>
      <w:r w:rsidRPr="005827E6">
        <w:rPr>
          <w:noProof/>
        </w:rPr>
        <w:t>. 2000;23(8):1219-1226. doi:10.1002/1097-4598(200008)23:8&lt;1219::AID-MUS10&gt;3.0.CO;2-A</w:t>
      </w:r>
    </w:p>
    <w:p w14:paraId="120EF1BA"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18. </w:t>
      </w:r>
      <w:r w:rsidRPr="005827E6">
        <w:rPr>
          <w:noProof/>
        </w:rPr>
        <w:tab/>
        <w:t xml:space="preserve">Farina D, Arendt-Nielsen L, Merletti R, Graven-Nielsen T. Effect of Experimental </w:t>
      </w:r>
      <w:r w:rsidRPr="005827E6">
        <w:rPr>
          <w:noProof/>
        </w:rPr>
        <w:lastRenderedPageBreak/>
        <w:t xml:space="preserve">Muscle Pain on Motor Unit Firing Rate and Conduction Velocity. </w:t>
      </w:r>
      <w:r w:rsidRPr="005827E6">
        <w:rPr>
          <w:i/>
          <w:iCs/>
          <w:noProof/>
        </w:rPr>
        <w:t>J Neurophysiol</w:t>
      </w:r>
      <w:r w:rsidRPr="005827E6">
        <w:rPr>
          <w:noProof/>
        </w:rPr>
        <w:t>. 2004;91(3):1250-1259. doi:10.1152/jn.00620.2003</w:t>
      </w:r>
    </w:p>
    <w:p w14:paraId="625C315A"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19. </w:t>
      </w:r>
      <w:r w:rsidRPr="005827E6">
        <w:rPr>
          <w:noProof/>
        </w:rPr>
        <w:tab/>
        <w:t xml:space="preserve">Gorassini M, Yang JF, Siu M, Bennett DJ. Intrinsic activation of human motoneurons: Possible contribution to motor unit excitation. </w:t>
      </w:r>
      <w:r w:rsidRPr="005827E6">
        <w:rPr>
          <w:i/>
          <w:iCs/>
          <w:noProof/>
        </w:rPr>
        <w:t>J Neurophysiol</w:t>
      </w:r>
      <w:r w:rsidRPr="005827E6">
        <w:rPr>
          <w:noProof/>
        </w:rPr>
        <w:t>. 2002;87(4):1850-1858. doi:10.1152/jn.00024.2001</w:t>
      </w:r>
    </w:p>
    <w:p w14:paraId="05DE4029"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20. </w:t>
      </w:r>
      <w:r w:rsidRPr="005827E6">
        <w:rPr>
          <w:noProof/>
        </w:rPr>
        <w:tab/>
        <w:t xml:space="preserve">Fernandes GL, Orssatto LBR, Sakugawa RL, Trajano GS. Lower motor unit discharge rates in gastrocnemius lateralis, but not in gastrocnemius medialis or soleus, in runners with Achilles tendinopathy: a pilot study. </w:t>
      </w:r>
      <w:r w:rsidRPr="005827E6">
        <w:rPr>
          <w:i/>
          <w:iCs/>
          <w:noProof/>
        </w:rPr>
        <w:t>Eur J Appl Physiol</w:t>
      </w:r>
      <w:r w:rsidRPr="005827E6">
        <w:rPr>
          <w:noProof/>
        </w:rPr>
        <w:t>. 2022;(accepted for publication):2022.05.05.22274750. doi:10.1007/s00421-022-05089-w</w:t>
      </w:r>
    </w:p>
    <w:p w14:paraId="3A501F0A"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21. </w:t>
      </w:r>
      <w:r w:rsidRPr="005827E6">
        <w:rPr>
          <w:noProof/>
        </w:rPr>
        <w:tab/>
        <w:t xml:space="preserve">Knobloch K. Drug-Induced Tendon Disorders. In: Ackermann PW, Hart DA, eds. </w:t>
      </w:r>
      <w:r w:rsidRPr="005827E6">
        <w:rPr>
          <w:i/>
          <w:iCs/>
          <w:noProof/>
        </w:rPr>
        <w:t>Metabolic Influences on Risk for Tendon Disorders</w:t>
      </w:r>
      <w:r w:rsidRPr="005827E6">
        <w:rPr>
          <w:noProof/>
        </w:rPr>
        <w:t>. Springer International Publishing; 2016:229-238. doi:10.1007/978-3-319-33943-6_22</w:t>
      </w:r>
    </w:p>
    <w:p w14:paraId="2EC39AAD"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22. </w:t>
      </w:r>
      <w:r w:rsidRPr="005827E6">
        <w:rPr>
          <w:noProof/>
        </w:rPr>
        <w:tab/>
        <w:t xml:space="preserve">Martin RL, Chimenti R, Cuddeford T, et al. The VISA-A questionnaire: An index of the severity of Achilles tendinopathy I. </w:t>
      </w:r>
      <w:r w:rsidRPr="005827E6">
        <w:rPr>
          <w:i/>
          <w:iCs/>
          <w:noProof/>
        </w:rPr>
        <w:t>J Orthop Sports Phys Ther</w:t>
      </w:r>
      <w:r w:rsidRPr="005827E6">
        <w:rPr>
          <w:noProof/>
        </w:rPr>
        <w:t>. 2018;48(5):9-11. https://pubmed.ncbi.nlm.nih.gov/11579069/</w:t>
      </w:r>
    </w:p>
    <w:p w14:paraId="2111A2BC"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23. </w:t>
      </w:r>
      <w:r w:rsidRPr="005827E6">
        <w:rPr>
          <w:noProof/>
        </w:rPr>
        <w:tab/>
        <w:t xml:space="preserve">Hassan A, Thompson CK, Negro F, et al. Impact of parameter selection on estimates of motoneuron excitability using paired motor unit analysis. </w:t>
      </w:r>
      <w:r w:rsidRPr="005827E6">
        <w:rPr>
          <w:i/>
          <w:iCs/>
          <w:noProof/>
        </w:rPr>
        <w:t>J Neural Eng</w:t>
      </w:r>
      <w:r w:rsidRPr="005827E6">
        <w:rPr>
          <w:noProof/>
        </w:rPr>
        <w:t>. 2020;17(1):016063. doi:10.1088/1741-2552/ab5eda</w:t>
      </w:r>
    </w:p>
    <w:p w14:paraId="3C9CCF81"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24. </w:t>
      </w:r>
      <w:r w:rsidRPr="005827E6">
        <w:rPr>
          <w:noProof/>
        </w:rPr>
        <w:tab/>
        <w:t xml:space="preserve">Del Vecchio A, Holobar A, Falla D, Felici F, Enoka RM, Farina D. Tutorial: Analysis of motor unit discharge characteristics from high-density surface EMG signals. </w:t>
      </w:r>
      <w:r w:rsidRPr="005827E6">
        <w:rPr>
          <w:i/>
          <w:iCs/>
          <w:noProof/>
        </w:rPr>
        <w:t>J Electromyogr Kinesiol</w:t>
      </w:r>
      <w:r w:rsidRPr="005827E6">
        <w:rPr>
          <w:noProof/>
        </w:rPr>
        <w:t>. 2020;53:102426. doi:10.1016/j.jelekin.2020.102426</w:t>
      </w:r>
    </w:p>
    <w:p w14:paraId="66D14D18"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25. </w:t>
      </w:r>
      <w:r w:rsidRPr="005827E6">
        <w:rPr>
          <w:noProof/>
        </w:rPr>
        <w:tab/>
        <w:t xml:space="preserve">Martinez-Valdes E, Laine CM, Falla D, Mayer F, Farina D. High-density surface electromyography provides reliable estimates of motor unit behavior. </w:t>
      </w:r>
      <w:r w:rsidRPr="005827E6">
        <w:rPr>
          <w:i/>
          <w:iCs/>
          <w:noProof/>
        </w:rPr>
        <w:t>Clin Neurophysiol</w:t>
      </w:r>
      <w:r w:rsidRPr="005827E6">
        <w:rPr>
          <w:noProof/>
        </w:rPr>
        <w:t>. 2016;127(6):2534-2541. doi:10.1016/j.clinph.2015.10.065</w:t>
      </w:r>
    </w:p>
    <w:p w14:paraId="06878BA2"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26. </w:t>
      </w:r>
      <w:r w:rsidRPr="005827E6">
        <w:rPr>
          <w:noProof/>
        </w:rPr>
        <w:tab/>
        <w:t xml:space="preserve">Hug F, Avrillon S, Del Vecchio A, et al. Analysis of motor unit spike trains estimated </w:t>
      </w:r>
      <w:r w:rsidRPr="005827E6">
        <w:rPr>
          <w:noProof/>
        </w:rPr>
        <w:lastRenderedPageBreak/>
        <w:t xml:space="preserve">from high-density surface electromyography is highly reliable across operators. </w:t>
      </w:r>
      <w:r w:rsidRPr="005827E6">
        <w:rPr>
          <w:i/>
          <w:iCs/>
          <w:noProof/>
        </w:rPr>
        <w:t>J Electromyogr Kinesiol</w:t>
      </w:r>
      <w:r w:rsidRPr="005827E6">
        <w:rPr>
          <w:noProof/>
        </w:rPr>
        <w:t>. 2021;58(February). doi:10.1016/j.jelekin.2021.102548</w:t>
      </w:r>
    </w:p>
    <w:p w14:paraId="19046746"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27. </w:t>
      </w:r>
      <w:r w:rsidRPr="005827E6">
        <w:rPr>
          <w:noProof/>
        </w:rPr>
        <w:tab/>
        <w:t xml:space="preserve">Del Vecchio A, Negro F, Holobar A, et al. You are as fast as your motor neurons: speed of recruitment and maximal discharge of motor neurons determine the maximal rate of force development in humans. </w:t>
      </w:r>
      <w:r w:rsidRPr="005827E6">
        <w:rPr>
          <w:i/>
          <w:iCs/>
          <w:noProof/>
        </w:rPr>
        <w:t>J Physiol</w:t>
      </w:r>
      <w:r w:rsidRPr="005827E6">
        <w:rPr>
          <w:noProof/>
        </w:rPr>
        <w:t>. 2019;597(9):2445-2456. doi:10.1113/JP277396</w:t>
      </w:r>
    </w:p>
    <w:p w14:paraId="58FA9C5B"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28. </w:t>
      </w:r>
      <w:r w:rsidRPr="005827E6">
        <w:rPr>
          <w:noProof/>
        </w:rPr>
        <w:tab/>
        <w:t xml:space="preserve">Bates D, Mächler M, Bolker BM, Walker SC. Fitting linear mixed-effects models using lme4. </w:t>
      </w:r>
      <w:r w:rsidRPr="005827E6">
        <w:rPr>
          <w:i/>
          <w:iCs/>
          <w:noProof/>
        </w:rPr>
        <w:t>J Stat Softw</w:t>
      </w:r>
      <w:r w:rsidRPr="005827E6">
        <w:rPr>
          <w:noProof/>
        </w:rPr>
        <w:t>. 2015;67(1). doi:10.18637/jss.v067.i01</w:t>
      </w:r>
    </w:p>
    <w:p w14:paraId="214D242E"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29. </w:t>
      </w:r>
      <w:r w:rsidRPr="005827E6">
        <w:rPr>
          <w:noProof/>
        </w:rPr>
        <w:tab/>
        <w:t xml:space="preserve">Boccia G, Martinez-Valdes E, Negro F, Rainoldi A, Falla D. Motor unit discharge rate and the estimated synaptic input to the vasti muscles is higher in open compared with closed kinetic chain exercise. </w:t>
      </w:r>
      <w:r w:rsidRPr="005827E6">
        <w:rPr>
          <w:i/>
          <w:iCs/>
          <w:noProof/>
        </w:rPr>
        <w:t>J Appl Physiol</w:t>
      </w:r>
      <w:r w:rsidRPr="005827E6">
        <w:rPr>
          <w:noProof/>
        </w:rPr>
        <w:t>. 2019;127(4):950-958. doi:10.1152/japplphysiol.00310.2019</w:t>
      </w:r>
    </w:p>
    <w:p w14:paraId="2771B960"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30. </w:t>
      </w:r>
      <w:r w:rsidRPr="005827E6">
        <w:rPr>
          <w:noProof/>
        </w:rPr>
        <w:tab/>
        <w:t xml:space="preserve">Lenth R V. Least-squares means: The R package lsmeans. </w:t>
      </w:r>
      <w:r w:rsidRPr="005827E6">
        <w:rPr>
          <w:i/>
          <w:iCs/>
          <w:noProof/>
        </w:rPr>
        <w:t>J Stat Softw</w:t>
      </w:r>
      <w:r w:rsidRPr="005827E6">
        <w:rPr>
          <w:noProof/>
        </w:rPr>
        <w:t>. 2016;69(1):1-33. doi:10.18637/jss.v069.i01</w:t>
      </w:r>
    </w:p>
    <w:p w14:paraId="50E16859"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31. </w:t>
      </w:r>
      <w:r w:rsidRPr="005827E6">
        <w:rPr>
          <w:noProof/>
        </w:rPr>
        <w:tab/>
        <w:t xml:space="preserve">Kim EH, Wilson JM, Thompson CK, Heckman CJ. Differences in estimated persistent inward currents between ankle flexors and extensors in humans. </w:t>
      </w:r>
      <w:r w:rsidRPr="005827E6">
        <w:rPr>
          <w:i/>
          <w:iCs/>
          <w:noProof/>
        </w:rPr>
        <w:t>J Neurophysiol</w:t>
      </w:r>
      <w:r w:rsidRPr="005827E6">
        <w:rPr>
          <w:noProof/>
        </w:rPr>
        <w:t>. 2020;124(2):525-535. doi:10.1152/JN.00746.2019</w:t>
      </w:r>
    </w:p>
    <w:p w14:paraId="726CFB51"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32. </w:t>
      </w:r>
      <w:r w:rsidRPr="005827E6">
        <w:rPr>
          <w:noProof/>
        </w:rPr>
        <w:tab/>
        <w:t xml:space="preserve">Orssatto LBR, Fernandes GL, Blazevich AJ, Trajano GS. Facilitation-inhibition control of motor neuronal persistent inward currents in young and older adults. </w:t>
      </w:r>
      <w:r w:rsidRPr="005827E6">
        <w:rPr>
          <w:i/>
          <w:iCs/>
          <w:noProof/>
        </w:rPr>
        <w:t>J Physiol</w:t>
      </w:r>
      <w:r w:rsidRPr="005827E6">
        <w:rPr>
          <w:noProof/>
        </w:rPr>
        <w:t>. 2022;0:2022.08.08.503135. doi:10.1113/JP283708</w:t>
      </w:r>
    </w:p>
    <w:p w14:paraId="59F23C39"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33. </w:t>
      </w:r>
      <w:r w:rsidRPr="005827E6">
        <w:rPr>
          <w:noProof/>
        </w:rPr>
        <w:tab/>
        <w:t xml:space="preserve">Tucker K, Larsson AK, Oknelid S, Hodges P. Similar alteration of motor unit recruitment strategies during the anticipation and experience of pain. </w:t>
      </w:r>
      <w:r w:rsidRPr="005827E6">
        <w:rPr>
          <w:i/>
          <w:iCs/>
          <w:noProof/>
        </w:rPr>
        <w:t>Pain</w:t>
      </w:r>
      <w:r w:rsidRPr="005827E6">
        <w:rPr>
          <w:noProof/>
        </w:rPr>
        <w:t>. 2012;153(3):636-643. doi:10.1016/j.pain.2011.11.024</w:t>
      </w:r>
    </w:p>
    <w:p w14:paraId="3CFD42D4"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34. </w:t>
      </w:r>
      <w:r w:rsidRPr="005827E6">
        <w:rPr>
          <w:noProof/>
        </w:rPr>
        <w:tab/>
        <w:t xml:space="preserve">Ngomo S, Mercier C, Bouyer LJ, Savoie A, Roy JS. Alterations in central motor representation increase over time in individuals with rotator cuff tendinopathy. </w:t>
      </w:r>
      <w:r w:rsidRPr="005827E6">
        <w:rPr>
          <w:i/>
          <w:iCs/>
          <w:noProof/>
        </w:rPr>
        <w:t xml:space="preserve">Clin </w:t>
      </w:r>
      <w:r w:rsidRPr="005827E6">
        <w:rPr>
          <w:i/>
          <w:iCs/>
          <w:noProof/>
        </w:rPr>
        <w:lastRenderedPageBreak/>
        <w:t>Neurophysiol</w:t>
      </w:r>
      <w:r w:rsidRPr="005827E6">
        <w:rPr>
          <w:noProof/>
        </w:rPr>
        <w:t>. 2015;126(2):365-371. doi:10.1016/j.clinph.2014.05.035</w:t>
      </w:r>
    </w:p>
    <w:p w14:paraId="5AF99CF9"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35. </w:t>
      </w:r>
      <w:r w:rsidRPr="005827E6">
        <w:rPr>
          <w:noProof/>
        </w:rPr>
        <w:tab/>
        <w:t xml:space="preserve">Rio E, Kidgell D, Purdam C, et al. Isometric exercise induces analgesia and reduces inhibition in patellar tendinopathy. </w:t>
      </w:r>
      <w:r w:rsidRPr="005827E6">
        <w:rPr>
          <w:i/>
          <w:iCs/>
          <w:noProof/>
        </w:rPr>
        <w:t>Br J Sports Med</w:t>
      </w:r>
      <w:r w:rsidRPr="005827E6">
        <w:rPr>
          <w:noProof/>
        </w:rPr>
        <w:t>. 2015;49(19):1277-1283. doi:10.1136/bjsports-2014-094386</w:t>
      </w:r>
    </w:p>
    <w:p w14:paraId="3507F41E"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36. </w:t>
      </w:r>
      <w:r w:rsidRPr="005827E6">
        <w:rPr>
          <w:noProof/>
        </w:rPr>
        <w:tab/>
        <w:t xml:space="preserve">McAuliffe S, Tabuena A, McCreesh K, et al. Altered strength profile in Achilles tendinopathy: A systematic review and meta-analysis. </w:t>
      </w:r>
      <w:r w:rsidRPr="005827E6">
        <w:rPr>
          <w:i/>
          <w:iCs/>
          <w:noProof/>
        </w:rPr>
        <w:t>J Athl Train</w:t>
      </w:r>
      <w:r w:rsidRPr="005827E6">
        <w:rPr>
          <w:noProof/>
        </w:rPr>
        <w:t>. 2019;54(8):889-900. doi:10.4085/1062-6050-43-18</w:t>
      </w:r>
    </w:p>
    <w:p w14:paraId="0D2CFFD0"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37. </w:t>
      </w:r>
      <w:r w:rsidRPr="005827E6">
        <w:rPr>
          <w:noProof/>
        </w:rPr>
        <w:tab/>
        <w:t xml:space="preserve">Hug F, Del Vecchio A, Avrillon S, Farina D, Tucker KJ. Muscles from the same muscle group do not necessarily share common drive: evidence from the human triceps surae. </w:t>
      </w:r>
      <w:r w:rsidRPr="005827E6">
        <w:rPr>
          <w:i/>
          <w:iCs/>
          <w:noProof/>
        </w:rPr>
        <w:t>J Appl Physiol</w:t>
      </w:r>
      <w:r w:rsidRPr="005827E6">
        <w:rPr>
          <w:noProof/>
        </w:rPr>
        <w:t>. Published online 2020. doi:10.1152/japplphysiol.00635.2020</w:t>
      </w:r>
    </w:p>
    <w:p w14:paraId="125E8B08"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38. </w:t>
      </w:r>
      <w:r w:rsidRPr="005827E6">
        <w:rPr>
          <w:noProof/>
        </w:rPr>
        <w:tab/>
        <w:t xml:space="preserve">Crouzier M, Tucker K, Lacourpaille L, et al. </w:t>
      </w:r>
      <w:r w:rsidRPr="005827E6">
        <w:rPr>
          <w:i/>
          <w:iCs/>
          <w:noProof/>
        </w:rPr>
        <w:t>Force-Sharing within the Triceps Surae: An Achilles Heel in Achilles Tendinopathy</w:t>
      </w:r>
      <w:r w:rsidRPr="005827E6">
        <w:rPr>
          <w:noProof/>
        </w:rPr>
        <w:t>. Vol 52.; 2020. doi:10.1249/MSS.0000000000002229</w:t>
      </w:r>
    </w:p>
    <w:p w14:paraId="50087BC9"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39. </w:t>
      </w:r>
      <w:r w:rsidRPr="005827E6">
        <w:rPr>
          <w:noProof/>
        </w:rPr>
        <w:tab/>
        <w:t xml:space="preserve">McNeil CJ, Doherty TJ, Stashuk DW, Rice CL. The effect of contraction intensity on motor unit number estimates of the tibialis anterior. </w:t>
      </w:r>
      <w:r w:rsidRPr="005827E6">
        <w:rPr>
          <w:i/>
          <w:iCs/>
          <w:noProof/>
        </w:rPr>
        <w:t>Clin Neurophysiol</w:t>
      </w:r>
      <w:r w:rsidRPr="005827E6">
        <w:rPr>
          <w:noProof/>
        </w:rPr>
        <w:t>. 2005;116(6):1342-1347. doi:10.1016/j.clinph.2005.02.006</w:t>
      </w:r>
    </w:p>
    <w:p w14:paraId="7081AB9A"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40. </w:t>
      </w:r>
      <w:r w:rsidRPr="005827E6">
        <w:rPr>
          <w:noProof/>
        </w:rPr>
        <w:tab/>
        <w:t xml:space="preserve">Hassan AS, Kim EH, Khurram OU, et al. Properties of Motor Units of Elbow and Ankle Muscles Decomposed Using High-Density Surface EMG. </w:t>
      </w:r>
      <w:r w:rsidRPr="005827E6">
        <w:rPr>
          <w:i/>
          <w:iCs/>
          <w:noProof/>
        </w:rPr>
        <w:t>Proc Annu Int Conf IEEE Eng Med Biol Soc EMBS</w:t>
      </w:r>
      <w:r w:rsidRPr="005827E6">
        <w:rPr>
          <w:noProof/>
        </w:rPr>
        <w:t>. Published online 2019:3874-3878. doi:10.1109/EMBC.2019.8857475</w:t>
      </w:r>
    </w:p>
    <w:p w14:paraId="39A12E21" w14:textId="77777777" w:rsidR="005827E6" w:rsidRPr="005827E6" w:rsidRDefault="005827E6" w:rsidP="005827E6">
      <w:pPr>
        <w:widowControl w:val="0"/>
        <w:autoSpaceDE w:val="0"/>
        <w:autoSpaceDN w:val="0"/>
        <w:adjustRightInd w:val="0"/>
        <w:spacing w:line="480" w:lineRule="auto"/>
        <w:ind w:left="640" w:hanging="640"/>
        <w:rPr>
          <w:noProof/>
        </w:rPr>
      </w:pPr>
      <w:r w:rsidRPr="005827E6">
        <w:rPr>
          <w:noProof/>
        </w:rPr>
        <w:t xml:space="preserve">41. </w:t>
      </w:r>
      <w:r w:rsidRPr="005827E6">
        <w:rPr>
          <w:noProof/>
        </w:rPr>
        <w:tab/>
        <w:t xml:space="preserve">Powers RK, Nardelli P, Cope TC. Estimation of the contribution of intrinsic currents to motoneuron firing based on  paired motoneuron discharge records in the decerebrate cat. </w:t>
      </w:r>
      <w:r w:rsidRPr="005827E6">
        <w:rPr>
          <w:i/>
          <w:iCs/>
          <w:noProof/>
        </w:rPr>
        <w:t>J Neurophysiol</w:t>
      </w:r>
      <w:r w:rsidRPr="005827E6">
        <w:rPr>
          <w:noProof/>
        </w:rPr>
        <w:t>. 2008;100(1):292-303. doi:10.1152/jn.90296.2008</w:t>
      </w:r>
    </w:p>
    <w:p w14:paraId="68750D12" w14:textId="47A53C9A" w:rsidR="005C1861" w:rsidRPr="003A1A2E" w:rsidRDefault="006C4079" w:rsidP="00E875F7">
      <w:pPr>
        <w:widowControl w:val="0"/>
        <w:autoSpaceDE w:val="0"/>
        <w:autoSpaceDN w:val="0"/>
        <w:adjustRightInd w:val="0"/>
        <w:spacing w:line="480" w:lineRule="auto"/>
      </w:pPr>
      <w:r w:rsidRPr="003A1A2E">
        <w:fldChar w:fldCharType="end"/>
      </w:r>
    </w:p>
    <w:sectPr w:rsidR="005C1861" w:rsidRPr="003A1A2E" w:rsidSect="00880A1D">
      <w:headerReference w:type="default" r:id="rId12"/>
      <w:footerReference w:type="default" r:id="rId13"/>
      <w:pgSz w:w="11900" w:h="16840"/>
      <w:pgMar w:top="1440" w:right="1440" w:bottom="1440" w:left="1440" w:header="708" w:footer="708"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84290" w14:textId="77777777" w:rsidR="00C531F5" w:rsidRDefault="00C531F5">
      <w:r>
        <w:separator/>
      </w:r>
    </w:p>
  </w:endnote>
  <w:endnote w:type="continuationSeparator" w:id="0">
    <w:p w14:paraId="111EC2B6" w14:textId="77777777" w:rsidR="00C531F5" w:rsidRDefault="00C53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25304" w14:textId="1F304558" w:rsidR="00C10A58" w:rsidRDefault="00C10A58">
    <w:pPr>
      <w:pStyle w:val="Footer"/>
      <w:tabs>
        <w:tab w:val="clear" w:pos="9026"/>
        <w:tab w:val="right" w:pos="9000"/>
      </w:tabs>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0A58FD">
      <w:rPr>
        <w:rFonts w:ascii="Times New Roman" w:eastAsia="Times New Roman" w:hAnsi="Times New Roman" w:cs="Times New Roman"/>
        <w:noProof/>
      </w:rPr>
      <w:t>16</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A8F31" w14:textId="77777777" w:rsidR="00C531F5" w:rsidRDefault="00C531F5">
      <w:r>
        <w:separator/>
      </w:r>
    </w:p>
  </w:footnote>
  <w:footnote w:type="continuationSeparator" w:id="0">
    <w:p w14:paraId="0C456DD1" w14:textId="77777777" w:rsidR="00C531F5" w:rsidRDefault="00C53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87CB5" w14:textId="2757D087" w:rsidR="00C10A58" w:rsidRDefault="00C10A58" w:rsidP="002D72AB">
    <w:pPr>
      <w:pStyle w:val="Header"/>
      <w:tabs>
        <w:tab w:val="clear" w:pos="9026"/>
        <w:tab w:val="right" w:pos="9000"/>
      </w:tabs>
      <w:jc w:val="right"/>
    </w:pPr>
    <w:r>
      <w:t>Soleus motor neurone excitability in 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53E75"/>
    <w:multiLevelType w:val="hybridMultilevel"/>
    <w:tmpl w:val="6772F9DA"/>
    <w:lvl w:ilvl="0" w:tplc="957E8B8E">
      <w:start w:val="3"/>
      <w:numFmt w:val="bullet"/>
      <w:lvlText w:val="-"/>
      <w:lvlJc w:val="left"/>
      <w:pPr>
        <w:ind w:left="720" w:hanging="360"/>
      </w:pPr>
      <w:rPr>
        <w:rFonts w:ascii="Times New Roman" w:eastAsia="Arial Unicode MS"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BE694E"/>
    <w:multiLevelType w:val="hybridMultilevel"/>
    <w:tmpl w:val="601C9130"/>
    <w:numStyleLink w:val="ImportedStyle2"/>
  </w:abstractNum>
  <w:abstractNum w:abstractNumId="4" w15:restartNumberingAfterBreak="0">
    <w:nsid w:val="038C3041"/>
    <w:multiLevelType w:val="hybridMultilevel"/>
    <w:tmpl w:val="9DEE29F0"/>
    <w:lvl w:ilvl="0" w:tplc="1D84AADE">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72B2D35"/>
    <w:multiLevelType w:val="hybridMultilevel"/>
    <w:tmpl w:val="FC944794"/>
    <w:lvl w:ilvl="0" w:tplc="6372710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A3532C2"/>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0181648"/>
    <w:multiLevelType w:val="hybridMultilevel"/>
    <w:tmpl w:val="ADC023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195068"/>
    <w:multiLevelType w:val="hybridMultilevel"/>
    <w:tmpl w:val="F64C5F7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6DF10C7"/>
    <w:multiLevelType w:val="hybridMultilevel"/>
    <w:tmpl w:val="F5FA2A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9051C55"/>
    <w:multiLevelType w:val="multilevel"/>
    <w:tmpl w:val="00C60FD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b/>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BBF359D"/>
    <w:multiLevelType w:val="hybridMultilevel"/>
    <w:tmpl w:val="6996F9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00670B"/>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FB80DC7"/>
    <w:multiLevelType w:val="hybridMultilevel"/>
    <w:tmpl w:val="5FC438DA"/>
    <w:styleLink w:val="ImportedStyle1"/>
    <w:lvl w:ilvl="0" w:tplc="7C6EEC8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BD305DC0">
      <w:start w:val="1"/>
      <w:numFmt w:val="decimal"/>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286895FA">
      <w:start w:val="1"/>
      <w:numFmt w:val="decimal"/>
      <w:lvlText w:val="%3."/>
      <w:lvlJc w:val="left"/>
      <w:pPr>
        <w:ind w:left="2160" w:hanging="360"/>
      </w:pPr>
      <w:rPr>
        <w:rFonts w:hAnsi="Arial Unicode MS"/>
        <w:caps w:val="0"/>
        <w:smallCaps w:val="0"/>
        <w:strike w:val="0"/>
        <w:dstrike w:val="0"/>
        <w:color w:val="000000"/>
        <w:spacing w:val="0"/>
        <w:w w:val="100"/>
        <w:kern w:val="0"/>
        <w:position w:val="0"/>
        <w:highlight w:val="none"/>
        <w:vertAlign w:val="baseline"/>
      </w:rPr>
    </w:lvl>
    <w:lvl w:ilvl="3" w:tplc="126874B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D7661470">
      <w:start w:val="1"/>
      <w:numFmt w:val="decimal"/>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7ECA79D8">
      <w:start w:val="1"/>
      <w:numFmt w:val="decimal"/>
      <w:lvlText w:val="%6."/>
      <w:lvlJc w:val="left"/>
      <w:pPr>
        <w:ind w:left="4320" w:hanging="360"/>
      </w:pPr>
      <w:rPr>
        <w:rFonts w:hAnsi="Arial Unicode MS"/>
        <w:caps w:val="0"/>
        <w:smallCaps w:val="0"/>
        <w:strike w:val="0"/>
        <w:dstrike w:val="0"/>
        <w:color w:val="000000"/>
        <w:spacing w:val="0"/>
        <w:w w:val="100"/>
        <w:kern w:val="0"/>
        <w:position w:val="0"/>
        <w:highlight w:val="none"/>
        <w:vertAlign w:val="baseline"/>
      </w:rPr>
    </w:lvl>
    <w:lvl w:ilvl="6" w:tplc="D284BC6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34D2AC5E">
      <w:start w:val="1"/>
      <w:numFmt w:val="decimal"/>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FD50AAD4">
      <w:start w:val="1"/>
      <w:numFmt w:val="decimal"/>
      <w:lvlText w:val="%9."/>
      <w:lvlJc w:val="left"/>
      <w:pPr>
        <w:ind w:left="6480" w:hanging="360"/>
      </w:pPr>
      <w:rPr>
        <w:rFonts w:hAnsi="Arial Unicode MS"/>
        <w:caps w:val="0"/>
        <w:smallCaps w:val="0"/>
        <w:strike w:val="0"/>
        <w:dstrike w:val="0"/>
        <w:color w:val="000000"/>
        <w:spacing w:val="0"/>
        <w:w w:val="100"/>
        <w:kern w:val="0"/>
        <w:position w:val="0"/>
        <w:highlight w:val="none"/>
        <w:vertAlign w:val="baseline"/>
      </w:rPr>
    </w:lvl>
  </w:abstractNum>
  <w:abstractNum w:abstractNumId="14" w15:restartNumberingAfterBreak="0">
    <w:nsid w:val="28504CFE"/>
    <w:multiLevelType w:val="hybridMultilevel"/>
    <w:tmpl w:val="4A1A3EF4"/>
    <w:lvl w:ilvl="0" w:tplc="12129BA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687F66"/>
    <w:multiLevelType w:val="hybridMultilevel"/>
    <w:tmpl w:val="601C9130"/>
    <w:styleLink w:val="ImportedStyle2"/>
    <w:lvl w:ilvl="0" w:tplc="69FEC97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71E02C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562AF2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253A647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927E63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070831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593CDBF4">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AF1405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9DA2EE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6" w15:restartNumberingAfterBreak="0">
    <w:nsid w:val="389A2CA7"/>
    <w:multiLevelType w:val="hybridMultilevel"/>
    <w:tmpl w:val="C92E7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E315CD"/>
    <w:multiLevelType w:val="hybridMultilevel"/>
    <w:tmpl w:val="7B46A286"/>
    <w:lvl w:ilvl="0" w:tplc="EC1224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97C12D1"/>
    <w:multiLevelType w:val="hybridMultilevel"/>
    <w:tmpl w:val="0F0234BC"/>
    <w:styleLink w:val="Numbered"/>
    <w:lvl w:ilvl="0" w:tplc="9D96EE4E">
      <w:start w:val="1"/>
      <w:numFmt w:val="decimal"/>
      <w:lvlText w:val="%1."/>
      <w:lvlJc w:val="left"/>
      <w:pPr>
        <w:ind w:left="232" w:hanging="232"/>
      </w:pPr>
      <w:rPr>
        <w:rFonts w:hAnsi="Arial Unicode MS"/>
        <w:caps w:val="0"/>
        <w:smallCaps w:val="0"/>
        <w:strike w:val="0"/>
        <w:dstrike w:val="0"/>
        <w:color w:val="000000"/>
        <w:spacing w:val="0"/>
        <w:w w:val="100"/>
        <w:kern w:val="0"/>
        <w:position w:val="0"/>
        <w:highlight w:val="none"/>
        <w:vertAlign w:val="baseline"/>
      </w:rPr>
    </w:lvl>
    <w:lvl w:ilvl="1" w:tplc="DE6A038A">
      <w:start w:val="1"/>
      <w:numFmt w:val="decimal"/>
      <w:lvlText w:val="%2."/>
      <w:lvlJc w:val="left"/>
      <w:pPr>
        <w:ind w:left="1032" w:hanging="232"/>
      </w:pPr>
      <w:rPr>
        <w:rFonts w:hAnsi="Arial Unicode MS"/>
        <w:caps w:val="0"/>
        <w:smallCaps w:val="0"/>
        <w:strike w:val="0"/>
        <w:dstrike w:val="0"/>
        <w:color w:val="000000"/>
        <w:spacing w:val="0"/>
        <w:w w:val="100"/>
        <w:kern w:val="0"/>
        <w:position w:val="0"/>
        <w:highlight w:val="none"/>
        <w:vertAlign w:val="baseline"/>
      </w:rPr>
    </w:lvl>
    <w:lvl w:ilvl="2" w:tplc="38E4F3F4">
      <w:start w:val="1"/>
      <w:numFmt w:val="decimal"/>
      <w:lvlText w:val="%3."/>
      <w:lvlJc w:val="left"/>
      <w:pPr>
        <w:ind w:left="1832" w:hanging="232"/>
      </w:pPr>
      <w:rPr>
        <w:rFonts w:hAnsi="Arial Unicode MS"/>
        <w:caps w:val="0"/>
        <w:smallCaps w:val="0"/>
        <w:strike w:val="0"/>
        <w:dstrike w:val="0"/>
        <w:color w:val="000000"/>
        <w:spacing w:val="0"/>
        <w:w w:val="100"/>
        <w:kern w:val="0"/>
        <w:position w:val="0"/>
        <w:highlight w:val="none"/>
        <w:vertAlign w:val="baseline"/>
      </w:rPr>
    </w:lvl>
    <w:lvl w:ilvl="3" w:tplc="6C1A95B6">
      <w:start w:val="1"/>
      <w:numFmt w:val="decimal"/>
      <w:lvlText w:val="%4."/>
      <w:lvlJc w:val="left"/>
      <w:pPr>
        <w:ind w:left="2632" w:hanging="232"/>
      </w:pPr>
      <w:rPr>
        <w:rFonts w:hAnsi="Arial Unicode MS"/>
        <w:caps w:val="0"/>
        <w:smallCaps w:val="0"/>
        <w:strike w:val="0"/>
        <w:dstrike w:val="0"/>
        <w:color w:val="000000"/>
        <w:spacing w:val="0"/>
        <w:w w:val="100"/>
        <w:kern w:val="0"/>
        <w:position w:val="0"/>
        <w:highlight w:val="none"/>
        <w:vertAlign w:val="baseline"/>
      </w:rPr>
    </w:lvl>
    <w:lvl w:ilvl="4" w:tplc="11AC3CA4">
      <w:start w:val="1"/>
      <w:numFmt w:val="decimal"/>
      <w:lvlText w:val="%5."/>
      <w:lvlJc w:val="left"/>
      <w:pPr>
        <w:ind w:left="3432" w:hanging="232"/>
      </w:pPr>
      <w:rPr>
        <w:rFonts w:hAnsi="Arial Unicode MS"/>
        <w:caps w:val="0"/>
        <w:smallCaps w:val="0"/>
        <w:strike w:val="0"/>
        <w:dstrike w:val="0"/>
        <w:color w:val="000000"/>
        <w:spacing w:val="0"/>
        <w:w w:val="100"/>
        <w:kern w:val="0"/>
        <w:position w:val="0"/>
        <w:highlight w:val="none"/>
        <w:vertAlign w:val="baseline"/>
      </w:rPr>
    </w:lvl>
    <w:lvl w:ilvl="5" w:tplc="EBD29186">
      <w:start w:val="1"/>
      <w:numFmt w:val="decimal"/>
      <w:lvlText w:val="%6."/>
      <w:lvlJc w:val="left"/>
      <w:pPr>
        <w:ind w:left="4232" w:hanging="232"/>
      </w:pPr>
      <w:rPr>
        <w:rFonts w:hAnsi="Arial Unicode MS"/>
        <w:caps w:val="0"/>
        <w:smallCaps w:val="0"/>
        <w:strike w:val="0"/>
        <w:dstrike w:val="0"/>
        <w:color w:val="000000"/>
        <w:spacing w:val="0"/>
        <w:w w:val="100"/>
        <w:kern w:val="0"/>
        <w:position w:val="0"/>
        <w:highlight w:val="none"/>
        <w:vertAlign w:val="baseline"/>
      </w:rPr>
    </w:lvl>
    <w:lvl w:ilvl="6" w:tplc="5326728E">
      <w:start w:val="1"/>
      <w:numFmt w:val="decimal"/>
      <w:lvlText w:val="%7."/>
      <w:lvlJc w:val="left"/>
      <w:pPr>
        <w:ind w:left="5032" w:hanging="232"/>
      </w:pPr>
      <w:rPr>
        <w:rFonts w:hAnsi="Arial Unicode MS"/>
        <w:caps w:val="0"/>
        <w:smallCaps w:val="0"/>
        <w:strike w:val="0"/>
        <w:dstrike w:val="0"/>
        <w:color w:val="000000"/>
        <w:spacing w:val="0"/>
        <w:w w:val="100"/>
        <w:kern w:val="0"/>
        <w:position w:val="0"/>
        <w:highlight w:val="none"/>
        <w:vertAlign w:val="baseline"/>
      </w:rPr>
    </w:lvl>
    <w:lvl w:ilvl="7" w:tplc="295ACCC2">
      <w:start w:val="1"/>
      <w:numFmt w:val="decimal"/>
      <w:lvlText w:val="%8."/>
      <w:lvlJc w:val="left"/>
      <w:pPr>
        <w:ind w:left="5832" w:hanging="232"/>
      </w:pPr>
      <w:rPr>
        <w:rFonts w:hAnsi="Arial Unicode MS"/>
        <w:caps w:val="0"/>
        <w:smallCaps w:val="0"/>
        <w:strike w:val="0"/>
        <w:dstrike w:val="0"/>
        <w:color w:val="000000"/>
        <w:spacing w:val="0"/>
        <w:w w:val="100"/>
        <w:kern w:val="0"/>
        <w:position w:val="0"/>
        <w:highlight w:val="none"/>
        <w:vertAlign w:val="baseline"/>
      </w:rPr>
    </w:lvl>
    <w:lvl w:ilvl="8" w:tplc="BF28052E">
      <w:start w:val="1"/>
      <w:numFmt w:val="decimal"/>
      <w:lvlText w:val="%9."/>
      <w:lvlJc w:val="left"/>
      <w:pPr>
        <w:ind w:left="6632" w:hanging="232"/>
      </w:pPr>
      <w:rPr>
        <w:rFonts w:hAnsi="Arial Unicode MS"/>
        <w:caps w:val="0"/>
        <w:smallCaps w:val="0"/>
        <w:strike w:val="0"/>
        <w:dstrike w:val="0"/>
        <w:color w:val="000000"/>
        <w:spacing w:val="0"/>
        <w:w w:val="100"/>
        <w:kern w:val="0"/>
        <w:position w:val="0"/>
        <w:highlight w:val="none"/>
        <w:vertAlign w:val="baseline"/>
      </w:rPr>
    </w:lvl>
  </w:abstractNum>
  <w:abstractNum w:abstractNumId="19" w15:restartNumberingAfterBreak="0">
    <w:nsid w:val="3C774F22"/>
    <w:multiLevelType w:val="hybridMultilevel"/>
    <w:tmpl w:val="BE600D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3E5609"/>
    <w:multiLevelType w:val="hybridMultilevel"/>
    <w:tmpl w:val="0F0234BC"/>
    <w:numStyleLink w:val="Numbered"/>
  </w:abstractNum>
  <w:abstractNum w:abstractNumId="21" w15:restartNumberingAfterBreak="0">
    <w:nsid w:val="44966087"/>
    <w:multiLevelType w:val="hybridMultilevel"/>
    <w:tmpl w:val="6B18F58C"/>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85B0FF8"/>
    <w:multiLevelType w:val="hybridMultilevel"/>
    <w:tmpl w:val="90385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49674442"/>
    <w:multiLevelType w:val="hybridMultilevel"/>
    <w:tmpl w:val="0896B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4B40ED"/>
    <w:multiLevelType w:val="hybridMultilevel"/>
    <w:tmpl w:val="7966E0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F10BC1"/>
    <w:multiLevelType w:val="hybridMultilevel"/>
    <w:tmpl w:val="0D78113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C917F70"/>
    <w:multiLevelType w:val="hybridMultilevel"/>
    <w:tmpl w:val="1D3280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0F90D3B"/>
    <w:multiLevelType w:val="hybridMultilevel"/>
    <w:tmpl w:val="A5AC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F759E9"/>
    <w:multiLevelType w:val="hybridMultilevel"/>
    <w:tmpl w:val="EB08387E"/>
    <w:lvl w:ilvl="0" w:tplc="218A0A2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B41577"/>
    <w:multiLevelType w:val="hybridMultilevel"/>
    <w:tmpl w:val="5FC438DA"/>
    <w:numStyleLink w:val="ImportedStyle1"/>
  </w:abstractNum>
  <w:abstractNum w:abstractNumId="30" w15:restartNumberingAfterBreak="0">
    <w:nsid w:val="7C4B2DCC"/>
    <w:multiLevelType w:val="hybridMultilevel"/>
    <w:tmpl w:val="6D561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273526">
    <w:abstractNumId w:val="13"/>
  </w:num>
  <w:num w:numId="2" w16cid:durableId="355927750">
    <w:abstractNumId w:val="29"/>
  </w:num>
  <w:num w:numId="3" w16cid:durableId="1635481668">
    <w:abstractNumId w:val="29"/>
    <w:lvlOverride w:ilvl="0">
      <w:startOverride w:val="2"/>
    </w:lvlOverride>
  </w:num>
  <w:num w:numId="4" w16cid:durableId="827482037">
    <w:abstractNumId w:val="15"/>
  </w:num>
  <w:num w:numId="5" w16cid:durableId="2006593260">
    <w:abstractNumId w:val="3"/>
  </w:num>
  <w:num w:numId="6" w16cid:durableId="365176780">
    <w:abstractNumId w:val="18"/>
  </w:num>
  <w:num w:numId="7" w16cid:durableId="1756781563">
    <w:abstractNumId w:val="20"/>
  </w:num>
  <w:num w:numId="8" w16cid:durableId="1026105110">
    <w:abstractNumId w:val="20"/>
    <w:lvlOverride w:ilvl="0">
      <w:lvl w:ilvl="0" w:tplc="38AA2410">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1D21896">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5A055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E8884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A52599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0D8D5B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7AA0F0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692FF1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B8EC36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255215199">
    <w:abstractNumId w:val="27"/>
  </w:num>
  <w:num w:numId="10" w16cid:durableId="292366414">
    <w:abstractNumId w:val="30"/>
  </w:num>
  <w:num w:numId="11" w16cid:durableId="1727561644">
    <w:abstractNumId w:val="0"/>
  </w:num>
  <w:num w:numId="12" w16cid:durableId="40399201">
    <w:abstractNumId w:val="1"/>
  </w:num>
  <w:num w:numId="13" w16cid:durableId="485785171">
    <w:abstractNumId w:val="12"/>
  </w:num>
  <w:num w:numId="14" w16cid:durableId="1264724570">
    <w:abstractNumId w:val="6"/>
  </w:num>
  <w:num w:numId="15" w16cid:durableId="41642447">
    <w:abstractNumId w:val="16"/>
  </w:num>
  <w:num w:numId="16" w16cid:durableId="1608273584">
    <w:abstractNumId w:val="14"/>
  </w:num>
  <w:num w:numId="17" w16cid:durableId="600837045">
    <w:abstractNumId w:val="28"/>
  </w:num>
  <w:num w:numId="18" w16cid:durableId="899942444">
    <w:abstractNumId w:val="17"/>
  </w:num>
  <w:num w:numId="19" w16cid:durableId="372460163">
    <w:abstractNumId w:val="22"/>
  </w:num>
  <w:num w:numId="20" w16cid:durableId="250744155">
    <w:abstractNumId w:val="10"/>
  </w:num>
  <w:num w:numId="21" w16cid:durableId="1002128119">
    <w:abstractNumId w:val="11"/>
  </w:num>
  <w:num w:numId="22" w16cid:durableId="1683776954">
    <w:abstractNumId w:val="26"/>
  </w:num>
  <w:num w:numId="23" w16cid:durableId="131290091">
    <w:abstractNumId w:val="9"/>
  </w:num>
  <w:num w:numId="24" w16cid:durableId="1890651335">
    <w:abstractNumId w:val="4"/>
  </w:num>
  <w:num w:numId="25" w16cid:durableId="288784120">
    <w:abstractNumId w:val="7"/>
  </w:num>
  <w:num w:numId="26" w16cid:durableId="290329586">
    <w:abstractNumId w:val="19"/>
  </w:num>
  <w:num w:numId="27" w16cid:durableId="1733652014">
    <w:abstractNumId w:val="5"/>
  </w:num>
  <w:num w:numId="28" w16cid:durableId="1470903845">
    <w:abstractNumId w:val="24"/>
  </w:num>
  <w:num w:numId="29" w16cid:durableId="710499552">
    <w:abstractNumId w:val="21"/>
  </w:num>
  <w:num w:numId="30" w16cid:durableId="1866596641">
    <w:abstractNumId w:val="2"/>
  </w:num>
  <w:num w:numId="31" w16cid:durableId="1590850835">
    <w:abstractNumId w:val="23"/>
  </w:num>
  <w:num w:numId="32" w16cid:durableId="1707413645">
    <w:abstractNumId w:val="25"/>
  </w:num>
  <w:num w:numId="33" w16cid:durableId="825974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4096" w:nlCheck="1" w:checkStyle="0"/>
  <w:activeWritingStyle w:appName="MSWord" w:lang="en-GB" w:vendorID="64" w:dllVersion="4096" w:nlCheck="1" w:checkStyle="0"/>
  <w:activeWritingStyle w:appName="MSWord" w:lang="pt-PT" w:vendorID="64" w:dllVersion="4096" w:nlCheck="1" w:checkStyle="0"/>
  <w:activeWritingStyle w:appName="MSWord" w:lang="en-AU" w:vendorID="64" w:dllVersion="4096" w:nlCheck="1" w:checkStyle="0"/>
  <w:activeWritingStyle w:appName="MSWord" w:lang="de-DE" w:vendorID="64" w:dllVersion="4096" w:nlCheck="1" w:checkStyle="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pt-BR" w:vendorID="64" w:dllVersion="409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64" w:dllVersion="6" w:nlCheck="1" w:checkStyle="1"/>
  <w:activeWritingStyle w:appName="MSWord" w:lang="de-DE" w:vendorID="64" w:dllVersion="0" w:nlCheck="1" w:checkStyle="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2CC"/>
    <w:rsid w:val="00000722"/>
    <w:rsid w:val="000018D3"/>
    <w:rsid w:val="00001B98"/>
    <w:rsid w:val="000020C2"/>
    <w:rsid w:val="00002FB0"/>
    <w:rsid w:val="000037C0"/>
    <w:rsid w:val="000044C3"/>
    <w:rsid w:val="000047B5"/>
    <w:rsid w:val="00004E09"/>
    <w:rsid w:val="000057D0"/>
    <w:rsid w:val="00005D95"/>
    <w:rsid w:val="0000604A"/>
    <w:rsid w:val="00007498"/>
    <w:rsid w:val="000077A9"/>
    <w:rsid w:val="0001061E"/>
    <w:rsid w:val="00010890"/>
    <w:rsid w:val="00010DC3"/>
    <w:rsid w:val="00013057"/>
    <w:rsid w:val="00015641"/>
    <w:rsid w:val="00017CB9"/>
    <w:rsid w:val="00017CBB"/>
    <w:rsid w:val="0002067D"/>
    <w:rsid w:val="000209A7"/>
    <w:rsid w:val="000211F1"/>
    <w:rsid w:val="000217B2"/>
    <w:rsid w:val="0002299F"/>
    <w:rsid w:val="00022BB2"/>
    <w:rsid w:val="00023371"/>
    <w:rsid w:val="000243A0"/>
    <w:rsid w:val="0002459C"/>
    <w:rsid w:val="00025871"/>
    <w:rsid w:val="00027B86"/>
    <w:rsid w:val="00030461"/>
    <w:rsid w:val="00030B84"/>
    <w:rsid w:val="000310EB"/>
    <w:rsid w:val="000327EF"/>
    <w:rsid w:val="00033C56"/>
    <w:rsid w:val="00034726"/>
    <w:rsid w:val="00034BD4"/>
    <w:rsid w:val="0003585B"/>
    <w:rsid w:val="00035C5D"/>
    <w:rsid w:val="000410E2"/>
    <w:rsid w:val="00041D7B"/>
    <w:rsid w:val="00041DB0"/>
    <w:rsid w:val="00041FA6"/>
    <w:rsid w:val="00042450"/>
    <w:rsid w:val="0004279A"/>
    <w:rsid w:val="00042905"/>
    <w:rsid w:val="0004360D"/>
    <w:rsid w:val="000452DA"/>
    <w:rsid w:val="00051C47"/>
    <w:rsid w:val="00051D2B"/>
    <w:rsid w:val="00052432"/>
    <w:rsid w:val="0005299F"/>
    <w:rsid w:val="00054CE6"/>
    <w:rsid w:val="00055A1F"/>
    <w:rsid w:val="00057CCA"/>
    <w:rsid w:val="00057DE8"/>
    <w:rsid w:val="00062366"/>
    <w:rsid w:val="000628FD"/>
    <w:rsid w:val="000644A7"/>
    <w:rsid w:val="000660D0"/>
    <w:rsid w:val="00066B47"/>
    <w:rsid w:val="00066B53"/>
    <w:rsid w:val="000672FF"/>
    <w:rsid w:val="0007061B"/>
    <w:rsid w:val="00073559"/>
    <w:rsid w:val="000737CF"/>
    <w:rsid w:val="00073F8D"/>
    <w:rsid w:val="0007508A"/>
    <w:rsid w:val="000752B0"/>
    <w:rsid w:val="00076429"/>
    <w:rsid w:val="0007665F"/>
    <w:rsid w:val="0007753A"/>
    <w:rsid w:val="00077AA7"/>
    <w:rsid w:val="00077CCC"/>
    <w:rsid w:val="000806E1"/>
    <w:rsid w:val="000807BA"/>
    <w:rsid w:val="00080F33"/>
    <w:rsid w:val="000816A1"/>
    <w:rsid w:val="00081828"/>
    <w:rsid w:val="0008229C"/>
    <w:rsid w:val="000827E4"/>
    <w:rsid w:val="00082C57"/>
    <w:rsid w:val="000839DD"/>
    <w:rsid w:val="00083F7C"/>
    <w:rsid w:val="000846D8"/>
    <w:rsid w:val="00084B46"/>
    <w:rsid w:val="00085662"/>
    <w:rsid w:val="00086454"/>
    <w:rsid w:val="00090518"/>
    <w:rsid w:val="0009322E"/>
    <w:rsid w:val="0009454C"/>
    <w:rsid w:val="00095055"/>
    <w:rsid w:val="00095334"/>
    <w:rsid w:val="0009606A"/>
    <w:rsid w:val="00096158"/>
    <w:rsid w:val="00096270"/>
    <w:rsid w:val="000962F4"/>
    <w:rsid w:val="000962F8"/>
    <w:rsid w:val="00096ECA"/>
    <w:rsid w:val="00097E0D"/>
    <w:rsid w:val="000A0208"/>
    <w:rsid w:val="000A1FA0"/>
    <w:rsid w:val="000A25C3"/>
    <w:rsid w:val="000A27D4"/>
    <w:rsid w:val="000A2967"/>
    <w:rsid w:val="000A2C11"/>
    <w:rsid w:val="000A3581"/>
    <w:rsid w:val="000A390E"/>
    <w:rsid w:val="000A476F"/>
    <w:rsid w:val="000A4AC0"/>
    <w:rsid w:val="000A4CA3"/>
    <w:rsid w:val="000A58FD"/>
    <w:rsid w:val="000A65FC"/>
    <w:rsid w:val="000A6659"/>
    <w:rsid w:val="000A6A16"/>
    <w:rsid w:val="000A6FFC"/>
    <w:rsid w:val="000A74D8"/>
    <w:rsid w:val="000B04E1"/>
    <w:rsid w:val="000B157B"/>
    <w:rsid w:val="000B18DD"/>
    <w:rsid w:val="000B1EE3"/>
    <w:rsid w:val="000B2633"/>
    <w:rsid w:val="000B2A50"/>
    <w:rsid w:val="000B3B8B"/>
    <w:rsid w:val="000B4D98"/>
    <w:rsid w:val="000B5C66"/>
    <w:rsid w:val="000B6167"/>
    <w:rsid w:val="000B6491"/>
    <w:rsid w:val="000B70F1"/>
    <w:rsid w:val="000B76F2"/>
    <w:rsid w:val="000B7AF7"/>
    <w:rsid w:val="000C05AE"/>
    <w:rsid w:val="000C141A"/>
    <w:rsid w:val="000C377D"/>
    <w:rsid w:val="000C398F"/>
    <w:rsid w:val="000C4B1A"/>
    <w:rsid w:val="000C5FF1"/>
    <w:rsid w:val="000C62FE"/>
    <w:rsid w:val="000C6D8F"/>
    <w:rsid w:val="000C7385"/>
    <w:rsid w:val="000D1936"/>
    <w:rsid w:val="000D1B3E"/>
    <w:rsid w:val="000D2294"/>
    <w:rsid w:val="000D25E1"/>
    <w:rsid w:val="000D2A54"/>
    <w:rsid w:val="000D34C2"/>
    <w:rsid w:val="000D3E04"/>
    <w:rsid w:val="000D5AC6"/>
    <w:rsid w:val="000D6260"/>
    <w:rsid w:val="000D6F75"/>
    <w:rsid w:val="000D6FE1"/>
    <w:rsid w:val="000D766C"/>
    <w:rsid w:val="000D7916"/>
    <w:rsid w:val="000E231E"/>
    <w:rsid w:val="000E3A42"/>
    <w:rsid w:val="000E4A60"/>
    <w:rsid w:val="000E522B"/>
    <w:rsid w:val="000E6857"/>
    <w:rsid w:val="000E6F2A"/>
    <w:rsid w:val="000E71BB"/>
    <w:rsid w:val="000F0B1D"/>
    <w:rsid w:val="000F0E5C"/>
    <w:rsid w:val="000F172C"/>
    <w:rsid w:val="000F3CB0"/>
    <w:rsid w:val="000F4111"/>
    <w:rsid w:val="000F462E"/>
    <w:rsid w:val="000F4AA0"/>
    <w:rsid w:val="000F5036"/>
    <w:rsid w:val="000F54E8"/>
    <w:rsid w:val="000F5C20"/>
    <w:rsid w:val="000F5E38"/>
    <w:rsid w:val="000F68CF"/>
    <w:rsid w:val="000F6B4F"/>
    <w:rsid w:val="000F78D9"/>
    <w:rsid w:val="0010121E"/>
    <w:rsid w:val="001015EA"/>
    <w:rsid w:val="00101BAF"/>
    <w:rsid w:val="00102FEC"/>
    <w:rsid w:val="00103421"/>
    <w:rsid w:val="00105969"/>
    <w:rsid w:val="00105B8C"/>
    <w:rsid w:val="00106D9B"/>
    <w:rsid w:val="00106EA9"/>
    <w:rsid w:val="00106F15"/>
    <w:rsid w:val="0010728F"/>
    <w:rsid w:val="00107D19"/>
    <w:rsid w:val="00110043"/>
    <w:rsid w:val="0011111E"/>
    <w:rsid w:val="0011135E"/>
    <w:rsid w:val="00112347"/>
    <w:rsid w:val="001150D8"/>
    <w:rsid w:val="001166A3"/>
    <w:rsid w:val="0011697C"/>
    <w:rsid w:val="001178D4"/>
    <w:rsid w:val="00122460"/>
    <w:rsid w:val="00122D0E"/>
    <w:rsid w:val="001238DF"/>
    <w:rsid w:val="001246F7"/>
    <w:rsid w:val="001251C0"/>
    <w:rsid w:val="0012603F"/>
    <w:rsid w:val="0012644E"/>
    <w:rsid w:val="00126468"/>
    <w:rsid w:val="00126BEF"/>
    <w:rsid w:val="00126FD2"/>
    <w:rsid w:val="00127065"/>
    <w:rsid w:val="001317D1"/>
    <w:rsid w:val="001323B9"/>
    <w:rsid w:val="00132CE4"/>
    <w:rsid w:val="001338FE"/>
    <w:rsid w:val="00135F2E"/>
    <w:rsid w:val="00136164"/>
    <w:rsid w:val="0013667E"/>
    <w:rsid w:val="00136A8F"/>
    <w:rsid w:val="00137717"/>
    <w:rsid w:val="00140F89"/>
    <w:rsid w:val="001421EA"/>
    <w:rsid w:val="001425BA"/>
    <w:rsid w:val="00142927"/>
    <w:rsid w:val="00144365"/>
    <w:rsid w:val="00144F28"/>
    <w:rsid w:val="001459E6"/>
    <w:rsid w:val="00147122"/>
    <w:rsid w:val="00150D55"/>
    <w:rsid w:val="00151123"/>
    <w:rsid w:val="00152E74"/>
    <w:rsid w:val="00152F91"/>
    <w:rsid w:val="001533B8"/>
    <w:rsid w:val="00153B4E"/>
    <w:rsid w:val="00153EA3"/>
    <w:rsid w:val="00153F7F"/>
    <w:rsid w:val="00153FFD"/>
    <w:rsid w:val="001554D2"/>
    <w:rsid w:val="0015583F"/>
    <w:rsid w:val="001565CA"/>
    <w:rsid w:val="001573E8"/>
    <w:rsid w:val="00157776"/>
    <w:rsid w:val="00157C82"/>
    <w:rsid w:val="001609FD"/>
    <w:rsid w:val="00161708"/>
    <w:rsid w:val="00161813"/>
    <w:rsid w:val="001624AE"/>
    <w:rsid w:val="00163B61"/>
    <w:rsid w:val="00164C54"/>
    <w:rsid w:val="00166681"/>
    <w:rsid w:val="00166DAA"/>
    <w:rsid w:val="00167D90"/>
    <w:rsid w:val="001706C1"/>
    <w:rsid w:val="001734FD"/>
    <w:rsid w:val="00173633"/>
    <w:rsid w:val="0017377F"/>
    <w:rsid w:val="00173EB9"/>
    <w:rsid w:val="00174323"/>
    <w:rsid w:val="001757D8"/>
    <w:rsid w:val="00175C3B"/>
    <w:rsid w:val="001764F9"/>
    <w:rsid w:val="001768C6"/>
    <w:rsid w:val="001771D3"/>
    <w:rsid w:val="001772B0"/>
    <w:rsid w:val="001779C7"/>
    <w:rsid w:val="00177A74"/>
    <w:rsid w:val="001800C2"/>
    <w:rsid w:val="0018272F"/>
    <w:rsid w:val="00183889"/>
    <w:rsid w:val="00183E43"/>
    <w:rsid w:val="00184C27"/>
    <w:rsid w:val="00185017"/>
    <w:rsid w:val="00186441"/>
    <w:rsid w:val="00187CD3"/>
    <w:rsid w:val="00191A0E"/>
    <w:rsid w:val="001933F7"/>
    <w:rsid w:val="0019482D"/>
    <w:rsid w:val="00195009"/>
    <w:rsid w:val="00196206"/>
    <w:rsid w:val="00197855"/>
    <w:rsid w:val="001A0177"/>
    <w:rsid w:val="001A0366"/>
    <w:rsid w:val="001A042D"/>
    <w:rsid w:val="001A0B82"/>
    <w:rsid w:val="001A2B93"/>
    <w:rsid w:val="001A3BD2"/>
    <w:rsid w:val="001A4930"/>
    <w:rsid w:val="001A4CD6"/>
    <w:rsid w:val="001A4D07"/>
    <w:rsid w:val="001A4ED4"/>
    <w:rsid w:val="001A521B"/>
    <w:rsid w:val="001A5F37"/>
    <w:rsid w:val="001A6158"/>
    <w:rsid w:val="001A6496"/>
    <w:rsid w:val="001A68DA"/>
    <w:rsid w:val="001A7224"/>
    <w:rsid w:val="001B1C70"/>
    <w:rsid w:val="001B1FDD"/>
    <w:rsid w:val="001B22B0"/>
    <w:rsid w:val="001B2FB4"/>
    <w:rsid w:val="001B2FED"/>
    <w:rsid w:val="001B3BFA"/>
    <w:rsid w:val="001B43B7"/>
    <w:rsid w:val="001B4EB2"/>
    <w:rsid w:val="001B66FE"/>
    <w:rsid w:val="001B6A7F"/>
    <w:rsid w:val="001B7E3B"/>
    <w:rsid w:val="001C0AB5"/>
    <w:rsid w:val="001C0C37"/>
    <w:rsid w:val="001C15AC"/>
    <w:rsid w:val="001C2657"/>
    <w:rsid w:val="001C2DF4"/>
    <w:rsid w:val="001C334C"/>
    <w:rsid w:val="001C47AE"/>
    <w:rsid w:val="001C4E84"/>
    <w:rsid w:val="001C5330"/>
    <w:rsid w:val="001C7C74"/>
    <w:rsid w:val="001D0605"/>
    <w:rsid w:val="001D0D03"/>
    <w:rsid w:val="001D115E"/>
    <w:rsid w:val="001D22F0"/>
    <w:rsid w:val="001D3883"/>
    <w:rsid w:val="001D50E2"/>
    <w:rsid w:val="001D58AC"/>
    <w:rsid w:val="001E0212"/>
    <w:rsid w:val="001E06FA"/>
    <w:rsid w:val="001E0805"/>
    <w:rsid w:val="001E09CF"/>
    <w:rsid w:val="001E0BEA"/>
    <w:rsid w:val="001E16D8"/>
    <w:rsid w:val="001E1D70"/>
    <w:rsid w:val="001E24C3"/>
    <w:rsid w:val="001E3565"/>
    <w:rsid w:val="001E38CD"/>
    <w:rsid w:val="001E6ACF"/>
    <w:rsid w:val="001F0D9C"/>
    <w:rsid w:val="001F11E4"/>
    <w:rsid w:val="001F2BEC"/>
    <w:rsid w:val="001F32D1"/>
    <w:rsid w:val="001F441E"/>
    <w:rsid w:val="001F488E"/>
    <w:rsid w:val="001F51C7"/>
    <w:rsid w:val="001F51F5"/>
    <w:rsid w:val="001F5EEE"/>
    <w:rsid w:val="001F6C8C"/>
    <w:rsid w:val="001F78CF"/>
    <w:rsid w:val="001F7ACB"/>
    <w:rsid w:val="00200677"/>
    <w:rsid w:val="00201215"/>
    <w:rsid w:val="00201856"/>
    <w:rsid w:val="00201A84"/>
    <w:rsid w:val="00202F87"/>
    <w:rsid w:val="0020509B"/>
    <w:rsid w:val="00205772"/>
    <w:rsid w:val="00205810"/>
    <w:rsid w:val="00205A68"/>
    <w:rsid w:val="00207634"/>
    <w:rsid w:val="002079DB"/>
    <w:rsid w:val="00210EE2"/>
    <w:rsid w:val="00210F89"/>
    <w:rsid w:val="00211350"/>
    <w:rsid w:val="002116B2"/>
    <w:rsid w:val="00211CA9"/>
    <w:rsid w:val="00211EE0"/>
    <w:rsid w:val="002120A1"/>
    <w:rsid w:val="00212AA2"/>
    <w:rsid w:val="00213636"/>
    <w:rsid w:val="0021386D"/>
    <w:rsid w:val="00214EEF"/>
    <w:rsid w:val="00216055"/>
    <w:rsid w:val="00216232"/>
    <w:rsid w:val="00216A28"/>
    <w:rsid w:val="0022042B"/>
    <w:rsid w:val="00221293"/>
    <w:rsid w:val="002229EC"/>
    <w:rsid w:val="00223DE0"/>
    <w:rsid w:val="00224C56"/>
    <w:rsid w:val="002254DE"/>
    <w:rsid w:val="00225F36"/>
    <w:rsid w:val="002265B0"/>
    <w:rsid w:val="00226907"/>
    <w:rsid w:val="00226D23"/>
    <w:rsid w:val="002270BB"/>
    <w:rsid w:val="00227236"/>
    <w:rsid w:val="0023058B"/>
    <w:rsid w:val="00231F8F"/>
    <w:rsid w:val="00232517"/>
    <w:rsid w:val="00232ECE"/>
    <w:rsid w:val="0023338E"/>
    <w:rsid w:val="00233464"/>
    <w:rsid w:val="002344B9"/>
    <w:rsid w:val="00234C7B"/>
    <w:rsid w:val="00234C83"/>
    <w:rsid w:val="002359E8"/>
    <w:rsid w:val="00235F9F"/>
    <w:rsid w:val="00240845"/>
    <w:rsid w:val="0024097D"/>
    <w:rsid w:val="002415EC"/>
    <w:rsid w:val="00242D46"/>
    <w:rsid w:val="00243650"/>
    <w:rsid w:val="0024367F"/>
    <w:rsid w:val="00244372"/>
    <w:rsid w:val="002445C4"/>
    <w:rsid w:val="0024467F"/>
    <w:rsid w:val="002447D8"/>
    <w:rsid w:val="0024493E"/>
    <w:rsid w:val="00245B00"/>
    <w:rsid w:val="00245B59"/>
    <w:rsid w:val="00246266"/>
    <w:rsid w:val="00247539"/>
    <w:rsid w:val="0024773D"/>
    <w:rsid w:val="00247F59"/>
    <w:rsid w:val="00250879"/>
    <w:rsid w:val="00250AF3"/>
    <w:rsid w:val="00250B48"/>
    <w:rsid w:val="00250D88"/>
    <w:rsid w:val="00251982"/>
    <w:rsid w:val="00253DB7"/>
    <w:rsid w:val="00254485"/>
    <w:rsid w:val="0025453A"/>
    <w:rsid w:val="00254BBD"/>
    <w:rsid w:val="00256EA6"/>
    <w:rsid w:val="002570C4"/>
    <w:rsid w:val="00257FD3"/>
    <w:rsid w:val="002605CF"/>
    <w:rsid w:val="00261919"/>
    <w:rsid w:val="002626EA"/>
    <w:rsid w:val="0026372D"/>
    <w:rsid w:val="0026539E"/>
    <w:rsid w:val="0026595F"/>
    <w:rsid w:val="00266874"/>
    <w:rsid w:val="00266AF5"/>
    <w:rsid w:val="002672D7"/>
    <w:rsid w:val="002679D3"/>
    <w:rsid w:val="00271D51"/>
    <w:rsid w:val="00271DB1"/>
    <w:rsid w:val="00272124"/>
    <w:rsid w:val="00273762"/>
    <w:rsid w:val="00274293"/>
    <w:rsid w:val="00274EE5"/>
    <w:rsid w:val="00275706"/>
    <w:rsid w:val="00276D0B"/>
    <w:rsid w:val="00276E5B"/>
    <w:rsid w:val="00277359"/>
    <w:rsid w:val="00280436"/>
    <w:rsid w:val="0028057D"/>
    <w:rsid w:val="00285185"/>
    <w:rsid w:val="002851F6"/>
    <w:rsid w:val="00286A6F"/>
    <w:rsid w:val="00290403"/>
    <w:rsid w:val="00290AA8"/>
    <w:rsid w:val="002910F3"/>
    <w:rsid w:val="0029170E"/>
    <w:rsid w:val="00293EB1"/>
    <w:rsid w:val="002944C5"/>
    <w:rsid w:val="00295012"/>
    <w:rsid w:val="00296284"/>
    <w:rsid w:val="00297E74"/>
    <w:rsid w:val="002A0D6D"/>
    <w:rsid w:val="002A0DC3"/>
    <w:rsid w:val="002A224C"/>
    <w:rsid w:val="002A3449"/>
    <w:rsid w:val="002A35DB"/>
    <w:rsid w:val="002A3772"/>
    <w:rsid w:val="002A4689"/>
    <w:rsid w:val="002A4719"/>
    <w:rsid w:val="002A499E"/>
    <w:rsid w:val="002A5499"/>
    <w:rsid w:val="002A5611"/>
    <w:rsid w:val="002A63A1"/>
    <w:rsid w:val="002A661B"/>
    <w:rsid w:val="002A671A"/>
    <w:rsid w:val="002A6E72"/>
    <w:rsid w:val="002A7F02"/>
    <w:rsid w:val="002B1747"/>
    <w:rsid w:val="002B1A58"/>
    <w:rsid w:val="002B2EEB"/>
    <w:rsid w:val="002B38A5"/>
    <w:rsid w:val="002B3C60"/>
    <w:rsid w:val="002B3F49"/>
    <w:rsid w:val="002B46C1"/>
    <w:rsid w:val="002B5004"/>
    <w:rsid w:val="002B5ABE"/>
    <w:rsid w:val="002C183C"/>
    <w:rsid w:val="002C2642"/>
    <w:rsid w:val="002C2CA8"/>
    <w:rsid w:val="002C3096"/>
    <w:rsid w:val="002C35DA"/>
    <w:rsid w:val="002C35F2"/>
    <w:rsid w:val="002C4611"/>
    <w:rsid w:val="002C4F7B"/>
    <w:rsid w:val="002C52EE"/>
    <w:rsid w:val="002C66EB"/>
    <w:rsid w:val="002C7370"/>
    <w:rsid w:val="002D0635"/>
    <w:rsid w:val="002D17AC"/>
    <w:rsid w:val="002D1C4E"/>
    <w:rsid w:val="002D1D76"/>
    <w:rsid w:val="002D2046"/>
    <w:rsid w:val="002D2084"/>
    <w:rsid w:val="002D2387"/>
    <w:rsid w:val="002D302F"/>
    <w:rsid w:val="002D41BF"/>
    <w:rsid w:val="002D72AB"/>
    <w:rsid w:val="002D7537"/>
    <w:rsid w:val="002E059A"/>
    <w:rsid w:val="002E072C"/>
    <w:rsid w:val="002E0E05"/>
    <w:rsid w:val="002E1FD3"/>
    <w:rsid w:val="002E30E7"/>
    <w:rsid w:val="002E618D"/>
    <w:rsid w:val="002E6E4D"/>
    <w:rsid w:val="002E7828"/>
    <w:rsid w:val="002E7AA0"/>
    <w:rsid w:val="002F0B22"/>
    <w:rsid w:val="002F3123"/>
    <w:rsid w:val="002F36C2"/>
    <w:rsid w:val="002F41CD"/>
    <w:rsid w:val="002F486F"/>
    <w:rsid w:val="002F4968"/>
    <w:rsid w:val="002F4BE5"/>
    <w:rsid w:val="002F5BB0"/>
    <w:rsid w:val="002F6857"/>
    <w:rsid w:val="002F7016"/>
    <w:rsid w:val="002F754E"/>
    <w:rsid w:val="002F7F3E"/>
    <w:rsid w:val="00300764"/>
    <w:rsid w:val="00301F85"/>
    <w:rsid w:val="0030215E"/>
    <w:rsid w:val="003029AC"/>
    <w:rsid w:val="00302BF7"/>
    <w:rsid w:val="003039D8"/>
    <w:rsid w:val="00305693"/>
    <w:rsid w:val="00305739"/>
    <w:rsid w:val="00305CCE"/>
    <w:rsid w:val="003061F0"/>
    <w:rsid w:val="0030684F"/>
    <w:rsid w:val="00306D47"/>
    <w:rsid w:val="003079AD"/>
    <w:rsid w:val="00307FBD"/>
    <w:rsid w:val="00314176"/>
    <w:rsid w:val="00314229"/>
    <w:rsid w:val="00315708"/>
    <w:rsid w:val="003158EA"/>
    <w:rsid w:val="00316726"/>
    <w:rsid w:val="003170A9"/>
    <w:rsid w:val="0032043F"/>
    <w:rsid w:val="003207DB"/>
    <w:rsid w:val="00324B7D"/>
    <w:rsid w:val="00325416"/>
    <w:rsid w:val="0032577D"/>
    <w:rsid w:val="00325D08"/>
    <w:rsid w:val="00325D5C"/>
    <w:rsid w:val="00326DA9"/>
    <w:rsid w:val="003273B8"/>
    <w:rsid w:val="00327BDE"/>
    <w:rsid w:val="00330465"/>
    <w:rsid w:val="00330D62"/>
    <w:rsid w:val="003313E4"/>
    <w:rsid w:val="003314BD"/>
    <w:rsid w:val="00331F07"/>
    <w:rsid w:val="0033332E"/>
    <w:rsid w:val="00334D5E"/>
    <w:rsid w:val="00334D91"/>
    <w:rsid w:val="00335AF9"/>
    <w:rsid w:val="00335D72"/>
    <w:rsid w:val="00340E50"/>
    <w:rsid w:val="00341EBF"/>
    <w:rsid w:val="003420DC"/>
    <w:rsid w:val="00342B59"/>
    <w:rsid w:val="00342FA0"/>
    <w:rsid w:val="0034362F"/>
    <w:rsid w:val="0034371D"/>
    <w:rsid w:val="003465D1"/>
    <w:rsid w:val="003521E1"/>
    <w:rsid w:val="00353A02"/>
    <w:rsid w:val="00354938"/>
    <w:rsid w:val="003549E3"/>
    <w:rsid w:val="00355454"/>
    <w:rsid w:val="003568E4"/>
    <w:rsid w:val="003570BF"/>
    <w:rsid w:val="00357767"/>
    <w:rsid w:val="00360947"/>
    <w:rsid w:val="003611D6"/>
    <w:rsid w:val="00361816"/>
    <w:rsid w:val="003619F6"/>
    <w:rsid w:val="0036218C"/>
    <w:rsid w:val="00362A75"/>
    <w:rsid w:val="00363BBE"/>
    <w:rsid w:val="003662D4"/>
    <w:rsid w:val="0036665E"/>
    <w:rsid w:val="00366B5A"/>
    <w:rsid w:val="00367328"/>
    <w:rsid w:val="00370477"/>
    <w:rsid w:val="00371824"/>
    <w:rsid w:val="003719FF"/>
    <w:rsid w:val="003727C0"/>
    <w:rsid w:val="003737EA"/>
    <w:rsid w:val="00374691"/>
    <w:rsid w:val="00374717"/>
    <w:rsid w:val="00374E3F"/>
    <w:rsid w:val="00374ED0"/>
    <w:rsid w:val="00374FB9"/>
    <w:rsid w:val="00375452"/>
    <w:rsid w:val="00376148"/>
    <w:rsid w:val="00376933"/>
    <w:rsid w:val="00380803"/>
    <w:rsid w:val="00381396"/>
    <w:rsid w:val="003818EE"/>
    <w:rsid w:val="00381BD8"/>
    <w:rsid w:val="003825C9"/>
    <w:rsid w:val="003836CA"/>
    <w:rsid w:val="00383FA0"/>
    <w:rsid w:val="003846ED"/>
    <w:rsid w:val="00386C48"/>
    <w:rsid w:val="00386CA0"/>
    <w:rsid w:val="00390355"/>
    <w:rsid w:val="00393A39"/>
    <w:rsid w:val="0039555E"/>
    <w:rsid w:val="00396B0E"/>
    <w:rsid w:val="00396F9D"/>
    <w:rsid w:val="00397572"/>
    <w:rsid w:val="003A0D97"/>
    <w:rsid w:val="003A0F4D"/>
    <w:rsid w:val="003A1A2E"/>
    <w:rsid w:val="003A21BD"/>
    <w:rsid w:val="003A3B40"/>
    <w:rsid w:val="003A5446"/>
    <w:rsid w:val="003A5D60"/>
    <w:rsid w:val="003A7362"/>
    <w:rsid w:val="003A7BD7"/>
    <w:rsid w:val="003B0430"/>
    <w:rsid w:val="003B3CFC"/>
    <w:rsid w:val="003C0100"/>
    <w:rsid w:val="003C0BDB"/>
    <w:rsid w:val="003C0FDA"/>
    <w:rsid w:val="003C2296"/>
    <w:rsid w:val="003C2B32"/>
    <w:rsid w:val="003C47C2"/>
    <w:rsid w:val="003C630D"/>
    <w:rsid w:val="003C63D6"/>
    <w:rsid w:val="003C790D"/>
    <w:rsid w:val="003D094B"/>
    <w:rsid w:val="003D226E"/>
    <w:rsid w:val="003D2602"/>
    <w:rsid w:val="003D262B"/>
    <w:rsid w:val="003D2B0A"/>
    <w:rsid w:val="003D2E33"/>
    <w:rsid w:val="003D310B"/>
    <w:rsid w:val="003D399E"/>
    <w:rsid w:val="003D3FA8"/>
    <w:rsid w:val="003D41FF"/>
    <w:rsid w:val="003D4297"/>
    <w:rsid w:val="003D611A"/>
    <w:rsid w:val="003D6CC9"/>
    <w:rsid w:val="003D6ECD"/>
    <w:rsid w:val="003D735F"/>
    <w:rsid w:val="003E0D6E"/>
    <w:rsid w:val="003E1234"/>
    <w:rsid w:val="003E3DCE"/>
    <w:rsid w:val="003E41C3"/>
    <w:rsid w:val="003E4619"/>
    <w:rsid w:val="003E4E89"/>
    <w:rsid w:val="003E5B38"/>
    <w:rsid w:val="003E6191"/>
    <w:rsid w:val="003E685D"/>
    <w:rsid w:val="003E6BEE"/>
    <w:rsid w:val="003E7B2D"/>
    <w:rsid w:val="003E7F95"/>
    <w:rsid w:val="003F00FA"/>
    <w:rsid w:val="003F0630"/>
    <w:rsid w:val="003F06DF"/>
    <w:rsid w:val="003F0DA4"/>
    <w:rsid w:val="003F216B"/>
    <w:rsid w:val="003F23AB"/>
    <w:rsid w:val="003F275B"/>
    <w:rsid w:val="003F3B88"/>
    <w:rsid w:val="003F5E43"/>
    <w:rsid w:val="004014C6"/>
    <w:rsid w:val="00402669"/>
    <w:rsid w:val="00403EE6"/>
    <w:rsid w:val="00403FEF"/>
    <w:rsid w:val="004042F5"/>
    <w:rsid w:val="004048AA"/>
    <w:rsid w:val="00404C67"/>
    <w:rsid w:val="004102EE"/>
    <w:rsid w:val="00410A71"/>
    <w:rsid w:val="004119AD"/>
    <w:rsid w:val="00412157"/>
    <w:rsid w:val="0041222E"/>
    <w:rsid w:val="00412DE3"/>
    <w:rsid w:val="00413D92"/>
    <w:rsid w:val="00413E5F"/>
    <w:rsid w:val="004146F2"/>
    <w:rsid w:val="00415601"/>
    <w:rsid w:val="00415D4B"/>
    <w:rsid w:val="00417638"/>
    <w:rsid w:val="00417AEA"/>
    <w:rsid w:val="00420E12"/>
    <w:rsid w:val="00421357"/>
    <w:rsid w:val="0042207D"/>
    <w:rsid w:val="00423CEA"/>
    <w:rsid w:val="004242C8"/>
    <w:rsid w:val="00426D77"/>
    <w:rsid w:val="00426FF0"/>
    <w:rsid w:val="004270CE"/>
    <w:rsid w:val="00430154"/>
    <w:rsid w:val="004303F4"/>
    <w:rsid w:val="00430737"/>
    <w:rsid w:val="0043362D"/>
    <w:rsid w:val="00433D5F"/>
    <w:rsid w:val="00434A38"/>
    <w:rsid w:val="004357A6"/>
    <w:rsid w:val="00437B6F"/>
    <w:rsid w:val="004401B9"/>
    <w:rsid w:val="00441806"/>
    <w:rsid w:val="00441C06"/>
    <w:rsid w:val="00442C69"/>
    <w:rsid w:val="00443384"/>
    <w:rsid w:val="004436DE"/>
    <w:rsid w:val="004444B6"/>
    <w:rsid w:val="0044452A"/>
    <w:rsid w:val="0044608C"/>
    <w:rsid w:val="00447AB3"/>
    <w:rsid w:val="00450244"/>
    <w:rsid w:val="004507B9"/>
    <w:rsid w:val="00450D56"/>
    <w:rsid w:val="00451355"/>
    <w:rsid w:val="00451374"/>
    <w:rsid w:val="00453968"/>
    <w:rsid w:val="00453D9D"/>
    <w:rsid w:val="004558AE"/>
    <w:rsid w:val="00455B3D"/>
    <w:rsid w:val="00456BA4"/>
    <w:rsid w:val="0045772A"/>
    <w:rsid w:val="00457E37"/>
    <w:rsid w:val="00457F5F"/>
    <w:rsid w:val="004609DB"/>
    <w:rsid w:val="00460AF9"/>
    <w:rsid w:val="00460E9A"/>
    <w:rsid w:val="00461A79"/>
    <w:rsid w:val="00461BC1"/>
    <w:rsid w:val="00463470"/>
    <w:rsid w:val="00464E7F"/>
    <w:rsid w:val="0046578E"/>
    <w:rsid w:val="00466375"/>
    <w:rsid w:val="004703A3"/>
    <w:rsid w:val="0047113B"/>
    <w:rsid w:val="00471F5A"/>
    <w:rsid w:val="00471FB8"/>
    <w:rsid w:val="004722B2"/>
    <w:rsid w:val="004731D7"/>
    <w:rsid w:val="00473230"/>
    <w:rsid w:val="00473961"/>
    <w:rsid w:val="0047488E"/>
    <w:rsid w:val="00474EAF"/>
    <w:rsid w:val="00477BEA"/>
    <w:rsid w:val="00477C38"/>
    <w:rsid w:val="00477EE6"/>
    <w:rsid w:val="00480C45"/>
    <w:rsid w:val="004819E2"/>
    <w:rsid w:val="00481AC7"/>
    <w:rsid w:val="00483AE5"/>
    <w:rsid w:val="00483DC0"/>
    <w:rsid w:val="00486988"/>
    <w:rsid w:val="00487CA7"/>
    <w:rsid w:val="004938C9"/>
    <w:rsid w:val="00494A6D"/>
    <w:rsid w:val="00494F7B"/>
    <w:rsid w:val="0049541E"/>
    <w:rsid w:val="004968C9"/>
    <w:rsid w:val="00497BAB"/>
    <w:rsid w:val="004A26D9"/>
    <w:rsid w:val="004A30AC"/>
    <w:rsid w:val="004A38B4"/>
    <w:rsid w:val="004A396B"/>
    <w:rsid w:val="004A3BB4"/>
    <w:rsid w:val="004A40D0"/>
    <w:rsid w:val="004A485F"/>
    <w:rsid w:val="004A5CE7"/>
    <w:rsid w:val="004B07FA"/>
    <w:rsid w:val="004B18E8"/>
    <w:rsid w:val="004B2EA1"/>
    <w:rsid w:val="004B547B"/>
    <w:rsid w:val="004B593B"/>
    <w:rsid w:val="004B6AC2"/>
    <w:rsid w:val="004B72FD"/>
    <w:rsid w:val="004B7660"/>
    <w:rsid w:val="004B7C9E"/>
    <w:rsid w:val="004C0B20"/>
    <w:rsid w:val="004C0FE1"/>
    <w:rsid w:val="004C145F"/>
    <w:rsid w:val="004C1684"/>
    <w:rsid w:val="004C1D9B"/>
    <w:rsid w:val="004C20FC"/>
    <w:rsid w:val="004C22CA"/>
    <w:rsid w:val="004C3AFD"/>
    <w:rsid w:val="004C3F9C"/>
    <w:rsid w:val="004C4464"/>
    <w:rsid w:val="004C5052"/>
    <w:rsid w:val="004C53A1"/>
    <w:rsid w:val="004C6232"/>
    <w:rsid w:val="004C67C2"/>
    <w:rsid w:val="004C6B22"/>
    <w:rsid w:val="004C7A6B"/>
    <w:rsid w:val="004D0394"/>
    <w:rsid w:val="004D1C12"/>
    <w:rsid w:val="004D2986"/>
    <w:rsid w:val="004D2B43"/>
    <w:rsid w:val="004D34E1"/>
    <w:rsid w:val="004D5449"/>
    <w:rsid w:val="004D6C6C"/>
    <w:rsid w:val="004D6DB9"/>
    <w:rsid w:val="004D78CA"/>
    <w:rsid w:val="004E0FE2"/>
    <w:rsid w:val="004E1D33"/>
    <w:rsid w:val="004E27B0"/>
    <w:rsid w:val="004E3C39"/>
    <w:rsid w:val="004E4537"/>
    <w:rsid w:val="004E4C5D"/>
    <w:rsid w:val="004E4CC2"/>
    <w:rsid w:val="004E5F76"/>
    <w:rsid w:val="004E63BA"/>
    <w:rsid w:val="004E6805"/>
    <w:rsid w:val="004E69BA"/>
    <w:rsid w:val="004E7032"/>
    <w:rsid w:val="004E784F"/>
    <w:rsid w:val="004E7EFB"/>
    <w:rsid w:val="004F0012"/>
    <w:rsid w:val="004F01AD"/>
    <w:rsid w:val="004F04C8"/>
    <w:rsid w:val="004F06FE"/>
    <w:rsid w:val="004F0BE0"/>
    <w:rsid w:val="004F0D82"/>
    <w:rsid w:val="004F19B4"/>
    <w:rsid w:val="004F1E16"/>
    <w:rsid w:val="004F5716"/>
    <w:rsid w:val="004F5F6A"/>
    <w:rsid w:val="004F60BF"/>
    <w:rsid w:val="004F6F9D"/>
    <w:rsid w:val="004F73F3"/>
    <w:rsid w:val="004F7F83"/>
    <w:rsid w:val="00500A3F"/>
    <w:rsid w:val="00502856"/>
    <w:rsid w:val="00504A0D"/>
    <w:rsid w:val="005052A6"/>
    <w:rsid w:val="005066E2"/>
    <w:rsid w:val="00507F8C"/>
    <w:rsid w:val="005101FB"/>
    <w:rsid w:val="00510706"/>
    <w:rsid w:val="00510A3A"/>
    <w:rsid w:val="00511EA2"/>
    <w:rsid w:val="00512F40"/>
    <w:rsid w:val="005138DA"/>
    <w:rsid w:val="005150FA"/>
    <w:rsid w:val="00515DB4"/>
    <w:rsid w:val="005177F9"/>
    <w:rsid w:val="00517A07"/>
    <w:rsid w:val="00520652"/>
    <w:rsid w:val="0052086B"/>
    <w:rsid w:val="0052098F"/>
    <w:rsid w:val="00521B69"/>
    <w:rsid w:val="00523605"/>
    <w:rsid w:val="00524180"/>
    <w:rsid w:val="00524F15"/>
    <w:rsid w:val="00526DEF"/>
    <w:rsid w:val="005270E2"/>
    <w:rsid w:val="00527775"/>
    <w:rsid w:val="00527EA4"/>
    <w:rsid w:val="005304C2"/>
    <w:rsid w:val="00530649"/>
    <w:rsid w:val="00532FD3"/>
    <w:rsid w:val="00533555"/>
    <w:rsid w:val="00533798"/>
    <w:rsid w:val="00533FED"/>
    <w:rsid w:val="00534235"/>
    <w:rsid w:val="00534C8A"/>
    <w:rsid w:val="00535998"/>
    <w:rsid w:val="00536B9E"/>
    <w:rsid w:val="00536DCD"/>
    <w:rsid w:val="005400C3"/>
    <w:rsid w:val="00540160"/>
    <w:rsid w:val="0054093E"/>
    <w:rsid w:val="00540F34"/>
    <w:rsid w:val="0054192A"/>
    <w:rsid w:val="00541EA0"/>
    <w:rsid w:val="00542FA0"/>
    <w:rsid w:val="00543774"/>
    <w:rsid w:val="005444A3"/>
    <w:rsid w:val="00544AC2"/>
    <w:rsid w:val="0054599F"/>
    <w:rsid w:val="00546D0B"/>
    <w:rsid w:val="00547320"/>
    <w:rsid w:val="00547844"/>
    <w:rsid w:val="00550088"/>
    <w:rsid w:val="0055068D"/>
    <w:rsid w:val="005520A9"/>
    <w:rsid w:val="00554A13"/>
    <w:rsid w:val="00554CBE"/>
    <w:rsid w:val="005553C2"/>
    <w:rsid w:val="005606DB"/>
    <w:rsid w:val="00560DE4"/>
    <w:rsid w:val="005618B0"/>
    <w:rsid w:val="00562C8E"/>
    <w:rsid w:val="00564189"/>
    <w:rsid w:val="00565EBE"/>
    <w:rsid w:val="005704BC"/>
    <w:rsid w:val="0057098F"/>
    <w:rsid w:val="0057149B"/>
    <w:rsid w:val="00571E89"/>
    <w:rsid w:val="0057287D"/>
    <w:rsid w:val="00580709"/>
    <w:rsid w:val="00581045"/>
    <w:rsid w:val="005811A7"/>
    <w:rsid w:val="00581426"/>
    <w:rsid w:val="005827E6"/>
    <w:rsid w:val="00583D71"/>
    <w:rsid w:val="00583F74"/>
    <w:rsid w:val="00586981"/>
    <w:rsid w:val="00587322"/>
    <w:rsid w:val="00590E7B"/>
    <w:rsid w:val="0059101D"/>
    <w:rsid w:val="00592F0F"/>
    <w:rsid w:val="00593333"/>
    <w:rsid w:val="00594645"/>
    <w:rsid w:val="00595F21"/>
    <w:rsid w:val="00597F00"/>
    <w:rsid w:val="005A00B6"/>
    <w:rsid w:val="005A0332"/>
    <w:rsid w:val="005A2AC3"/>
    <w:rsid w:val="005A3682"/>
    <w:rsid w:val="005A3A92"/>
    <w:rsid w:val="005A3B65"/>
    <w:rsid w:val="005A4139"/>
    <w:rsid w:val="005A4F87"/>
    <w:rsid w:val="005A5818"/>
    <w:rsid w:val="005A5BE7"/>
    <w:rsid w:val="005A5E36"/>
    <w:rsid w:val="005A62D4"/>
    <w:rsid w:val="005A6B3B"/>
    <w:rsid w:val="005A755F"/>
    <w:rsid w:val="005B0669"/>
    <w:rsid w:val="005B140D"/>
    <w:rsid w:val="005B17CF"/>
    <w:rsid w:val="005B1A47"/>
    <w:rsid w:val="005B1B12"/>
    <w:rsid w:val="005B2135"/>
    <w:rsid w:val="005B434A"/>
    <w:rsid w:val="005B46E3"/>
    <w:rsid w:val="005B5AEC"/>
    <w:rsid w:val="005C01F6"/>
    <w:rsid w:val="005C1861"/>
    <w:rsid w:val="005C1D9F"/>
    <w:rsid w:val="005C44BF"/>
    <w:rsid w:val="005C469B"/>
    <w:rsid w:val="005C48A9"/>
    <w:rsid w:val="005C553A"/>
    <w:rsid w:val="005C5EC1"/>
    <w:rsid w:val="005C6D38"/>
    <w:rsid w:val="005C7675"/>
    <w:rsid w:val="005D1313"/>
    <w:rsid w:val="005D1A8A"/>
    <w:rsid w:val="005D2919"/>
    <w:rsid w:val="005D353C"/>
    <w:rsid w:val="005D79A6"/>
    <w:rsid w:val="005E0222"/>
    <w:rsid w:val="005E0C47"/>
    <w:rsid w:val="005E1492"/>
    <w:rsid w:val="005E166E"/>
    <w:rsid w:val="005E2471"/>
    <w:rsid w:val="005E35D7"/>
    <w:rsid w:val="005E4A2C"/>
    <w:rsid w:val="005E55D8"/>
    <w:rsid w:val="005E5B55"/>
    <w:rsid w:val="005E64CF"/>
    <w:rsid w:val="005F036E"/>
    <w:rsid w:val="005F0A6B"/>
    <w:rsid w:val="005F1814"/>
    <w:rsid w:val="005F21B3"/>
    <w:rsid w:val="005F3A45"/>
    <w:rsid w:val="005F4509"/>
    <w:rsid w:val="005F4923"/>
    <w:rsid w:val="005F4C38"/>
    <w:rsid w:val="005F703A"/>
    <w:rsid w:val="005F7743"/>
    <w:rsid w:val="005F7F7F"/>
    <w:rsid w:val="006001BD"/>
    <w:rsid w:val="00600823"/>
    <w:rsid w:val="00600B85"/>
    <w:rsid w:val="00600BD0"/>
    <w:rsid w:val="0060150B"/>
    <w:rsid w:val="0060559A"/>
    <w:rsid w:val="00605F49"/>
    <w:rsid w:val="00605FBB"/>
    <w:rsid w:val="0060662B"/>
    <w:rsid w:val="006069B9"/>
    <w:rsid w:val="0060727B"/>
    <w:rsid w:val="0060751F"/>
    <w:rsid w:val="00607D35"/>
    <w:rsid w:val="00607FC9"/>
    <w:rsid w:val="00610841"/>
    <w:rsid w:val="00610CD4"/>
    <w:rsid w:val="006128F1"/>
    <w:rsid w:val="0061360A"/>
    <w:rsid w:val="00614668"/>
    <w:rsid w:val="00614EC4"/>
    <w:rsid w:val="006152B3"/>
    <w:rsid w:val="00620C6F"/>
    <w:rsid w:val="00621945"/>
    <w:rsid w:val="006219AF"/>
    <w:rsid w:val="00623794"/>
    <w:rsid w:val="006267C7"/>
    <w:rsid w:val="00631E0E"/>
    <w:rsid w:val="00632152"/>
    <w:rsid w:val="006321EF"/>
    <w:rsid w:val="00633406"/>
    <w:rsid w:val="00633850"/>
    <w:rsid w:val="00633CF9"/>
    <w:rsid w:val="006366F2"/>
    <w:rsid w:val="006371EC"/>
    <w:rsid w:val="00640D28"/>
    <w:rsid w:val="00641199"/>
    <w:rsid w:val="00641463"/>
    <w:rsid w:val="00641471"/>
    <w:rsid w:val="0064236D"/>
    <w:rsid w:val="00644EF2"/>
    <w:rsid w:val="00645234"/>
    <w:rsid w:val="0064699F"/>
    <w:rsid w:val="006472BF"/>
    <w:rsid w:val="006475DA"/>
    <w:rsid w:val="006519DA"/>
    <w:rsid w:val="00651B4C"/>
    <w:rsid w:val="00651CF0"/>
    <w:rsid w:val="006543A5"/>
    <w:rsid w:val="00654CFD"/>
    <w:rsid w:val="006554CC"/>
    <w:rsid w:val="00655B90"/>
    <w:rsid w:val="00657012"/>
    <w:rsid w:val="00660EFB"/>
    <w:rsid w:val="00661D19"/>
    <w:rsid w:val="00661FAC"/>
    <w:rsid w:val="00662971"/>
    <w:rsid w:val="00663CE2"/>
    <w:rsid w:val="00665067"/>
    <w:rsid w:val="006651DD"/>
    <w:rsid w:val="006657D3"/>
    <w:rsid w:val="00666347"/>
    <w:rsid w:val="006663E3"/>
    <w:rsid w:val="00667429"/>
    <w:rsid w:val="00667F59"/>
    <w:rsid w:val="00670EAF"/>
    <w:rsid w:val="00671106"/>
    <w:rsid w:val="00672A6F"/>
    <w:rsid w:val="00672B74"/>
    <w:rsid w:val="00673015"/>
    <w:rsid w:val="00674420"/>
    <w:rsid w:val="00674D4F"/>
    <w:rsid w:val="00675BDE"/>
    <w:rsid w:val="0067784A"/>
    <w:rsid w:val="00677F3C"/>
    <w:rsid w:val="0068150D"/>
    <w:rsid w:val="00683236"/>
    <w:rsid w:val="00685374"/>
    <w:rsid w:val="00685C83"/>
    <w:rsid w:val="006861E5"/>
    <w:rsid w:val="00686B1A"/>
    <w:rsid w:val="00687265"/>
    <w:rsid w:val="00687F09"/>
    <w:rsid w:val="00690117"/>
    <w:rsid w:val="006909D5"/>
    <w:rsid w:val="00690C11"/>
    <w:rsid w:val="00690FD6"/>
    <w:rsid w:val="00691755"/>
    <w:rsid w:val="0069380B"/>
    <w:rsid w:val="0069464D"/>
    <w:rsid w:val="006947F5"/>
    <w:rsid w:val="00694D72"/>
    <w:rsid w:val="00694E2A"/>
    <w:rsid w:val="006954D6"/>
    <w:rsid w:val="00695AFE"/>
    <w:rsid w:val="00696B84"/>
    <w:rsid w:val="006A0F93"/>
    <w:rsid w:val="006A19BB"/>
    <w:rsid w:val="006A1BF6"/>
    <w:rsid w:val="006A23A3"/>
    <w:rsid w:val="006A2EC2"/>
    <w:rsid w:val="006A2F7B"/>
    <w:rsid w:val="006A449B"/>
    <w:rsid w:val="006A4C00"/>
    <w:rsid w:val="006A6E98"/>
    <w:rsid w:val="006A7292"/>
    <w:rsid w:val="006B0481"/>
    <w:rsid w:val="006B062F"/>
    <w:rsid w:val="006B160A"/>
    <w:rsid w:val="006B1B1B"/>
    <w:rsid w:val="006B1F6E"/>
    <w:rsid w:val="006B361F"/>
    <w:rsid w:val="006B3BA9"/>
    <w:rsid w:val="006B3FEB"/>
    <w:rsid w:val="006B4032"/>
    <w:rsid w:val="006B44FD"/>
    <w:rsid w:val="006B45DE"/>
    <w:rsid w:val="006B45EE"/>
    <w:rsid w:val="006B4E6E"/>
    <w:rsid w:val="006B5500"/>
    <w:rsid w:val="006B5AE5"/>
    <w:rsid w:val="006B7ABA"/>
    <w:rsid w:val="006C04D1"/>
    <w:rsid w:val="006C0505"/>
    <w:rsid w:val="006C135E"/>
    <w:rsid w:val="006C15E9"/>
    <w:rsid w:val="006C4079"/>
    <w:rsid w:val="006C4FFD"/>
    <w:rsid w:val="006C57CE"/>
    <w:rsid w:val="006C7B26"/>
    <w:rsid w:val="006D1BE9"/>
    <w:rsid w:val="006D2445"/>
    <w:rsid w:val="006D29B4"/>
    <w:rsid w:val="006D2C70"/>
    <w:rsid w:val="006D3EEE"/>
    <w:rsid w:val="006D418B"/>
    <w:rsid w:val="006D41C2"/>
    <w:rsid w:val="006D446A"/>
    <w:rsid w:val="006D5615"/>
    <w:rsid w:val="006D6DEB"/>
    <w:rsid w:val="006D730A"/>
    <w:rsid w:val="006D7792"/>
    <w:rsid w:val="006D790A"/>
    <w:rsid w:val="006E0DD3"/>
    <w:rsid w:val="006E1DF1"/>
    <w:rsid w:val="006E2AF3"/>
    <w:rsid w:val="006E3494"/>
    <w:rsid w:val="006E3664"/>
    <w:rsid w:val="006E3974"/>
    <w:rsid w:val="006E3DA4"/>
    <w:rsid w:val="006E4693"/>
    <w:rsid w:val="006E48F0"/>
    <w:rsid w:val="006E5F90"/>
    <w:rsid w:val="006E5FA7"/>
    <w:rsid w:val="006E6339"/>
    <w:rsid w:val="006E6833"/>
    <w:rsid w:val="006F0000"/>
    <w:rsid w:val="006F133F"/>
    <w:rsid w:val="006F1975"/>
    <w:rsid w:val="006F1DD8"/>
    <w:rsid w:val="006F24D2"/>
    <w:rsid w:val="006F3597"/>
    <w:rsid w:val="006F4597"/>
    <w:rsid w:val="006F4FAC"/>
    <w:rsid w:val="006F5354"/>
    <w:rsid w:val="006F6AB5"/>
    <w:rsid w:val="006F6D08"/>
    <w:rsid w:val="006F71B9"/>
    <w:rsid w:val="006F7318"/>
    <w:rsid w:val="006F7643"/>
    <w:rsid w:val="006F7DF4"/>
    <w:rsid w:val="00700323"/>
    <w:rsid w:val="00702306"/>
    <w:rsid w:val="00702DD3"/>
    <w:rsid w:val="00704CFA"/>
    <w:rsid w:val="00705087"/>
    <w:rsid w:val="00706162"/>
    <w:rsid w:val="0070617F"/>
    <w:rsid w:val="00707020"/>
    <w:rsid w:val="007079AB"/>
    <w:rsid w:val="00707ED7"/>
    <w:rsid w:val="007115C2"/>
    <w:rsid w:val="00712EDE"/>
    <w:rsid w:val="00713477"/>
    <w:rsid w:val="00713537"/>
    <w:rsid w:val="007139CA"/>
    <w:rsid w:val="00715564"/>
    <w:rsid w:val="00716618"/>
    <w:rsid w:val="00717C17"/>
    <w:rsid w:val="00721760"/>
    <w:rsid w:val="007230BC"/>
    <w:rsid w:val="00726979"/>
    <w:rsid w:val="0072766B"/>
    <w:rsid w:val="00727842"/>
    <w:rsid w:val="00730078"/>
    <w:rsid w:val="0073079D"/>
    <w:rsid w:val="00730A45"/>
    <w:rsid w:val="007316D1"/>
    <w:rsid w:val="00731C3C"/>
    <w:rsid w:val="00731DA7"/>
    <w:rsid w:val="00732297"/>
    <w:rsid w:val="00732BFA"/>
    <w:rsid w:val="0073323E"/>
    <w:rsid w:val="00734042"/>
    <w:rsid w:val="00734657"/>
    <w:rsid w:val="007353D6"/>
    <w:rsid w:val="0073574B"/>
    <w:rsid w:val="00735F3A"/>
    <w:rsid w:val="007362CB"/>
    <w:rsid w:val="007376D2"/>
    <w:rsid w:val="00737CD7"/>
    <w:rsid w:val="0074268E"/>
    <w:rsid w:val="00743C0F"/>
    <w:rsid w:val="007469E5"/>
    <w:rsid w:val="00746FAA"/>
    <w:rsid w:val="0074709D"/>
    <w:rsid w:val="00747A9C"/>
    <w:rsid w:val="00750567"/>
    <w:rsid w:val="007510DA"/>
    <w:rsid w:val="00751996"/>
    <w:rsid w:val="00751F0A"/>
    <w:rsid w:val="007523E8"/>
    <w:rsid w:val="0075262A"/>
    <w:rsid w:val="00753183"/>
    <w:rsid w:val="0075470D"/>
    <w:rsid w:val="00754852"/>
    <w:rsid w:val="0075498F"/>
    <w:rsid w:val="007557A5"/>
    <w:rsid w:val="00755D30"/>
    <w:rsid w:val="00756990"/>
    <w:rsid w:val="0075714A"/>
    <w:rsid w:val="00760269"/>
    <w:rsid w:val="00760F57"/>
    <w:rsid w:val="00762794"/>
    <w:rsid w:val="00762901"/>
    <w:rsid w:val="00763999"/>
    <w:rsid w:val="0076404D"/>
    <w:rsid w:val="0076486F"/>
    <w:rsid w:val="007657E5"/>
    <w:rsid w:val="00770F90"/>
    <w:rsid w:val="00771FBD"/>
    <w:rsid w:val="007739BA"/>
    <w:rsid w:val="00774486"/>
    <w:rsid w:val="0077590A"/>
    <w:rsid w:val="007759C7"/>
    <w:rsid w:val="00775D49"/>
    <w:rsid w:val="00776303"/>
    <w:rsid w:val="00776D2D"/>
    <w:rsid w:val="00780CE2"/>
    <w:rsid w:val="0078158F"/>
    <w:rsid w:val="00781E2F"/>
    <w:rsid w:val="00784946"/>
    <w:rsid w:val="0078596D"/>
    <w:rsid w:val="00792342"/>
    <w:rsid w:val="007926D1"/>
    <w:rsid w:val="00792A54"/>
    <w:rsid w:val="00793039"/>
    <w:rsid w:val="00794B1E"/>
    <w:rsid w:val="007953D6"/>
    <w:rsid w:val="00795F80"/>
    <w:rsid w:val="007969F9"/>
    <w:rsid w:val="007972B2"/>
    <w:rsid w:val="007A068E"/>
    <w:rsid w:val="007A142B"/>
    <w:rsid w:val="007A201E"/>
    <w:rsid w:val="007A2079"/>
    <w:rsid w:val="007A21BE"/>
    <w:rsid w:val="007A2251"/>
    <w:rsid w:val="007A2B94"/>
    <w:rsid w:val="007A306A"/>
    <w:rsid w:val="007A3A5A"/>
    <w:rsid w:val="007A43B7"/>
    <w:rsid w:val="007A4B19"/>
    <w:rsid w:val="007A51F1"/>
    <w:rsid w:val="007A5AB2"/>
    <w:rsid w:val="007A70B1"/>
    <w:rsid w:val="007B01AB"/>
    <w:rsid w:val="007B1163"/>
    <w:rsid w:val="007B1B78"/>
    <w:rsid w:val="007B34AA"/>
    <w:rsid w:val="007B35A1"/>
    <w:rsid w:val="007B3B36"/>
    <w:rsid w:val="007B3D95"/>
    <w:rsid w:val="007B4466"/>
    <w:rsid w:val="007B503D"/>
    <w:rsid w:val="007B6AE4"/>
    <w:rsid w:val="007B6BBA"/>
    <w:rsid w:val="007B7723"/>
    <w:rsid w:val="007C0230"/>
    <w:rsid w:val="007C09B9"/>
    <w:rsid w:val="007C15DA"/>
    <w:rsid w:val="007C2425"/>
    <w:rsid w:val="007C2D00"/>
    <w:rsid w:val="007C2E60"/>
    <w:rsid w:val="007C3E8D"/>
    <w:rsid w:val="007C4138"/>
    <w:rsid w:val="007C4561"/>
    <w:rsid w:val="007C57D1"/>
    <w:rsid w:val="007C635F"/>
    <w:rsid w:val="007C71F5"/>
    <w:rsid w:val="007C7306"/>
    <w:rsid w:val="007D0329"/>
    <w:rsid w:val="007D47AA"/>
    <w:rsid w:val="007D56A6"/>
    <w:rsid w:val="007D5828"/>
    <w:rsid w:val="007D5A23"/>
    <w:rsid w:val="007D5F06"/>
    <w:rsid w:val="007D6075"/>
    <w:rsid w:val="007D7290"/>
    <w:rsid w:val="007D750E"/>
    <w:rsid w:val="007D75B1"/>
    <w:rsid w:val="007D7DD4"/>
    <w:rsid w:val="007E0B99"/>
    <w:rsid w:val="007E13A9"/>
    <w:rsid w:val="007E1E39"/>
    <w:rsid w:val="007E2468"/>
    <w:rsid w:val="007E2B47"/>
    <w:rsid w:val="007E3B87"/>
    <w:rsid w:val="007E473F"/>
    <w:rsid w:val="007E4954"/>
    <w:rsid w:val="007E7468"/>
    <w:rsid w:val="007E7DD5"/>
    <w:rsid w:val="007F1B17"/>
    <w:rsid w:val="007F2111"/>
    <w:rsid w:val="007F263E"/>
    <w:rsid w:val="007F2BD3"/>
    <w:rsid w:val="007F39D5"/>
    <w:rsid w:val="007F3B9D"/>
    <w:rsid w:val="007F4662"/>
    <w:rsid w:val="007F4AE8"/>
    <w:rsid w:val="007F559F"/>
    <w:rsid w:val="007F5793"/>
    <w:rsid w:val="008009C8"/>
    <w:rsid w:val="008009EB"/>
    <w:rsid w:val="00801400"/>
    <w:rsid w:val="008019EA"/>
    <w:rsid w:val="00802025"/>
    <w:rsid w:val="00805924"/>
    <w:rsid w:val="0080779F"/>
    <w:rsid w:val="008107C3"/>
    <w:rsid w:val="00810B23"/>
    <w:rsid w:val="008113B7"/>
    <w:rsid w:val="00811E04"/>
    <w:rsid w:val="008122CC"/>
    <w:rsid w:val="00812327"/>
    <w:rsid w:val="00812560"/>
    <w:rsid w:val="00812898"/>
    <w:rsid w:val="00812D8D"/>
    <w:rsid w:val="00813FD7"/>
    <w:rsid w:val="008149CF"/>
    <w:rsid w:val="0081516F"/>
    <w:rsid w:val="008155D1"/>
    <w:rsid w:val="0081696B"/>
    <w:rsid w:val="00817AF0"/>
    <w:rsid w:val="0082056B"/>
    <w:rsid w:val="008205B9"/>
    <w:rsid w:val="008222DA"/>
    <w:rsid w:val="00822439"/>
    <w:rsid w:val="0082444E"/>
    <w:rsid w:val="0082446A"/>
    <w:rsid w:val="00825FAA"/>
    <w:rsid w:val="008266A7"/>
    <w:rsid w:val="00826EB5"/>
    <w:rsid w:val="008274F9"/>
    <w:rsid w:val="00827A75"/>
    <w:rsid w:val="00830135"/>
    <w:rsid w:val="008302AB"/>
    <w:rsid w:val="008307EA"/>
    <w:rsid w:val="008316B2"/>
    <w:rsid w:val="00832CF4"/>
    <w:rsid w:val="0083354B"/>
    <w:rsid w:val="008336EA"/>
    <w:rsid w:val="00833A8B"/>
    <w:rsid w:val="00834AFA"/>
    <w:rsid w:val="008363FB"/>
    <w:rsid w:val="0083648E"/>
    <w:rsid w:val="00841264"/>
    <w:rsid w:val="00841C76"/>
    <w:rsid w:val="00841D40"/>
    <w:rsid w:val="00841F7D"/>
    <w:rsid w:val="008422C1"/>
    <w:rsid w:val="00843313"/>
    <w:rsid w:val="00843D1E"/>
    <w:rsid w:val="00844C49"/>
    <w:rsid w:val="00844F68"/>
    <w:rsid w:val="0084773D"/>
    <w:rsid w:val="00847CD2"/>
    <w:rsid w:val="00847FA7"/>
    <w:rsid w:val="00852D5A"/>
    <w:rsid w:val="008534F0"/>
    <w:rsid w:val="00854310"/>
    <w:rsid w:val="0085553F"/>
    <w:rsid w:val="008558C5"/>
    <w:rsid w:val="00855C02"/>
    <w:rsid w:val="00857724"/>
    <w:rsid w:val="0085777A"/>
    <w:rsid w:val="0085786F"/>
    <w:rsid w:val="008615FB"/>
    <w:rsid w:val="008616D8"/>
    <w:rsid w:val="00861AC9"/>
    <w:rsid w:val="008653BC"/>
    <w:rsid w:val="0086574C"/>
    <w:rsid w:val="00865BD7"/>
    <w:rsid w:val="00865C38"/>
    <w:rsid w:val="00867515"/>
    <w:rsid w:val="00867C14"/>
    <w:rsid w:val="008700F1"/>
    <w:rsid w:val="00870F9E"/>
    <w:rsid w:val="008720FE"/>
    <w:rsid w:val="00872101"/>
    <w:rsid w:val="008721B0"/>
    <w:rsid w:val="00872808"/>
    <w:rsid w:val="00872889"/>
    <w:rsid w:val="00874E98"/>
    <w:rsid w:val="008750FF"/>
    <w:rsid w:val="00876476"/>
    <w:rsid w:val="00877B8F"/>
    <w:rsid w:val="00880468"/>
    <w:rsid w:val="00880A1D"/>
    <w:rsid w:val="00881593"/>
    <w:rsid w:val="00882B1C"/>
    <w:rsid w:val="00884D61"/>
    <w:rsid w:val="0088542D"/>
    <w:rsid w:val="00885A5F"/>
    <w:rsid w:val="00885C62"/>
    <w:rsid w:val="00885CCD"/>
    <w:rsid w:val="00887402"/>
    <w:rsid w:val="00887446"/>
    <w:rsid w:val="00890338"/>
    <w:rsid w:val="00891E75"/>
    <w:rsid w:val="008940DC"/>
    <w:rsid w:val="00894272"/>
    <w:rsid w:val="00894620"/>
    <w:rsid w:val="00895321"/>
    <w:rsid w:val="00895448"/>
    <w:rsid w:val="008976E2"/>
    <w:rsid w:val="008A00AE"/>
    <w:rsid w:val="008A04F2"/>
    <w:rsid w:val="008A0694"/>
    <w:rsid w:val="008A10E1"/>
    <w:rsid w:val="008A1888"/>
    <w:rsid w:val="008A2206"/>
    <w:rsid w:val="008A42AC"/>
    <w:rsid w:val="008A4401"/>
    <w:rsid w:val="008A44DB"/>
    <w:rsid w:val="008A48A3"/>
    <w:rsid w:val="008A5D90"/>
    <w:rsid w:val="008A662C"/>
    <w:rsid w:val="008A66D7"/>
    <w:rsid w:val="008A69DE"/>
    <w:rsid w:val="008B11CC"/>
    <w:rsid w:val="008B1BD5"/>
    <w:rsid w:val="008B4219"/>
    <w:rsid w:val="008B4975"/>
    <w:rsid w:val="008B738D"/>
    <w:rsid w:val="008B73D5"/>
    <w:rsid w:val="008C07A3"/>
    <w:rsid w:val="008C22BE"/>
    <w:rsid w:val="008C4A2D"/>
    <w:rsid w:val="008C6539"/>
    <w:rsid w:val="008C674F"/>
    <w:rsid w:val="008C6945"/>
    <w:rsid w:val="008C7743"/>
    <w:rsid w:val="008D06F7"/>
    <w:rsid w:val="008D0E0E"/>
    <w:rsid w:val="008D150C"/>
    <w:rsid w:val="008D1553"/>
    <w:rsid w:val="008D170F"/>
    <w:rsid w:val="008D18E2"/>
    <w:rsid w:val="008D2337"/>
    <w:rsid w:val="008D2E17"/>
    <w:rsid w:val="008D4A34"/>
    <w:rsid w:val="008D56F5"/>
    <w:rsid w:val="008D5884"/>
    <w:rsid w:val="008D5970"/>
    <w:rsid w:val="008D6908"/>
    <w:rsid w:val="008D6A9C"/>
    <w:rsid w:val="008D7133"/>
    <w:rsid w:val="008E1DA8"/>
    <w:rsid w:val="008E4017"/>
    <w:rsid w:val="008E4BAB"/>
    <w:rsid w:val="008E684B"/>
    <w:rsid w:val="008E7431"/>
    <w:rsid w:val="008E7984"/>
    <w:rsid w:val="008F0BE7"/>
    <w:rsid w:val="008F109D"/>
    <w:rsid w:val="008F2E75"/>
    <w:rsid w:val="008F3EDA"/>
    <w:rsid w:val="008F450C"/>
    <w:rsid w:val="008F53C0"/>
    <w:rsid w:val="008F5630"/>
    <w:rsid w:val="008F7C92"/>
    <w:rsid w:val="008F7F5A"/>
    <w:rsid w:val="00900AC7"/>
    <w:rsid w:val="009014A3"/>
    <w:rsid w:val="0090203B"/>
    <w:rsid w:val="0090279C"/>
    <w:rsid w:val="00904479"/>
    <w:rsid w:val="00904C78"/>
    <w:rsid w:val="00905023"/>
    <w:rsid w:val="0090517A"/>
    <w:rsid w:val="009058B0"/>
    <w:rsid w:val="009077AA"/>
    <w:rsid w:val="0090794E"/>
    <w:rsid w:val="00907F07"/>
    <w:rsid w:val="00911B38"/>
    <w:rsid w:val="009127D3"/>
    <w:rsid w:val="00913EEF"/>
    <w:rsid w:val="00915672"/>
    <w:rsid w:val="00915BD7"/>
    <w:rsid w:val="00916719"/>
    <w:rsid w:val="0091683F"/>
    <w:rsid w:val="00917229"/>
    <w:rsid w:val="00917B8D"/>
    <w:rsid w:val="00920248"/>
    <w:rsid w:val="00920388"/>
    <w:rsid w:val="00920AC7"/>
    <w:rsid w:val="00921B95"/>
    <w:rsid w:val="009227CC"/>
    <w:rsid w:val="00923A6A"/>
    <w:rsid w:val="00925ECF"/>
    <w:rsid w:val="00926996"/>
    <w:rsid w:val="00927680"/>
    <w:rsid w:val="00927AF0"/>
    <w:rsid w:val="009309D4"/>
    <w:rsid w:val="00930D3B"/>
    <w:rsid w:val="00931099"/>
    <w:rsid w:val="009310E1"/>
    <w:rsid w:val="0093116C"/>
    <w:rsid w:val="009311A8"/>
    <w:rsid w:val="00931C6C"/>
    <w:rsid w:val="009323AB"/>
    <w:rsid w:val="0093270C"/>
    <w:rsid w:val="009336C0"/>
    <w:rsid w:val="00934E19"/>
    <w:rsid w:val="00935140"/>
    <w:rsid w:val="0093695D"/>
    <w:rsid w:val="009373BC"/>
    <w:rsid w:val="009374FD"/>
    <w:rsid w:val="00937AAB"/>
    <w:rsid w:val="009410B2"/>
    <w:rsid w:val="009416C1"/>
    <w:rsid w:val="00941CC4"/>
    <w:rsid w:val="00942EAC"/>
    <w:rsid w:val="00943736"/>
    <w:rsid w:val="0094373F"/>
    <w:rsid w:val="009437BA"/>
    <w:rsid w:val="0094397D"/>
    <w:rsid w:val="00945726"/>
    <w:rsid w:val="009466DA"/>
    <w:rsid w:val="00950B7A"/>
    <w:rsid w:val="00952629"/>
    <w:rsid w:val="00952B67"/>
    <w:rsid w:val="009538AB"/>
    <w:rsid w:val="00955594"/>
    <w:rsid w:val="00956296"/>
    <w:rsid w:val="00956679"/>
    <w:rsid w:val="009566AF"/>
    <w:rsid w:val="00956940"/>
    <w:rsid w:val="009606D7"/>
    <w:rsid w:val="009610CD"/>
    <w:rsid w:val="00961148"/>
    <w:rsid w:val="0096399F"/>
    <w:rsid w:val="00964397"/>
    <w:rsid w:val="009673FB"/>
    <w:rsid w:val="00967BA0"/>
    <w:rsid w:val="0097008C"/>
    <w:rsid w:val="009705BA"/>
    <w:rsid w:val="00970D55"/>
    <w:rsid w:val="0097140D"/>
    <w:rsid w:val="00971A03"/>
    <w:rsid w:val="009721B6"/>
    <w:rsid w:val="0097356C"/>
    <w:rsid w:val="009742F5"/>
    <w:rsid w:val="00974BEC"/>
    <w:rsid w:val="0097545C"/>
    <w:rsid w:val="00976322"/>
    <w:rsid w:val="00976760"/>
    <w:rsid w:val="00976A72"/>
    <w:rsid w:val="00976E6D"/>
    <w:rsid w:val="00977DD1"/>
    <w:rsid w:val="00980A64"/>
    <w:rsid w:val="00980B53"/>
    <w:rsid w:val="00981658"/>
    <w:rsid w:val="00982AD8"/>
    <w:rsid w:val="00984477"/>
    <w:rsid w:val="00985261"/>
    <w:rsid w:val="00985AB7"/>
    <w:rsid w:val="00986DE5"/>
    <w:rsid w:val="00987CED"/>
    <w:rsid w:val="009906ED"/>
    <w:rsid w:val="009908D3"/>
    <w:rsid w:val="0099185A"/>
    <w:rsid w:val="00993BF8"/>
    <w:rsid w:val="00993E62"/>
    <w:rsid w:val="009946E5"/>
    <w:rsid w:val="009950E4"/>
    <w:rsid w:val="00995217"/>
    <w:rsid w:val="00995B33"/>
    <w:rsid w:val="00996592"/>
    <w:rsid w:val="009972BD"/>
    <w:rsid w:val="009A1320"/>
    <w:rsid w:val="009A2D2E"/>
    <w:rsid w:val="009A3AA4"/>
    <w:rsid w:val="009A4F65"/>
    <w:rsid w:val="009A619C"/>
    <w:rsid w:val="009A76CB"/>
    <w:rsid w:val="009A7ABA"/>
    <w:rsid w:val="009B132D"/>
    <w:rsid w:val="009B2E64"/>
    <w:rsid w:val="009B3965"/>
    <w:rsid w:val="009B3BE2"/>
    <w:rsid w:val="009B5A8E"/>
    <w:rsid w:val="009B5CF2"/>
    <w:rsid w:val="009B60AD"/>
    <w:rsid w:val="009B682F"/>
    <w:rsid w:val="009B706C"/>
    <w:rsid w:val="009C0274"/>
    <w:rsid w:val="009C0B94"/>
    <w:rsid w:val="009C0C21"/>
    <w:rsid w:val="009C146D"/>
    <w:rsid w:val="009C2166"/>
    <w:rsid w:val="009C23AC"/>
    <w:rsid w:val="009C2B17"/>
    <w:rsid w:val="009C31FE"/>
    <w:rsid w:val="009C365A"/>
    <w:rsid w:val="009C48FD"/>
    <w:rsid w:val="009C4A00"/>
    <w:rsid w:val="009C4EFE"/>
    <w:rsid w:val="009C700D"/>
    <w:rsid w:val="009C7156"/>
    <w:rsid w:val="009C79FC"/>
    <w:rsid w:val="009D117E"/>
    <w:rsid w:val="009D131A"/>
    <w:rsid w:val="009D2B27"/>
    <w:rsid w:val="009D4240"/>
    <w:rsid w:val="009D4507"/>
    <w:rsid w:val="009D5B92"/>
    <w:rsid w:val="009D6453"/>
    <w:rsid w:val="009D6871"/>
    <w:rsid w:val="009D7614"/>
    <w:rsid w:val="009D7A5D"/>
    <w:rsid w:val="009D7BCE"/>
    <w:rsid w:val="009E1517"/>
    <w:rsid w:val="009E3362"/>
    <w:rsid w:val="009E3C5B"/>
    <w:rsid w:val="009E4019"/>
    <w:rsid w:val="009E40AA"/>
    <w:rsid w:val="009E42B3"/>
    <w:rsid w:val="009E5000"/>
    <w:rsid w:val="009E536E"/>
    <w:rsid w:val="009E57DC"/>
    <w:rsid w:val="009E6861"/>
    <w:rsid w:val="009E6EA8"/>
    <w:rsid w:val="009E7723"/>
    <w:rsid w:val="009F139A"/>
    <w:rsid w:val="009F368F"/>
    <w:rsid w:val="009F4117"/>
    <w:rsid w:val="009F69CB"/>
    <w:rsid w:val="009F7B3B"/>
    <w:rsid w:val="009F7ED4"/>
    <w:rsid w:val="00A010BF"/>
    <w:rsid w:val="00A0162C"/>
    <w:rsid w:val="00A028B0"/>
    <w:rsid w:val="00A02985"/>
    <w:rsid w:val="00A02ABB"/>
    <w:rsid w:val="00A05DEA"/>
    <w:rsid w:val="00A05DFE"/>
    <w:rsid w:val="00A0615F"/>
    <w:rsid w:val="00A06793"/>
    <w:rsid w:val="00A10FFA"/>
    <w:rsid w:val="00A11B37"/>
    <w:rsid w:val="00A120A6"/>
    <w:rsid w:val="00A13B8C"/>
    <w:rsid w:val="00A14541"/>
    <w:rsid w:val="00A15A00"/>
    <w:rsid w:val="00A1772C"/>
    <w:rsid w:val="00A20841"/>
    <w:rsid w:val="00A20AA7"/>
    <w:rsid w:val="00A21D59"/>
    <w:rsid w:val="00A22A51"/>
    <w:rsid w:val="00A22F4F"/>
    <w:rsid w:val="00A23785"/>
    <w:rsid w:val="00A2465D"/>
    <w:rsid w:val="00A24706"/>
    <w:rsid w:val="00A27848"/>
    <w:rsid w:val="00A30955"/>
    <w:rsid w:val="00A31086"/>
    <w:rsid w:val="00A3186A"/>
    <w:rsid w:val="00A3239E"/>
    <w:rsid w:val="00A335C6"/>
    <w:rsid w:val="00A33DCF"/>
    <w:rsid w:val="00A34BB8"/>
    <w:rsid w:val="00A34F80"/>
    <w:rsid w:val="00A363F8"/>
    <w:rsid w:val="00A36BF3"/>
    <w:rsid w:val="00A36F1C"/>
    <w:rsid w:val="00A37259"/>
    <w:rsid w:val="00A37702"/>
    <w:rsid w:val="00A40BD4"/>
    <w:rsid w:val="00A40D72"/>
    <w:rsid w:val="00A41194"/>
    <w:rsid w:val="00A41E7C"/>
    <w:rsid w:val="00A42022"/>
    <w:rsid w:val="00A42220"/>
    <w:rsid w:val="00A43240"/>
    <w:rsid w:val="00A455FB"/>
    <w:rsid w:val="00A458DC"/>
    <w:rsid w:val="00A46CD8"/>
    <w:rsid w:val="00A46ED6"/>
    <w:rsid w:val="00A47F42"/>
    <w:rsid w:val="00A50D04"/>
    <w:rsid w:val="00A52814"/>
    <w:rsid w:val="00A54585"/>
    <w:rsid w:val="00A54CF0"/>
    <w:rsid w:val="00A55EA9"/>
    <w:rsid w:val="00A56503"/>
    <w:rsid w:val="00A56768"/>
    <w:rsid w:val="00A56855"/>
    <w:rsid w:val="00A56B79"/>
    <w:rsid w:val="00A61E94"/>
    <w:rsid w:val="00A62D88"/>
    <w:rsid w:val="00A6355C"/>
    <w:rsid w:val="00A63DF3"/>
    <w:rsid w:val="00A70D22"/>
    <w:rsid w:val="00A713EF"/>
    <w:rsid w:val="00A7201E"/>
    <w:rsid w:val="00A73603"/>
    <w:rsid w:val="00A73701"/>
    <w:rsid w:val="00A738DE"/>
    <w:rsid w:val="00A74FC3"/>
    <w:rsid w:val="00A759D5"/>
    <w:rsid w:val="00A75DE9"/>
    <w:rsid w:val="00A75EB1"/>
    <w:rsid w:val="00A76F85"/>
    <w:rsid w:val="00A804D5"/>
    <w:rsid w:val="00A817EC"/>
    <w:rsid w:val="00A82025"/>
    <w:rsid w:val="00A8301E"/>
    <w:rsid w:val="00A84E18"/>
    <w:rsid w:val="00A85DF9"/>
    <w:rsid w:val="00A8699A"/>
    <w:rsid w:val="00A87F52"/>
    <w:rsid w:val="00A90415"/>
    <w:rsid w:val="00A90AB9"/>
    <w:rsid w:val="00A9148F"/>
    <w:rsid w:val="00A93A35"/>
    <w:rsid w:val="00A93E13"/>
    <w:rsid w:val="00A95369"/>
    <w:rsid w:val="00A9589D"/>
    <w:rsid w:val="00A95A20"/>
    <w:rsid w:val="00A96CAE"/>
    <w:rsid w:val="00A97BB3"/>
    <w:rsid w:val="00AA0343"/>
    <w:rsid w:val="00AA0D43"/>
    <w:rsid w:val="00AA4208"/>
    <w:rsid w:val="00AA489F"/>
    <w:rsid w:val="00AA6628"/>
    <w:rsid w:val="00AA697D"/>
    <w:rsid w:val="00AA6A1D"/>
    <w:rsid w:val="00AA7317"/>
    <w:rsid w:val="00AB11D8"/>
    <w:rsid w:val="00AB1E30"/>
    <w:rsid w:val="00AB20DD"/>
    <w:rsid w:val="00AB2385"/>
    <w:rsid w:val="00AB39DF"/>
    <w:rsid w:val="00AB498B"/>
    <w:rsid w:val="00AB4EFE"/>
    <w:rsid w:val="00AB5440"/>
    <w:rsid w:val="00AB5AF6"/>
    <w:rsid w:val="00AB5FED"/>
    <w:rsid w:val="00AB7861"/>
    <w:rsid w:val="00AB7B84"/>
    <w:rsid w:val="00AC1EA1"/>
    <w:rsid w:val="00AC2172"/>
    <w:rsid w:val="00AC2A1F"/>
    <w:rsid w:val="00AC3191"/>
    <w:rsid w:val="00AC35BC"/>
    <w:rsid w:val="00AC3702"/>
    <w:rsid w:val="00AC3963"/>
    <w:rsid w:val="00AC3FC1"/>
    <w:rsid w:val="00AC40F3"/>
    <w:rsid w:val="00AC4327"/>
    <w:rsid w:val="00AC4843"/>
    <w:rsid w:val="00AC5AF2"/>
    <w:rsid w:val="00AC5F6E"/>
    <w:rsid w:val="00AC6760"/>
    <w:rsid w:val="00AC7147"/>
    <w:rsid w:val="00AD20B4"/>
    <w:rsid w:val="00AD3232"/>
    <w:rsid w:val="00AD48E1"/>
    <w:rsid w:val="00AD69FA"/>
    <w:rsid w:val="00AE0853"/>
    <w:rsid w:val="00AE1620"/>
    <w:rsid w:val="00AE2304"/>
    <w:rsid w:val="00AE2A75"/>
    <w:rsid w:val="00AE3421"/>
    <w:rsid w:val="00AE4788"/>
    <w:rsid w:val="00AE6A9E"/>
    <w:rsid w:val="00AE6BB8"/>
    <w:rsid w:val="00AE7693"/>
    <w:rsid w:val="00AE7BDB"/>
    <w:rsid w:val="00AF011E"/>
    <w:rsid w:val="00AF02AA"/>
    <w:rsid w:val="00AF0DE0"/>
    <w:rsid w:val="00AF2358"/>
    <w:rsid w:val="00AF3D73"/>
    <w:rsid w:val="00AF4644"/>
    <w:rsid w:val="00AF4DCE"/>
    <w:rsid w:val="00AF6E38"/>
    <w:rsid w:val="00AF75E5"/>
    <w:rsid w:val="00B0179B"/>
    <w:rsid w:val="00B03EC1"/>
    <w:rsid w:val="00B04309"/>
    <w:rsid w:val="00B048DF"/>
    <w:rsid w:val="00B06642"/>
    <w:rsid w:val="00B069D8"/>
    <w:rsid w:val="00B073AD"/>
    <w:rsid w:val="00B109BB"/>
    <w:rsid w:val="00B11713"/>
    <w:rsid w:val="00B125E8"/>
    <w:rsid w:val="00B130C7"/>
    <w:rsid w:val="00B14366"/>
    <w:rsid w:val="00B170D8"/>
    <w:rsid w:val="00B21356"/>
    <w:rsid w:val="00B218EF"/>
    <w:rsid w:val="00B229DE"/>
    <w:rsid w:val="00B22DC3"/>
    <w:rsid w:val="00B23159"/>
    <w:rsid w:val="00B23CEC"/>
    <w:rsid w:val="00B2437E"/>
    <w:rsid w:val="00B243EA"/>
    <w:rsid w:val="00B24522"/>
    <w:rsid w:val="00B247BE"/>
    <w:rsid w:val="00B255DF"/>
    <w:rsid w:val="00B25BCB"/>
    <w:rsid w:val="00B25E01"/>
    <w:rsid w:val="00B27699"/>
    <w:rsid w:val="00B27A07"/>
    <w:rsid w:val="00B303F8"/>
    <w:rsid w:val="00B30699"/>
    <w:rsid w:val="00B30B06"/>
    <w:rsid w:val="00B30F35"/>
    <w:rsid w:val="00B31406"/>
    <w:rsid w:val="00B31C81"/>
    <w:rsid w:val="00B33059"/>
    <w:rsid w:val="00B3370A"/>
    <w:rsid w:val="00B35252"/>
    <w:rsid w:val="00B35A51"/>
    <w:rsid w:val="00B42708"/>
    <w:rsid w:val="00B42E5E"/>
    <w:rsid w:val="00B42E8F"/>
    <w:rsid w:val="00B432AF"/>
    <w:rsid w:val="00B44D59"/>
    <w:rsid w:val="00B46E42"/>
    <w:rsid w:val="00B4795D"/>
    <w:rsid w:val="00B4798C"/>
    <w:rsid w:val="00B5029E"/>
    <w:rsid w:val="00B52657"/>
    <w:rsid w:val="00B52982"/>
    <w:rsid w:val="00B52D9F"/>
    <w:rsid w:val="00B540B4"/>
    <w:rsid w:val="00B54D22"/>
    <w:rsid w:val="00B56E57"/>
    <w:rsid w:val="00B57857"/>
    <w:rsid w:val="00B6250C"/>
    <w:rsid w:val="00B62748"/>
    <w:rsid w:val="00B63021"/>
    <w:rsid w:val="00B6407F"/>
    <w:rsid w:val="00B640DB"/>
    <w:rsid w:val="00B654D6"/>
    <w:rsid w:val="00B65952"/>
    <w:rsid w:val="00B67933"/>
    <w:rsid w:val="00B67EF7"/>
    <w:rsid w:val="00B67FC8"/>
    <w:rsid w:val="00B70CCB"/>
    <w:rsid w:val="00B71C1A"/>
    <w:rsid w:val="00B73520"/>
    <w:rsid w:val="00B761A7"/>
    <w:rsid w:val="00B762BD"/>
    <w:rsid w:val="00B764EC"/>
    <w:rsid w:val="00B76930"/>
    <w:rsid w:val="00B76A72"/>
    <w:rsid w:val="00B77870"/>
    <w:rsid w:val="00B804F2"/>
    <w:rsid w:val="00B82513"/>
    <w:rsid w:val="00B83098"/>
    <w:rsid w:val="00B8309D"/>
    <w:rsid w:val="00B83A7B"/>
    <w:rsid w:val="00B86AE5"/>
    <w:rsid w:val="00B87757"/>
    <w:rsid w:val="00B878B8"/>
    <w:rsid w:val="00B87B5F"/>
    <w:rsid w:val="00B90218"/>
    <w:rsid w:val="00B90348"/>
    <w:rsid w:val="00B9037E"/>
    <w:rsid w:val="00B90F10"/>
    <w:rsid w:val="00B91E9A"/>
    <w:rsid w:val="00B93E65"/>
    <w:rsid w:val="00B94EB7"/>
    <w:rsid w:val="00B953E2"/>
    <w:rsid w:val="00B95A0B"/>
    <w:rsid w:val="00B962C9"/>
    <w:rsid w:val="00B96C7B"/>
    <w:rsid w:val="00B97F65"/>
    <w:rsid w:val="00BA1200"/>
    <w:rsid w:val="00BA19C1"/>
    <w:rsid w:val="00BA45E1"/>
    <w:rsid w:val="00BA4776"/>
    <w:rsid w:val="00BA4E9C"/>
    <w:rsid w:val="00BA6737"/>
    <w:rsid w:val="00BA7824"/>
    <w:rsid w:val="00BB0134"/>
    <w:rsid w:val="00BB060C"/>
    <w:rsid w:val="00BB09E4"/>
    <w:rsid w:val="00BB1A9F"/>
    <w:rsid w:val="00BB2060"/>
    <w:rsid w:val="00BB26C8"/>
    <w:rsid w:val="00BB2C21"/>
    <w:rsid w:val="00BB47BC"/>
    <w:rsid w:val="00BB4BC2"/>
    <w:rsid w:val="00BB4F86"/>
    <w:rsid w:val="00BB59FB"/>
    <w:rsid w:val="00BB6640"/>
    <w:rsid w:val="00BB6F23"/>
    <w:rsid w:val="00BC0025"/>
    <w:rsid w:val="00BC0BBF"/>
    <w:rsid w:val="00BC2E8B"/>
    <w:rsid w:val="00BC3636"/>
    <w:rsid w:val="00BC77DE"/>
    <w:rsid w:val="00BD1AF3"/>
    <w:rsid w:val="00BD26FC"/>
    <w:rsid w:val="00BD4911"/>
    <w:rsid w:val="00BD5450"/>
    <w:rsid w:val="00BD54A2"/>
    <w:rsid w:val="00BD72DB"/>
    <w:rsid w:val="00BE06D6"/>
    <w:rsid w:val="00BE0755"/>
    <w:rsid w:val="00BE3327"/>
    <w:rsid w:val="00BE38D0"/>
    <w:rsid w:val="00BE53CF"/>
    <w:rsid w:val="00BE5EDA"/>
    <w:rsid w:val="00BE739A"/>
    <w:rsid w:val="00BE795C"/>
    <w:rsid w:val="00BE7EC2"/>
    <w:rsid w:val="00BF01B3"/>
    <w:rsid w:val="00BF01CB"/>
    <w:rsid w:val="00BF020B"/>
    <w:rsid w:val="00BF03D3"/>
    <w:rsid w:val="00BF1C02"/>
    <w:rsid w:val="00BF3914"/>
    <w:rsid w:val="00BF42F4"/>
    <w:rsid w:val="00BF45F4"/>
    <w:rsid w:val="00BF4E89"/>
    <w:rsid w:val="00BF541D"/>
    <w:rsid w:val="00BF5831"/>
    <w:rsid w:val="00C00009"/>
    <w:rsid w:val="00C001FB"/>
    <w:rsid w:val="00C00C22"/>
    <w:rsid w:val="00C01717"/>
    <w:rsid w:val="00C0280E"/>
    <w:rsid w:val="00C02ADB"/>
    <w:rsid w:val="00C02C28"/>
    <w:rsid w:val="00C032D9"/>
    <w:rsid w:val="00C034F3"/>
    <w:rsid w:val="00C036EC"/>
    <w:rsid w:val="00C046F5"/>
    <w:rsid w:val="00C049F6"/>
    <w:rsid w:val="00C04EC3"/>
    <w:rsid w:val="00C05218"/>
    <w:rsid w:val="00C065B3"/>
    <w:rsid w:val="00C06DEA"/>
    <w:rsid w:val="00C07380"/>
    <w:rsid w:val="00C10A58"/>
    <w:rsid w:val="00C1228B"/>
    <w:rsid w:val="00C124F3"/>
    <w:rsid w:val="00C12845"/>
    <w:rsid w:val="00C13EB8"/>
    <w:rsid w:val="00C15C58"/>
    <w:rsid w:val="00C165CF"/>
    <w:rsid w:val="00C16E85"/>
    <w:rsid w:val="00C1731E"/>
    <w:rsid w:val="00C2022A"/>
    <w:rsid w:val="00C20668"/>
    <w:rsid w:val="00C21CA2"/>
    <w:rsid w:val="00C21D31"/>
    <w:rsid w:val="00C23BC0"/>
    <w:rsid w:val="00C242D4"/>
    <w:rsid w:val="00C24E9A"/>
    <w:rsid w:val="00C26ADE"/>
    <w:rsid w:val="00C31439"/>
    <w:rsid w:val="00C31B62"/>
    <w:rsid w:val="00C31FDC"/>
    <w:rsid w:val="00C3495A"/>
    <w:rsid w:val="00C357A9"/>
    <w:rsid w:val="00C36857"/>
    <w:rsid w:val="00C40424"/>
    <w:rsid w:val="00C41D3B"/>
    <w:rsid w:val="00C41E46"/>
    <w:rsid w:val="00C43486"/>
    <w:rsid w:val="00C4425A"/>
    <w:rsid w:val="00C44C66"/>
    <w:rsid w:val="00C4545C"/>
    <w:rsid w:val="00C45758"/>
    <w:rsid w:val="00C46F81"/>
    <w:rsid w:val="00C47B9A"/>
    <w:rsid w:val="00C502B6"/>
    <w:rsid w:val="00C506A8"/>
    <w:rsid w:val="00C51B4E"/>
    <w:rsid w:val="00C522AF"/>
    <w:rsid w:val="00C531F5"/>
    <w:rsid w:val="00C53523"/>
    <w:rsid w:val="00C551CF"/>
    <w:rsid w:val="00C55920"/>
    <w:rsid w:val="00C5628E"/>
    <w:rsid w:val="00C56BC3"/>
    <w:rsid w:val="00C57A5A"/>
    <w:rsid w:val="00C6091F"/>
    <w:rsid w:val="00C619A9"/>
    <w:rsid w:val="00C61F35"/>
    <w:rsid w:val="00C623D3"/>
    <w:rsid w:val="00C63C5A"/>
    <w:rsid w:val="00C645D7"/>
    <w:rsid w:val="00C65D7B"/>
    <w:rsid w:val="00C70511"/>
    <w:rsid w:val="00C70816"/>
    <w:rsid w:val="00C70EEB"/>
    <w:rsid w:val="00C7197F"/>
    <w:rsid w:val="00C7201B"/>
    <w:rsid w:val="00C72922"/>
    <w:rsid w:val="00C73974"/>
    <w:rsid w:val="00C73E5D"/>
    <w:rsid w:val="00C74F66"/>
    <w:rsid w:val="00C75AE9"/>
    <w:rsid w:val="00C7624C"/>
    <w:rsid w:val="00C76DAC"/>
    <w:rsid w:val="00C81E8D"/>
    <w:rsid w:val="00C81F05"/>
    <w:rsid w:val="00C821C5"/>
    <w:rsid w:val="00C82406"/>
    <w:rsid w:val="00C8370E"/>
    <w:rsid w:val="00C83AEC"/>
    <w:rsid w:val="00C83ED9"/>
    <w:rsid w:val="00C84E88"/>
    <w:rsid w:val="00C852D9"/>
    <w:rsid w:val="00C85668"/>
    <w:rsid w:val="00C8572D"/>
    <w:rsid w:val="00C85937"/>
    <w:rsid w:val="00C86A20"/>
    <w:rsid w:val="00C86A28"/>
    <w:rsid w:val="00C87089"/>
    <w:rsid w:val="00C87350"/>
    <w:rsid w:val="00C8745A"/>
    <w:rsid w:val="00C911BC"/>
    <w:rsid w:val="00C91E3B"/>
    <w:rsid w:val="00C92426"/>
    <w:rsid w:val="00C92B6D"/>
    <w:rsid w:val="00C93081"/>
    <w:rsid w:val="00C9444A"/>
    <w:rsid w:val="00C95820"/>
    <w:rsid w:val="00C95FFA"/>
    <w:rsid w:val="00C962A9"/>
    <w:rsid w:val="00C96DC7"/>
    <w:rsid w:val="00CA071E"/>
    <w:rsid w:val="00CA161A"/>
    <w:rsid w:val="00CA478C"/>
    <w:rsid w:val="00CA4E9C"/>
    <w:rsid w:val="00CA6FC1"/>
    <w:rsid w:val="00CA791B"/>
    <w:rsid w:val="00CB0243"/>
    <w:rsid w:val="00CB0CD7"/>
    <w:rsid w:val="00CB2693"/>
    <w:rsid w:val="00CB44ED"/>
    <w:rsid w:val="00CB53FC"/>
    <w:rsid w:val="00CB68D7"/>
    <w:rsid w:val="00CB6F47"/>
    <w:rsid w:val="00CB7175"/>
    <w:rsid w:val="00CB75FC"/>
    <w:rsid w:val="00CB7893"/>
    <w:rsid w:val="00CC0597"/>
    <w:rsid w:val="00CC1B1C"/>
    <w:rsid w:val="00CC2A68"/>
    <w:rsid w:val="00CC589C"/>
    <w:rsid w:val="00CC6065"/>
    <w:rsid w:val="00CC67E2"/>
    <w:rsid w:val="00CD0325"/>
    <w:rsid w:val="00CD17BC"/>
    <w:rsid w:val="00CD2831"/>
    <w:rsid w:val="00CD3F6D"/>
    <w:rsid w:val="00CD47AD"/>
    <w:rsid w:val="00CD5687"/>
    <w:rsid w:val="00CD5993"/>
    <w:rsid w:val="00CD6170"/>
    <w:rsid w:val="00CD63FB"/>
    <w:rsid w:val="00CE00B9"/>
    <w:rsid w:val="00CE1262"/>
    <w:rsid w:val="00CE1BC3"/>
    <w:rsid w:val="00CE260C"/>
    <w:rsid w:val="00CE4501"/>
    <w:rsid w:val="00CE6A2C"/>
    <w:rsid w:val="00CE6C41"/>
    <w:rsid w:val="00CE7109"/>
    <w:rsid w:val="00CE7767"/>
    <w:rsid w:val="00CF037F"/>
    <w:rsid w:val="00CF0C61"/>
    <w:rsid w:val="00CF0DD9"/>
    <w:rsid w:val="00CF1142"/>
    <w:rsid w:val="00CF3AD8"/>
    <w:rsid w:val="00CF40B7"/>
    <w:rsid w:val="00CF440E"/>
    <w:rsid w:val="00CF4894"/>
    <w:rsid w:val="00CF55D7"/>
    <w:rsid w:val="00CF63D7"/>
    <w:rsid w:val="00CF6A3E"/>
    <w:rsid w:val="00CF6B37"/>
    <w:rsid w:val="00CF7BA6"/>
    <w:rsid w:val="00D00EE0"/>
    <w:rsid w:val="00D01E2F"/>
    <w:rsid w:val="00D0375D"/>
    <w:rsid w:val="00D03E0A"/>
    <w:rsid w:val="00D0422A"/>
    <w:rsid w:val="00D04E54"/>
    <w:rsid w:val="00D050C2"/>
    <w:rsid w:val="00D0540E"/>
    <w:rsid w:val="00D05CCC"/>
    <w:rsid w:val="00D07ADE"/>
    <w:rsid w:val="00D11C0F"/>
    <w:rsid w:val="00D11DA7"/>
    <w:rsid w:val="00D14D6D"/>
    <w:rsid w:val="00D15C7A"/>
    <w:rsid w:val="00D16FBF"/>
    <w:rsid w:val="00D20EB5"/>
    <w:rsid w:val="00D217EB"/>
    <w:rsid w:val="00D21AFD"/>
    <w:rsid w:val="00D243A2"/>
    <w:rsid w:val="00D25F07"/>
    <w:rsid w:val="00D26191"/>
    <w:rsid w:val="00D2707C"/>
    <w:rsid w:val="00D27A5F"/>
    <w:rsid w:val="00D30C49"/>
    <w:rsid w:val="00D321C8"/>
    <w:rsid w:val="00D33067"/>
    <w:rsid w:val="00D351B6"/>
    <w:rsid w:val="00D375A3"/>
    <w:rsid w:val="00D37BFE"/>
    <w:rsid w:val="00D40E4E"/>
    <w:rsid w:val="00D42DF2"/>
    <w:rsid w:val="00D4400F"/>
    <w:rsid w:val="00D45823"/>
    <w:rsid w:val="00D45A7B"/>
    <w:rsid w:val="00D45B32"/>
    <w:rsid w:val="00D463B3"/>
    <w:rsid w:val="00D475DE"/>
    <w:rsid w:val="00D47B60"/>
    <w:rsid w:val="00D52B61"/>
    <w:rsid w:val="00D53983"/>
    <w:rsid w:val="00D56F95"/>
    <w:rsid w:val="00D60149"/>
    <w:rsid w:val="00D61CFF"/>
    <w:rsid w:val="00D64AF2"/>
    <w:rsid w:val="00D6530A"/>
    <w:rsid w:val="00D654BD"/>
    <w:rsid w:val="00D655B6"/>
    <w:rsid w:val="00D65ADC"/>
    <w:rsid w:val="00D65BD2"/>
    <w:rsid w:val="00D66C1F"/>
    <w:rsid w:val="00D67932"/>
    <w:rsid w:val="00D706BF"/>
    <w:rsid w:val="00D70A0B"/>
    <w:rsid w:val="00D723FD"/>
    <w:rsid w:val="00D72BD5"/>
    <w:rsid w:val="00D73CEF"/>
    <w:rsid w:val="00D73F3E"/>
    <w:rsid w:val="00D75257"/>
    <w:rsid w:val="00D752C4"/>
    <w:rsid w:val="00D76466"/>
    <w:rsid w:val="00D764EE"/>
    <w:rsid w:val="00D770EE"/>
    <w:rsid w:val="00D777BE"/>
    <w:rsid w:val="00D824AB"/>
    <w:rsid w:val="00D8278A"/>
    <w:rsid w:val="00D844B7"/>
    <w:rsid w:val="00D85CA9"/>
    <w:rsid w:val="00D87B12"/>
    <w:rsid w:val="00D87E2A"/>
    <w:rsid w:val="00D90215"/>
    <w:rsid w:val="00D916F2"/>
    <w:rsid w:val="00D94589"/>
    <w:rsid w:val="00D9481E"/>
    <w:rsid w:val="00D950DC"/>
    <w:rsid w:val="00D95C70"/>
    <w:rsid w:val="00D964F4"/>
    <w:rsid w:val="00D967BF"/>
    <w:rsid w:val="00D96EAF"/>
    <w:rsid w:val="00DA00F0"/>
    <w:rsid w:val="00DA064F"/>
    <w:rsid w:val="00DA0760"/>
    <w:rsid w:val="00DA0AB1"/>
    <w:rsid w:val="00DA1087"/>
    <w:rsid w:val="00DA1E9C"/>
    <w:rsid w:val="00DA275E"/>
    <w:rsid w:val="00DA2825"/>
    <w:rsid w:val="00DA283F"/>
    <w:rsid w:val="00DA2F3F"/>
    <w:rsid w:val="00DA4EE4"/>
    <w:rsid w:val="00DA5DA8"/>
    <w:rsid w:val="00DA6B98"/>
    <w:rsid w:val="00DB2FA2"/>
    <w:rsid w:val="00DB3DEC"/>
    <w:rsid w:val="00DB62B7"/>
    <w:rsid w:val="00DC0CEF"/>
    <w:rsid w:val="00DC11F7"/>
    <w:rsid w:val="00DC2040"/>
    <w:rsid w:val="00DC29F4"/>
    <w:rsid w:val="00DC2A1E"/>
    <w:rsid w:val="00DC2B65"/>
    <w:rsid w:val="00DC315A"/>
    <w:rsid w:val="00DC6D1C"/>
    <w:rsid w:val="00DC719E"/>
    <w:rsid w:val="00DC7FD0"/>
    <w:rsid w:val="00DD087C"/>
    <w:rsid w:val="00DD0A2D"/>
    <w:rsid w:val="00DD2356"/>
    <w:rsid w:val="00DD235E"/>
    <w:rsid w:val="00DD25EE"/>
    <w:rsid w:val="00DD4A93"/>
    <w:rsid w:val="00DD61E8"/>
    <w:rsid w:val="00DD6AA2"/>
    <w:rsid w:val="00DD79CC"/>
    <w:rsid w:val="00DE00A8"/>
    <w:rsid w:val="00DE181D"/>
    <w:rsid w:val="00DE2249"/>
    <w:rsid w:val="00DE22F6"/>
    <w:rsid w:val="00DE242C"/>
    <w:rsid w:val="00DE2C44"/>
    <w:rsid w:val="00DE346E"/>
    <w:rsid w:val="00DE35E3"/>
    <w:rsid w:val="00DE4EC9"/>
    <w:rsid w:val="00DE5ABB"/>
    <w:rsid w:val="00DE649E"/>
    <w:rsid w:val="00DE6AEF"/>
    <w:rsid w:val="00DE6DAA"/>
    <w:rsid w:val="00DE7283"/>
    <w:rsid w:val="00DE785A"/>
    <w:rsid w:val="00DF0005"/>
    <w:rsid w:val="00DF00A3"/>
    <w:rsid w:val="00DF1413"/>
    <w:rsid w:val="00DF1962"/>
    <w:rsid w:val="00DF4AD0"/>
    <w:rsid w:val="00DF5468"/>
    <w:rsid w:val="00DF6AA3"/>
    <w:rsid w:val="00DF75BF"/>
    <w:rsid w:val="00DF7632"/>
    <w:rsid w:val="00DF7B17"/>
    <w:rsid w:val="00E00E77"/>
    <w:rsid w:val="00E011D1"/>
    <w:rsid w:val="00E015F9"/>
    <w:rsid w:val="00E01B31"/>
    <w:rsid w:val="00E02AC2"/>
    <w:rsid w:val="00E030E0"/>
    <w:rsid w:val="00E03DBB"/>
    <w:rsid w:val="00E03F1F"/>
    <w:rsid w:val="00E04658"/>
    <w:rsid w:val="00E055C7"/>
    <w:rsid w:val="00E05783"/>
    <w:rsid w:val="00E05F7A"/>
    <w:rsid w:val="00E0626F"/>
    <w:rsid w:val="00E12590"/>
    <w:rsid w:val="00E157CE"/>
    <w:rsid w:val="00E20634"/>
    <w:rsid w:val="00E20B38"/>
    <w:rsid w:val="00E22BF1"/>
    <w:rsid w:val="00E2304E"/>
    <w:rsid w:val="00E23168"/>
    <w:rsid w:val="00E2392D"/>
    <w:rsid w:val="00E245A7"/>
    <w:rsid w:val="00E24A3E"/>
    <w:rsid w:val="00E24C0C"/>
    <w:rsid w:val="00E251E7"/>
    <w:rsid w:val="00E25E9A"/>
    <w:rsid w:val="00E261A4"/>
    <w:rsid w:val="00E2741B"/>
    <w:rsid w:val="00E3119E"/>
    <w:rsid w:val="00E3246C"/>
    <w:rsid w:val="00E33716"/>
    <w:rsid w:val="00E35077"/>
    <w:rsid w:val="00E3553A"/>
    <w:rsid w:val="00E366C2"/>
    <w:rsid w:val="00E36FFA"/>
    <w:rsid w:val="00E4104E"/>
    <w:rsid w:val="00E432C6"/>
    <w:rsid w:val="00E433C4"/>
    <w:rsid w:val="00E46EE8"/>
    <w:rsid w:val="00E47936"/>
    <w:rsid w:val="00E50677"/>
    <w:rsid w:val="00E50A18"/>
    <w:rsid w:val="00E51371"/>
    <w:rsid w:val="00E5166B"/>
    <w:rsid w:val="00E52119"/>
    <w:rsid w:val="00E52B72"/>
    <w:rsid w:val="00E53419"/>
    <w:rsid w:val="00E572FE"/>
    <w:rsid w:val="00E5786A"/>
    <w:rsid w:val="00E60F4D"/>
    <w:rsid w:val="00E611EE"/>
    <w:rsid w:val="00E629E4"/>
    <w:rsid w:val="00E6475A"/>
    <w:rsid w:val="00E6492A"/>
    <w:rsid w:val="00E64AFF"/>
    <w:rsid w:val="00E6547E"/>
    <w:rsid w:val="00E67298"/>
    <w:rsid w:val="00E673F1"/>
    <w:rsid w:val="00E677A9"/>
    <w:rsid w:val="00E70391"/>
    <w:rsid w:val="00E70443"/>
    <w:rsid w:val="00E70B7B"/>
    <w:rsid w:val="00E70D58"/>
    <w:rsid w:val="00E71913"/>
    <w:rsid w:val="00E72196"/>
    <w:rsid w:val="00E72C16"/>
    <w:rsid w:val="00E74559"/>
    <w:rsid w:val="00E7509B"/>
    <w:rsid w:val="00E80135"/>
    <w:rsid w:val="00E82478"/>
    <w:rsid w:val="00E8387E"/>
    <w:rsid w:val="00E842D7"/>
    <w:rsid w:val="00E84B5C"/>
    <w:rsid w:val="00E875F7"/>
    <w:rsid w:val="00E90A81"/>
    <w:rsid w:val="00E95659"/>
    <w:rsid w:val="00E963A9"/>
    <w:rsid w:val="00EA09AD"/>
    <w:rsid w:val="00EA0A1D"/>
    <w:rsid w:val="00EA1F0D"/>
    <w:rsid w:val="00EA2B10"/>
    <w:rsid w:val="00EA3B6A"/>
    <w:rsid w:val="00EA4C36"/>
    <w:rsid w:val="00EA4CFB"/>
    <w:rsid w:val="00EA559D"/>
    <w:rsid w:val="00EA5838"/>
    <w:rsid w:val="00EB1519"/>
    <w:rsid w:val="00EB18F8"/>
    <w:rsid w:val="00EB1D19"/>
    <w:rsid w:val="00EB2523"/>
    <w:rsid w:val="00EB44B4"/>
    <w:rsid w:val="00EB570F"/>
    <w:rsid w:val="00EB6E39"/>
    <w:rsid w:val="00EB75D5"/>
    <w:rsid w:val="00EB7C67"/>
    <w:rsid w:val="00EC1338"/>
    <w:rsid w:val="00EC3F8F"/>
    <w:rsid w:val="00EC4627"/>
    <w:rsid w:val="00EC5A00"/>
    <w:rsid w:val="00EC6A22"/>
    <w:rsid w:val="00EC6CFC"/>
    <w:rsid w:val="00EC7162"/>
    <w:rsid w:val="00EC7920"/>
    <w:rsid w:val="00EC7E7C"/>
    <w:rsid w:val="00ED0E45"/>
    <w:rsid w:val="00ED148A"/>
    <w:rsid w:val="00ED1B34"/>
    <w:rsid w:val="00ED454F"/>
    <w:rsid w:val="00ED67B5"/>
    <w:rsid w:val="00ED6D66"/>
    <w:rsid w:val="00ED74D0"/>
    <w:rsid w:val="00EE14B3"/>
    <w:rsid w:val="00EE14F7"/>
    <w:rsid w:val="00EE181A"/>
    <w:rsid w:val="00EE1D11"/>
    <w:rsid w:val="00EE1F13"/>
    <w:rsid w:val="00EE1F4C"/>
    <w:rsid w:val="00EE2F82"/>
    <w:rsid w:val="00EE3231"/>
    <w:rsid w:val="00EE3583"/>
    <w:rsid w:val="00EE401B"/>
    <w:rsid w:val="00EE56FC"/>
    <w:rsid w:val="00EE6682"/>
    <w:rsid w:val="00EF05B7"/>
    <w:rsid w:val="00EF069E"/>
    <w:rsid w:val="00EF0BE2"/>
    <w:rsid w:val="00EF2843"/>
    <w:rsid w:val="00EF3200"/>
    <w:rsid w:val="00EF34FA"/>
    <w:rsid w:val="00EF3C19"/>
    <w:rsid w:val="00EF6133"/>
    <w:rsid w:val="00EF77DF"/>
    <w:rsid w:val="00EF7B31"/>
    <w:rsid w:val="00EF7C60"/>
    <w:rsid w:val="00F0175A"/>
    <w:rsid w:val="00F020FC"/>
    <w:rsid w:val="00F0269A"/>
    <w:rsid w:val="00F03F92"/>
    <w:rsid w:val="00F047B0"/>
    <w:rsid w:val="00F04E5A"/>
    <w:rsid w:val="00F05231"/>
    <w:rsid w:val="00F05469"/>
    <w:rsid w:val="00F05F07"/>
    <w:rsid w:val="00F05F91"/>
    <w:rsid w:val="00F06D84"/>
    <w:rsid w:val="00F10324"/>
    <w:rsid w:val="00F129A0"/>
    <w:rsid w:val="00F140EE"/>
    <w:rsid w:val="00F14628"/>
    <w:rsid w:val="00F15295"/>
    <w:rsid w:val="00F1577D"/>
    <w:rsid w:val="00F15CA2"/>
    <w:rsid w:val="00F16669"/>
    <w:rsid w:val="00F1721D"/>
    <w:rsid w:val="00F17CA2"/>
    <w:rsid w:val="00F209B7"/>
    <w:rsid w:val="00F21ADA"/>
    <w:rsid w:val="00F21F0B"/>
    <w:rsid w:val="00F22FFC"/>
    <w:rsid w:val="00F234F5"/>
    <w:rsid w:val="00F23DA0"/>
    <w:rsid w:val="00F24AA5"/>
    <w:rsid w:val="00F24CDA"/>
    <w:rsid w:val="00F2591A"/>
    <w:rsid w:val="00F25B86"/>
    <w:rsid w:val="00F25BA6"/>
    <w:rsid w:val="00F26051"/>
    <w:rsid w:val="00F26710"/>
    <w:rsid w:val="00F27A6E"/>
    <w:rsid w:val="00F318E7"/>
    <w:rsid w:val="00F32F5F"/>
    <w:rsid w:val="00F331BF"/>
    <w:rsid w:val="00F33A32"/>
    <w:rsid w:val="00F33E64"/>
    <w:rsid w:val="00F33EEB"/>
    <w:rsid w:val="00F34F3E"/>
    <w:rsid w:val="00F362FE"/>
    <w:rsid w:val="00F369D0"/>
    <w:rsid w:val="00F4014A"/>
    <w:rsid w:val="00F43071"/>
    <w:rsid w:val="00F435DC"/>
    <w:rsid w:val="00F43953"/>
    <w:rsid w:val="00F43B68"/>
    <w:rsid w:val="00F44C56"/>
    <w:rsid w:val="00F45E06"/>
    <w:rsid w:val="00F460A3"/>
    <w:rsid w:val="00F46A63"/>
    <w:rsid w:val="00F47A6C"/>
    <w:rsid w:val="00F50DDA"/>
    <w:rsid w:val="00F53F8B"/>
    <w:rsid w:val="00F54927"/>
    <w:rsid w:val="00F56B1E"/>
    <w:rsid w:val="00F56C37"/>
    <w:rsid w:val="00F577AD"/>
    <w:rsid w:val="00F606F4"/>
    <w:rsid w:val="00F630E5"/>
    <w:rsid w:val="00F632D5"/>
    <w:rsid w:val="00F6357A"/>
    <w:rsid w:val="00F6774B"/>
    <w:rsid w:val="00F67FC2"/>
    <w:rsid w:val="00F72CE9"/>
    <w:rsid w:val="00F73513"/>
    <w:rsid w:val="00F737D3"/>
    <w:rsid w:val="00F73F79"/>
    <w:rsid w:val="00F7484A"/>
    <w:rsid w:val="00F74B65"/>
    <w:rsid w:val="00F7643D"/>
    <w:rsid w:val="00F76EF1"/>
    <w:rsid w:val="00F802B2"/>
    <w:rsid w:val="00F81833"/>
    <w:rsid w:val="00F83095"/>
    <w:rsid w:val="00F83BF6"/>
    <w:rsid w:val="00F841E9"/>
    <w:rsid w:val="00F86184"/>
    <w:rsid w:val="00F879AD"/>
    <w:rsid w:val="00F90393"/>
    <w:rsid w:val="00F9090C"/>
    <w:rsid w:val="00F90DC3"/>
    <w:rsid w:val="00F90E74"/>
    <w:rsid w:val="00F911EE"/>
    <w:rsid w:val="00F9208D"/>
    <w:rsid w:val="00F9344A"/>
    <w:rsid w:val="00F93683"/>
    <w:rsid w:val="00F93C17"/>
    <w:rsid w:val="00F9490B"/>
    <w:rsid w:val="00F95C97"/>
    <w:rsid w:val="00F970EA"/>
    <w:rsid w:val="00F97C83"/>
    <w:rsid w:val="00FA01A5"/>
    <w:rsid w:val="00FA1105"/>
    <w:rsid w:val="00FA167B"/>
    <w:rsid w:val="00FA2A20"/>
    <w:rsid w:val="00FA2AAD"/>
    <w:rsid w:val="00FA2DA5"/>
    <w:rsid w:val="00FA2E70"/>
    <w:rsid w:val="00FA326F"/>
    <w:rsid w:val="00FA5A06"/>
    <w:rsid w:val="00FA5CA7"/>
    <w:rsid w:val="00FA75CB"/>
    <w:rsid w:val="00FB1D02"/>
    <w:rsid w:val="00FB3EF4"/>
    <w:rsid w:val="00FB4490"/>
    <w:rsid w:val="00FB48E1"/>
    <w:rsid w:val="00FB5CF1"/>
    <w:rsid w:val="00FB6D31"/>
    <w:rsid w:val="00FC09EB"/>
    <w:rsid w:val="00FC1694"/>
    <w:rsid w:val="00FC1F7F"/>
    <w:rsid w:val="00FC38F4"/>
    <w:rsid w:val="00FC5896"/>
    <w:rsid w:val="00FC5D46"/>
    <w:rsid w:val="00FC5DDB"/>
    <w:rsid w:val="00FC642C"/>
    <w:rsid w:val="00FC703D"/>
    <w:rsid w:val="00FD05A0"/>
    <w:rsid w:val="00FD0676"/>
    <w:rsid w:val="00FD088D"/>
    <w:rsid w:val="00FD0C3C"/>
    <w:rsid w:val="00FD0E92"/>
    <w:rsid w:val="00FD2CBF"/>
    <w:rsid w:val="00FD3F57"/>
    <w:rsid w:val="00FD4238"/>
    <w:rsid w:val="00FD4A8D"/>
    <w:rsid w:val="00FD4F37"/>
    <w:rsid w:val="00FD712D"/>
    <w:rsid w:val="00FE078F"/>
    <w:rsid w:val="00FE10DC"/>
    <w:rsid w:val="00FE326A"/>
    <w:rsid w:val="00FE3F2D"/>
    <w:rsid w:val="00FE45F5"/>
    <w:rsid w:val="00FE51DA"/>
    <w:rsid w:val="00FE681D"/>
    <w:rsid w:val="00FF11D2"/>
    <w:rsid w:val="00FF272D"/>
    <w:rsid w:val="00FF28CD"/>
    <w:rsid w:val="00FF294F"/>
    <w:rsid w:val="00FF2DFB"/>
    <w:rsid w:val="00FF3302"/>
    <w:rsid w:val="00FF3D17"/>
    <w:rsid w:val="00FF4111"/>
    <w:rsid w:val="00FF4769"/>
    <w:rsid w:val="00FF501E"/>
    <w:rsid w:val="00FF58BC"/>
    <w:rsid w:val="00FF6746"/>
    <w:rsid w:val="00FF6927"/>
    <w:rsid w:val="00FF7193"/>
    <w:rsid w:val="00FF7E3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A35DBB"/>
  <w15:docId w15:val="{1D625E04-913B-43BB-945A-8C915325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sz w:val="24"/>
        <w:szCs w:val="24"/>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07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style>
  <w:style w:type="paragraph" w:styleId="Heading1">
    <w:name w:val="heading 1"/>
    <w:basedOn w:val="Normal"/>
    <w:next w:val="Normal"/>
    <w:link w:val="Heading1Char"/>
    <w:uiPriority w:val="9"/>
    <w:qFormat/>
    <w:rsid w:val="00BE5EDA"/>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E74B5" w:themeColor="accent1" w:themeShade="BF"/>
      <w:sz w:val="32"/>
      <w:szCs w:val="32"/>
      <w:bdr w:val="nil"/>
      <w:lang w:eastAsia="en-US"/>
    </w:rPr>
  </w:style>
  <w:style w:type="paragraph" w:styleId="Heading2">
    <w:name w:val="heading 2"/>
    <w:basedOn w:val="Normal"/>
    <w:next w:val="Normal"/>
    <w:link w:val="Heading2Char"/>
    <w:uiPriority w:val="9"/>
    <w:unhideWhenUsed/>
    <w:qFormat/>
    <w:rsid w:val="00BE5EDA"/>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2E74B5" w:themeColor="accent1" w:themeShade="BF"/>
      <w:sz w:val="26"/>
      <w:szCs w:val="26"/>
      <w:bdr w:val="nil"/>
      <w:lang w:eastAsia="en-US"/>
    </w:rPr>
  </w:style>
  <w:style w:type="paragraph" w:styleId="Heading3">
    <w:name w:val="heading 3"/>
    <w:next w:val="BodyA"/>
    <w:uiPriority w:val="9"/>
    <w:unhideWhenUsed/>
    <w:qFormat/>
    <w:pPr>
      <w:keepNext/>
      <w:pBdr>
        <w:top w:val="single" w:sz="4" w:space="0" w:color="515151"/>
      </w:pBdr>
      <w:spacing w:before="360" w:after="40" w:line="288" w:lineRule="auto"/>
      <w:outlineLvl w:val="2"/>
    </w:pPr>
    <w:rPr>
      <w:rFonts w:ascii="Helvetica Neue" w:hAnsi="Helvetica Neue" w:cs="Arial Unicode MS"/>
      <w:color w:val="000000"/>
      <w:spacing w:val="5"/>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513"/>
        <w:tab w:val="right" w:pos="9026"/>
      </w:tabs>
    </w:pPr>
    <w:rPr>
      <w:rFonts w:ascii="Calibri" w:eastAsia="Calibri" w:hAnsi="Calibri" w:cs="Calibri"/>
      <w:color w:val="000000"/>
      <w:sz w:val="22"/>
      <w:szCs w:val="22"/>
      <w:u w:color="000000"/>
      <w:lang w:val="en-US"/>
    </w:rPr>
  </w:style>
  <w:style w:type="paragraph" w:styleId="Footer">
    <w:name w:val="footer"/>
    <w:pPr>
      <w:tabs>
        <w:tab w:val="center" w:pos="4513"/>
        <w:tab w:val="right" w:pos="9026"/>
      </w:tabs>
    </w:pPr>
    <w:rPr>
      <w:rFonts w:ascii="Calibri" w:eastAsia="Calibri" w:hAnsi="Calibri" w:cs="Calibri"/>
      <w:color w:val="000000"/>
      <w:sz w:val="22"/>
      <w:szCs w:val="22"/>
      <w:u w:color="000000"/>
      <w:lang w:val="en-US"/>
    </w:rPr>
  </w:style>
  <w:style w:type="paragraph" w:customStyle="1" w:styleId="BodyA">
    <w:name w:val="Body A"/>
    <w:pPr>
      <w:spacing w:after="160" w:line="480" w:lineRule="auto"/>
      <w:ind w:firstLine="720"/>
      <w:jc w:val="both"/>
    </w:pPr>
    <w:rPr>
      <w:rFonts w:ascii="Calibri" w:eastAsia="Calibri" w:hAnsi="Calibri" w:cs="Calibri"/>
      <w:color w:val="000000"/>
      <w:sz w:val="22"/>
      <w:szCs w:val="22"/>
      <w:u w:color="000000"/>
      <w:lang w:val="de-DE"/>
    </w:rPr>
  </w:style>
  <w:style w:type="paragraph" w:styleId="TOCHeading">
    <w:name w:val="TOC Heading"/>
    <w:next w:val="BodyA"/>
    <w:pPr>
      <w:keepNext/>
      <w:keepLines/>
      <w:spacing w:before="240" w:line="259" w:lineRule="auto"/>
    </w:pPr>
    <w:rPr>
      <w:rFonts w:ascii="Calibri Light" w:eastAsia="Calibri Light" w:hAnsi="Calibri Light" w:cs="Calibri Light"/>
      <w:color w:val="2E74B5"/>
      <w:sz w:val="32"/>
      <w:szCs w:val="32"/>
      <w:u w:color="2E74B5"/>
      <w:lang w:val="en-US"/>
    </w:rPr>
  </w:style>
  <w:style w:type="paragraph" w:styleId="TOC1">
    <w:name w:val="toc 1"/>
    <w:next w:val="BodyA"/>
    <w:pPr>
      <w:spacing w:after="100" w:line="259" w:lineRule="auto"/>
    </w:pPr>
    <w:rPr>
      <w:rFonts w:cs="Arial Unicode MS"/>
      <w:color w:val="000000"/>
      <w:sz w:val="22"/>
      <w:szCs w:val="22"/>
      <w:u w:color="000000"/>
      <w:lang w:val="en-US"/>
    </w:rPr>
  </w:style>
  <w:style w:type="paragraph" w:styleId="TOC2">
    <w:name w:val="toc 2"/>
    <w:next w:val="BodyA"/>
    <w:uiPriority w:val="39"/>
    <w:pPr>
      <w:spacing w:after="100" w:line="259" w:lineRule="auto"/>
    </w:pPr>
    <w:rPr>
      <w:rFonts w:cs="Arial Unicode MS"/>
      <w:color w:val="000000"/>
      <w:sz w:val="22"/>
      <w:szCs w:val="22"/>
      <w:u w:color="000000"/>
      <w:lang w:val="en-US"/>
    </w:rPr>
  </w:style>
  <w:style w:type="paragraph" w:styleId="TOC3">
    <w:name w:val="toc 3"/>
    <w:next w:val="BodyA"/>
    <w:pPr>
      <w:spacing w:after="100" w:line="259" w:lineRule="auto"/>
    </w:pPr>
    <w:rPr>
      <w:rFonts w:cs="Arial Unicode MS"/>
      <w:color w:val="000000"/>
      <w:sz w:val="22"/>
      <w:szCs w:val="22"/>
      <w:u w:color="000000"/>
      <w:lang w:val="en-US"/>
    </w:rPr>
  </w:style>
  <w:style w:type="paragraph" w:customStyle="1" w:styleId="BodyB">
    <w:name w:val="Body B"/>
    <w:rPr>
      <w:rFonts w:cs="Arial Unicode MS"/>
      <w:color w:val="000000"/>
      <w:u w:color="000000"/>
      <w:lang w:val="en-US"/>
    </w:rPr>
  </w:style>
  <w:style w:type="numbering" w:customStyle="1" w:styleId="ImportedStyle1">
    <w:name w:val="Imported Style 1"/>
    <w:pPr>
      <w:numPr>
        <w:numId w:val="1"/>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2">
    <w:name w:val="Imported Style 2"/>
    <w:pPr>
      <w:numPr>
        <w:numId w:val="4"/>
      </w:numPr>
    </w:pPr>
  </w:style>
  <w:style w:type="paragraph" w:customStyle="1" w:styleId="Default">
    <w:name w:val="Default"/>
    <w:rPr>
      <w:rFonts w:ascii="Helvetica Neue" w:hAnsi="Helvetica Neue" w:cs="Arial Unicode MS"/>
      <w:color w:val="000000"/>
      <w:sz w:val="22"/>
      <w:szCs w:val="22"/>
      <w:u w:color="000000"/>
      <w:lang w:val="en-US"/>
    </w:rPr>
  </w:style>
  <w:style w:type="paragraph" w:styleId="Caption">
    <w:name w:val="caption"/>
    <w:next w:val="BodyA"/>
    <w:pPr>
      <w:spacing w:after="200"/>
    </w:pPr>
    <w:rPr>
      <w:rFonts w:ascii="Calibri" w:eastAsia="Calibri" w:hAnsi="Calibri" w:cs="Calibri"/>
      <w:i/>
      <w:iCs/>
      <w:color w:val="44546A"/>
      <w:sz w:val="18"/>
      <w:szCs w:val="18"/>
      <w:u w:color="44546A"/>
      <w:lang w:val="en-US"/>
    </w:rPr>
  </w:style>
  <w:style w:type="numbering" w:customStyle="1" w:styleId="Numbered">
    <w:name w:val="Numbered"/>
    <w:pPr>
      <w:numPr>
        <w:numId w:val="6"/>
      </w:numPr>
    </w:pPr>
  </w:style>
  <w:style w:type="character" w:customStyle="1" w:styleId="None">
    <w:name w:val="None"/>
  </w:style>
  <w:style w:type="character" w:customStyle="1" w:styleId="Hyperlink0">
    <w:name w:val="Hyperlink.0"/>
    <w:basedOn w:val="None"/>
    <w:rPr>
      <w:u w:val="single"/>
    </w:rPr>
  </w:style>
  <w:style w:type="paragraph" w:styleId="BalloonText">
    <w:name w:val="Balloon Text"/>
    <w:basedOn w:val="Normal"/>
    <w:link w:val="BalloonTextChar"/>
    <w:uiPriority w:val="99"/>
    <w:semiHidden/>
    <w:unhideWhenUsed/>
    <w:rsid w:val="00663CE2"/>
    <w:pPr>
      <w:pBdr>
        <w:top w:val="nil"/>
        <w:left w:val="nil"/>
        <w:bottom w:val="nil"/>
        <w:right w:val="nil"/>
        <w:between w:val="nil"/>
        <w:bar w:val="nil"/>
      </w:pBdr>
    </w:pPr>
    <w:rPr>
      <w:rFonts w:eastAsia="Arial Unicode MS"/>
      <w:sz w:val="18"/>
      <w:szCs w:val="18"/>
      <w:bdr w:val="nil"/>
      <w:lang w:eastAsia="en-US"/>
    </w:rPr>
  </w:style>
  <w:style w:type="character" w:customStyle="1" w:styleId="BalloonTextChar">
    <w:name w:val="Balloon Text Char"/>
    <w:basedOn w:val="DefaultParagraphFont"/>
    <w:link w:val="BalloonText"/>
    <w:uiPriority w:val="99"/>
    <w:semiHidden/>
    <w:rsid w:val="00663CE2"/>
    <w:rPr>
      <w:sz w:val="18"/>
      <w:szCs w:val="18"/>
      <w:lang w:val="en-US" w:eastAsia="en-US"/>
    </w:rPr>
  </w:style>
  <w:style w:type="character" w:styleId="CommentReference">
    <w:name w:val="annotation reference"/>
    <w:basedOn w:val="DefaultParagraphFont"/>
    <w:uiPriority w:val="99"/>
    <w:semiHidden/>
    <w:unhideWhenUsed/>
    <w:rsid w:val="006219AF"/>
    <w:rPr>
      <w:sz w:val="16"/>
      <w:szCs w:val="16"/>
    </w:rPr>
  </w:style>
  <w:style w:type="paragraph" w:styleId="CommentText">
    <w:name w:val="annotation text"/>
    <w:basedOn w:val="Normal"/>
    <w:link w:val="CommentTextChar"/>
    <w:uiPriority w:val="99"/>
    <w:unhideWhenUsed/>
    <w:rsid w:val="006219AF"/>
    <w:pPr>
      <w:pBdr>
        <w:top w:val="nil"/>
        <w:left w:val="nil"/>
        <w:bottom w:val="nil"/>
        <w:right w:val="nil"/>
        <w:between w:val="nil"/>
        <w:bar w:val="nil"/>
      </w:pBdr>
    </w:pPr>
    <w:rPr>
      <w:rFonts w:eastAsia="Arial Unicode MS"/>
      <w:sz w:val="20"/>
      <w:szCs w:val="20"/>
      <w:bdr w:val="nil"/>
      <w:lang w:eastAsia="en-US"/>
    </w:rPr>
  </w:style>
  <w:style w:type="character" w:customStyle="1" w:styleId="CommentTextChar">
    <w:name w:val="Comment Text Char"/>
    <w:basedOn w:val="DefaultParagraphFont"/>
    <w:link w:val="CommentText"/>
    <w:uiPriority w:val="99"/>
    <w:rsid w:val="006219AF"/>
    <w:rPr>
      <w:lang w:eastAsia="en-US"/>
    </w:rPr>
  </w:style>
  <w:style w:type="paragraph" w:styleId="CommentSubject">
    <w:name w:val="annotation subject"/>
    <w:basedOn w:val="CommentText"/>
    <w:next w:val="CommentText"/>
    <w:link w:val="CommentSubjectChar"/>
    <w:uiPriority w:val="99"/>
    <w:semiHidden/>
    <w:unhideWhenUsed/>
    <w:rsid w:val="006219AF"/>
    <w:rPr>
      <w:b/>
      <w:bCs/>
    </w:rPr>
  </w:style>
  <w:style w:type="character" w:customStyle="1" w:styleId="CommentSubjectChar">
    <w:name w:val="Comment Subject Char"/>
    <w:basedOn w:val="CommentTextChar"/>
    <w:link w:val="CommentSubject"/>
    <w:uiPriority w:val="99"/>
    <w:semiHidden/>
    <w:rsid w:val="006219AF"/>
    <w:rPr>
      <w:b/>
      <w:bCs/>
      <w:lang w:eastAsia="en-US"/>
    </w:rPr>
  </w:style>
  <w:style w:type="paragraph" w:styleId="Revision">
    <w:name w:val="Revision"/>
    <w:hidden/>
    <w:uiPriority w:val="99"/>
    <w:semiHidden/>
    <w:rsid w:val="00911B38"/>
    <w:pPr>
      <w:pBdr>
        <w:top w:val="none" w:sz="0" w:space="0" w:color="auto"/>
        <w:left w:val="none" w:sz="0" w:space="0" w:color="auto"/>
        <w:bottom w:val="none" w:sz="0" w:space="0" w:color="auto"/>
        <w:right w:val="none" w:sz="0" w:space="0" w:color="auto"/>
        <w:between w:val="none" w:sz="0" w:space="0" w:color="auto"/>
        <w:bar w:val="none" w:sz="0" w:color="auto"/>
      </w:pBdr>
    </w:pPr>
    <w:rPr>
      <w:lang w:eastAsia="en-US"/>
    </w:rPr>
  </w:style>
  <w:style w:type="character" w:customStyle="1" w:styleId="apple-converted-space">
    <w:name w:val="apple-converted-space"/>
    <w:basedOn w:val="DefaultParagraphFont"/>
    <w:rsid w:val="00A10FFA"/>
  </w:style>
  <w:style w:type="paragraph" w:customStyle="1" w:styleId="PhDNormal">
    <w:name w:val="PhD Normal"/>
    <w:link w:val="PhDNormalChar"/>
    <w:qFormat/>
    <w:rsid w:val="00BE5EDA"/>
    <w:pPr>
      <w:pBdr>
        <w:top w:val="none" w:sz="0" w:space="0" w:color="auto"/>
        <w:left w:val="none" w:sz="0" w:space="0" w:color="auto"/>
        <w:bottom w:val="none" w:sz="0" w:space="0" w:color="auto"/>
        <w:right w:val="none" w:sz="0" w:space="0" w:color="auto"/>
        <w:between w:val="none" w:sz="0" w:space="0" w:color="auto"/>
        <w:bar w:val="none" w:sz="0" w:color="auto"/>
      </w:pBdr>
      <w:spacing w:after="120" w:line="480" w:lineRule="auto"/>
      <w:ind w:firstLine="567"/>
      <w:jc w:val="both"/>
    </w:pPr>
    <w:rPr>
      <w:rFonts w:eastAsia="Times New Roman"/>
      <w:szCs w:val="22"/>
      <w:bdr w:val="none" w:sz="0" w:space="0" w:color="auto"/>
      <w:lang w:eastAsia="en-US"/>
    </w:rPr>
  </w:style>
  <w:style w:type="character" w:customStyle="1" w:styleId="PhDNormalChar">
    <w:name w:val="PhD Normal Char"/>
    <w:link w:val="PhDNormal"/>
    <w:locked/>
    <w:rsid w:val="00BE5EDA"/>
    <w:rPr>
      <w:rFonts w:eastAsia="Times New Roman"/>
      <w:sz w:val="24"/>
      <w:szCs w:val="22"/>
      <w:bdr w:val="none" w:sz="0" w:space="0" w:color="auto"/>
      <w:lang w:eastAsia="en-US"/>
    </w:rPr>
  </w:style>
  <w:style w:type="character" w:customStyle="1" w:styleId="Heading2Char">
    <w:name w:val="Heading 2 Char"/>
    <w:basedOn w:val="DefaultParagraphFont"/>
    <w:link w:val="Heading2"/>
    <w:uiPriority w:val="9"/>
    <w:rsid w:val="00BE5EDA"/>
    <w:rPr>
      <w:rFonts w:asciiTheme="majorHAnsi" w:eastAsiaTheme="majorEastAsia" w:hAnsiTheme="majorHAnsi" w:cstheme="majorBidi"/>
      <w:color w:val="2E74B5" w:themeColor="accent1" w:themeShade="BF"/>
      <w:sz w:val="26"/>
      <w:szCs w:val="26"/>
      <w:lang w:eastAsia="en-US"/>
    </w:rPr>
  </w:style>
  <w:style w:type="paragraph" w:customStyle="1" w:styleId="PhDAPAPreliminaryHeading">
    <w:name w:val="PhD APA Preliminary Heading"/>
    <w:next w:val="PhDNormal"/>
    <w:qFormat/>
    <w:rsid w:val="00BE5EDA"/>
    <w:pPr>
      <w:pBdr>
        <w:top w:val="none" w:sz="0" w:space="0" w:color="auto"/>
        <w:left w:val="none" w:sz="0" w:space="0" w:color="auto"/>
        <w:bottom w:val="none" w:sz="0" w:space="0" w:color="auto"/>
        <w:right w:val="none" w:sz="0" w:space="0" w:color="auto"/>
        <w:between w:val="none" w:sz="0" w:space="0" w:color="auto"/>
        <w:bar w:val="none" w:sz="0" w:color="auto"/>
      </w:pBdr>
      <w:spacing w:before="240" w:after="720"/>
      <w:jc w:val="center"/>
      <w:outlineLvl w:val="1"/>
    </w:pPr>
    <w:rPr>
      <w:rFonts w:eastAsia="Times New Roman"/>
      <w:b/>
      <w:sz w:val="28"/>
      <w:bdr w:val="none" w:sz="0" w:space="0" w:color="auto"/>
      <w:lang w:eastAsia="en-US"/>
    </w:rPr>
  </w:style>
  <w:style w:type="paragraph" w:styleId="TableofFigures">
    <w:name w:val="table of figures"/>
    <w:basedOn w:val="Normal"/>
    <w:next w:val="Normal"/>
    <w:uiPriority w:val="99"/>
    <w:unhideWhenUsed/>
    <w:rsid w:val="00BE5EDA"/>
    <w:rPr>
      <w:szCs w:val="20"/>
      <w:lang w:eastAsia="en-US"/>
    </w:rPr>
  </w:style>
  <w:style w:type="character" w:customStyle="1" w:styleId="Heading1Char">
    <w:name w:val="Heading 1 Char"/>
    <w:basedOn w:val="DefaultParagraphFont"/>
    <w:link w:val="Heading1"/>
    <w:uiPriority w:val="9"/>
    <w:rsid w:val="00BE5EDA"/>
    <w:rPr>
      <w:rFonts w:asciiTheme="majorHAnsi" w:eastAsiaTheme="majorEastAsia" w:hAnsiTheme="majorHAnsi" w:cstheme="majorBidi"/>
      <w:color w:val="2E74B5" w:themeColor="accent1" w:themeShade="BF"/>
      <w:sz w:val="32"/>
      <w:szCs w:val="32"/>
      <w:lang w:eastAsia="en-US"/>
    </w:rPr>
  </w:style>
  <w:style w:type="paragraph" w:customStyle="1" w:styleId="Body">
    <w:name w:val="Body"/>
    <w:rsid w:val="002E1FD3"/>
    <w:pPr>
      <w:spacing w:after="200" w:line="276" w:lineRule="auto"/>
    </w:pPr>
    <w:rPr>
      <w:rFonts w:ascii="Calibri" w:eastAsia="Calibri" w:hAnsi="Calibri" w:cs="Calibri"/>
      <w:color w:val="000000"/>
      <w:sz w:val="22"/>
      <w:szCs w:val="22"/>
      <w:u w:color="000000"/>
      <w:lang w:val="pt-PT"/>
    </w:rPr>
  </w:style>
  <w:style w:type="character" w:styleId="FollowedHyperlink">
    <w:name w:val="FollowedHyperlink"/>
    <w:basedOn w:val="DefaultParagraphFont"/>
    <w:uiPriority w:val="99"/>
    <w:semiHidden/>
    <w:unhideWhenUsed/>
    <w:rsid w:val="007A2079"/>
    <w:rPr>
      <w:color w:val="954F72"/>
      <w:u w:val="single"/>
    </w:rPr>
  </w:style>
  <w:style w:type="paragraph" w:customStyle="1" w:styleId="msonormal0">
    <w:name w:val="msonormal"/>
    <w:basedOn w:val="Normal"/>
    <w:rsid w:val="007A2079"/>
    <w:pPr>
      <w:spacing w:before="100" w:beforeAutospacing="1" w:after="100" w:afterAutospacing="1"/>
    </w:pPr>
    <w:rPr>
      <w:lang w:eastAsia="en-AU"/>
    </w:rPr>
  </w:style>
  <w:style w:type="paragraph" w:customStyle="1" w:styleId="xl65">
    <w:name w:val="xl65"/>
    <w:basedOn w:val="Normal"/>
    <w:rsid w:val="007A2079"/>
    <w:pPr>
      <w:spacing w:before="100" w:beforeAutospacing="1" w:after="100" w:afterAutospacing="1"/>
      <w:jc w:val="center"/>
      <w:textAlignment w:val="center"/>
    </w:pPr>
    <w:rPr>
      <w:lang w:eastAsia="en-AU"/>
    </w:rPr>
  </w:style>
  <w:style w:type="paragraph" w:customStyle="1" w:styleId="xl66">
    <w:name w:val="xl66"/>
    <w:basedOn w:val="Normal"/>
    <w:rsid w:val="007A2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eastAsia="en-AU"/>
    </w:rPr>
  </w:style>
  <w:style w:type="paragraph" w:customStyle="1" w:styleId="xl67">
    <w:name w:val="xl67"/>
    <w:basedOn w:val="Normal"/>
    <w:rsid w:val="007A2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eastAsia="en-AU"/>
    </w:rPr>
  </w:style>
  <w:style w:type="paragraph" w:customStyle="1" w:styleId="xl68">
    <w:name w:val="xl68"/>
    <w:basedOn w:val="Normal"/>
    <w:rsid w:val="007A207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lang w:eastAsia="en-AU"/>
    </w:rPr>
  </w:style>
  <w:style w:type="paragraph" w:customStyle="1" w:styleId="xl69">
    <w:name w:val="xl69"/>
    <w:basedOn w:val="Normal"/>
    <w:rsid w:val="007A207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lang w:eastAsia="en-AU"/>
    </w:rPr>
  </w:style>
  <w:style w:type="paragraph" w:customStyle="1" w:styleId="xl70">
    <w:name w:val="xl70"/>
    <w:basedOn w:val="Normal"/>
    <w:rsid w:val="007A207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lang w:eastAsia="en-AU"/>
    </w:rPr>
  </w:style>
  <w:style w:type="paragraph" w:customStyle="1" w:styleId="xl71">
    <w:name w:val="xl71"/>
    <w:basedOn w:val="Normal"/>
    <w:rsid w:val="007A2079"/>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jc w:val="center"/>
      <w:textAlignment w:val="center"/>
    </w:pPr>
    <w:rPr>
      <w:b/>
      <w:bCs/>
      <w:color w:val="FFFFFF"/>
      <w:lang w:eastAsia="en-AU"/>
    </w:rPr>
  </w:style>
  <w:style w:type="paragraph" w:customStyle="1" w:styleId="xl72">
    <w:name w:val="xl72"/>
    <w:basedOn w:val="Normal"/>
    <w:rsid w:val="007A2079"/>
    <w:pPr>
      <w:pBdr>
        <w:top w:val="single" w:sz="4" w:space="0" w:color="auto"/>
        <w:left w:val="single" w:sz="4" w:space="0" w:color="auto"/>
        <w:right w:val="single" w:sz="4" w:space="0" w:color="auto"/>
      </w:pBdr>
      <w:shd w:val="clear" w:color="000000" w:fill="000000"/>
      <w:spacing w:before="100" w:beforeAutospacing="1" w:after="100" w:afterAutospacing="1"/>
      <w:jc w:val="center"/>
      <w:textAlignment w:val="center"/>
    </w:pPr>
    <w:rPr>
      <w:b/>
      <w:bCs/>
      <w:color w:val="FFFFFF"/>
      <w:lang w:eastAsia="en-AU"/>
    </w:rPr>
  </w:style>
  <w:style w:type="paragraph" w:customStyle="1" w:styleId="xl73">
    <w:name w:val="xl73"/>
    <w:basedOn w:val="Normal"/>
    <w:rsid w:val="007A2079"/>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jc w:val="center"/>
      <w:textAlignment w:val="center"/>
    </w:pPr>
    <w:rPr>
      <w:color w:val="FFFFFF"/>
      <w:lang w:eastAsia="en-AU"/>
    </w:rPr>
  </w:style>
  <w:style w:type="paragraph" w:customStyle="1" w:styleId="xl74">
    <w:name w:val="xl74"/>
    <w:basedOn w:val="Normal"/>
    <w:rsid w:val="007A2079"/>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center"/>
      <w:textAlignment w:val="center"/>
    </w:pPr>
    <w:rPr>
      <w:lang w:eastAsia="en-AU"/>
    </w:rPr>
  </w:style>
  <w:style w:type="paragraph" w:customStyle="1" w:styleId="xl75">
    <w:name w:val="xl75"/>
    <w:basedOn w:val="Normal"/>
    <w:rsid w:val="007A2079"/>
    <w:pPr>
      <w:pBdr>
        <w:top w:val="single" w:sz="4" w:space="0" w:color="auto"/>
        <w:left w:val="single" w:sz="4" w:space="0" w:color="auto"/>
        <w:bottom w:val="single" w:sz="4" w:space="0" w:color="auto"/>
        <w:right w:val="single" w:sz="4" w:space="0" w:color="auto"/>
      </w:pBdr>
      <w:spacing w:before="100" w:beforeAutospacing="1" w:after="100" w:afterAutospacing="1"/>
    </w:pPr>
    <w:rPr>
      <w:lang w:eastAsia="en-AU"/>
    </w:rPr>
  </w:style>
  <w:style w:type="character" w:customStyle="1" w:styleId="UnresolvedMention1">
    <w:name w:val="Unresolved Mention1"/>
    <w:basedOn w:val="DefaultParagraphFont"/>
    <w:uiPriority w:val="99"/>
    <w:semiHidden/>
    <w:unhideWhenUsed/>
    <w:rsid w:val="00592F0F"/>
    <w:rPr>
      <w:color w:val="605E5C"/>
      <w:shd w:val="clear" w:color="auto" w:fill="E1DFDD"/>
    </w:rPr>
  </w:style>
  <w:style w:type="paragraph" w:styleId="NormalWeb">
    <w:name w:val="Normal (Web)"/>
    <w:basedOn w:val="Normal"/>
    <w:uiPriority w:val="99"/>
    <w:semiHidden/>
    <w:unhideWhenUsed/>
    <w:rsid w:val="00A93E13"/>
    <w:pPr>
      <w:spacing w:before="100" w:beforeAutospacing="1" w:after="100" w:afterAutospacing="1"/>
    </w:pPr>
  </w:style>
  <w:style w:type="character" w:styleId="Strong">
    <w:name w:val="Strong"/>
    <w:basedOn w:val="DefaultParagraphFont"/>
    <w:uiPriority w:val="22"/>
    <w:qFormat/>
    <w:rsid w:val="00A93E13"/>
    <w:rPr>
      <w:b/>
      <w:bCs/>
    </w:rPr>
  </w:style>
  <w:style w:type="character" w:customStyle="1" w:styleId="UnresolvedMention2">
    <w:name w:val="Unresolved Mention2"/>
    <w:basedOn w:val="DefaultParagraphFont"/>
    <w:uiPriority w:val="99"/>
    <w:semiHidden/>
    <w:unhideWhenUsed/>
    <w:rsid w:val="000962F8"/>
    <w:rPr>
      <w:color w:val="605E5C"/>
      <w:shd w:val="clear" w:color="auto" w:fill="E1DFDD"/>
    </w:rPr>
  </w:style>
  <w:style w:type="character" w:customStyle="1" w:styleId="mi">
    <w:name w:val="mi"/>
    <w:basedOn w:val="DefaultParagraphFont"/>
    <w:rsid w:val="00527EA4"/>
  </w:style>
  <w:style w:type="character" w:customStyle="1" w:styleId="mn">
    <w:name w:val="mn"/>
    <w:basedOn w:val="DefaultParagraphFont"/>
    <w:rsid w:val="00527EA4"/>
  </w:style>
  <w:style w:type="character" w:customStyle="1" w:styleId="UnresolvedMention3">
    <w:name w:val="Unresolved Mention3"/>
    <w:basedOn w:val="DefaultParagraphFont"/>
    <w:uiPriority w:val="99"/>
    <w:semiHidden/>
    <w:unhideWhenUsed/>
    <w:rsid w:val="00290AA8"/>
    <w:rPr>
      <w:color w:val="605E5C"/>
      <w:shd w:val="clear" w:color="auto" w:fill="E1DFDD"/>
    </w:rPr>
  </w:style>
  <w:style w:type="character" w:customStyle="1" w:styleId="orcid-id-https">
    <w:name w:val="orcid-id-https"/>
    <w:basedOn w:val="DefaultParagraphFont"/>
    <w:rsid w:val="00161708"/>
  </w:style>
  <w:style w:type="character" w:styleId="LineNumber">
    <w:name w:val="line number"/>
    <w:basedOn w:val="DefaultParagraphFont"/>
    <w:uiPriority w:val="99"/>
    <w:semiHidden/>
    <w:unhideWhenUsed/>
    <w:rsid w:val="00880A1D"/>
  </w:style>
  <w:style w:type="character" w:customStyle="1" w:styleId="UnresolvedMention4">
    <w:name w:val="Unresolved Mention4"/>
    <w:basedOn w:val="DefaultParagraphFont"/>
    <w:uiPriority w:val="99"/>
    <w:semiHidden/>
    <w:unhideWhenUsed/>
    <w:rsid w:val="00540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753">
      <w:bodyDiv w:val="1"/>
      <w:marLeft w:val="0"/>
      <w:marRight w:val="0"/>
      <w:marTop w:val="0"/>
      <w:marBottom w:val="0"/>
      <w:divBdr>
        <w:top w:val="none" w:sz="0" w:space="0" w:color="auto"/>
        <w:left w:val="none" w:sz="0" w:space="0" w:color="auto"/>
        <w:bottom w:val="none" w:sz="0" w:space="0" w:color="auto"/>
        <w:right w:val="none" w:sz="0" w:space="0" w:color="auto"/>
      </w:divBdr>
    </w:div>
    <w:div w:id="92943531">
      <w:bodyDiv w:val="1"/>
      <w:marLeft w:val="0"/>
      <w:marRight w:val="0"/>
      <w:marTop w:val="0"/>
      <w:marBottom w:val="0"/>
      <w:divBdr>
        <w:top w:val="none" w:sz="0" w:space="0" w:color="auto"/>
        <w:left w:val="none" w:sz="0" w:space="0" w:color="auto"/>
        <w:bottom w:val="none" w:sz="0" w:space="0" w:color="auto"/>
        <w:right w:val="none" w:sz="0" w:space="0" w:color="auto"/>
      </w:divBdr>
    </w:div>
    <w:div w:id="106853350">
      <w:bodyDiv w:val="1"/>
      <w:marLeft w:val="0"/>
      <w:marRight w:val="0"/>
      <w:marTop w:val="0"/>
      <w:marBottom w:val="0"/>
      <w:divBdr>
        <w:top w:val="none" w:sz="0" w:space="0" w:color="auto"/>
        <w:left w:val="none" w:sz="0" w:space="0" w:color="auto"/>
        <w:bottom w:val="none" w:sz="0" w:space="0" w:color="auto"/>
        <w:right w:val="none" w:sz="0" w:space="0" w:color="auto"/>
      </w:divBdr>
    </w:div>
    <w:div w:id="119804526">
      <w:bodyDiv w:val="1"/>
      <w:marLeft w:val="0"/>
      <w:marRight w:val="0"/>
      <w:marTop w:val="0"/>
      <w:marBottom w:val="0"/>
      <w:divBdr>
        <w:top w:val="none" w:sz="0" w:space="0" w:color="auto"/>
        <w:left w:val="none" w:sz="0" w:space="0" w:color="auto"/>
        <w:bottom w:val="none" w:sz="0" w:space="0" w:color="auto"/>
        <w:right w:val="none" w:sz="0" w:space="0" w:color="auto"/>
      </w:divBdr>
    </w:div>
    <w:div w:id="170488562">
      <w:bodyDiv w:val="1"/>
      <w:marLeft w:val="0"/>
      <w:marRight w:val="0"/>
      <w:marTop w:val="0"/>
      <w:marBottom w:val="0"/>
      <w:divBdr>
        <w:top w:val="none" w:sz="0" w:space="0" w:color="auto"/>
        <w:left w:val="none" w:sz="0" w:space="0" w:color="auto"/>
        <w:bottom w:val="none" w:sz="0" w:space="0" w:color="auto"/>
        <w:right w:val="none" w:sz="0" w:space="0" w:color="auto"/>
      </w:divBdr>
    </w:div>
    <w:div w:id="201484654">
      <w:bodyDiv w:val="1"/>
      <w:marLeft w:val="0"/>
      <w:marRight w:val="0"/>
      <w:marTop w:val="0"/>
      <w:marBottom w:val="0"/>
      <w:divBdr>
        <w:top w:val="none" w:sz="0" w:space="0" w:color="auto"/>
        <w:left w:val="none" w:sz="0" w:space="0" w:color="auto"/>
        <w:bottom w:val="none" w:sz="0" w:space="0" w:color="auto"/>
        <w:right w:val="none" w:sz="0" w:space="0" w:color="auto"/>
      </w:divBdr>
    </w:div>
    <w:div w:id="229074179">
      <w:bodyDiv w:val="1"/>
      <w:marLeft w:val="0"/>
      <w:marRight w:val="0"/>
      <w:marTop w:val="0"/>
      <w:marBottom w:val="0"/>
      <w:divBdr>
        <w:top w:val="none" w:sz="0" w:space="0" w:color="auto"/>
        <w:left w:val="none" w:sz="0" w:space="0" w:color="auto"/>
        <w:bottom w:val="none" w:sz="0" w:space="0" w:color="auto"/>
        <w:right w:val="none" w:sz="0" w:space="0" w:color="auto"/>
      </w:divBdr>
    </w:div>
    <w:div w:id="232006093">
      <w:bodyDiv w:val="1"/>
      <w:marLeft w:val="0"/>
      <w:marRight w:val="0"/>
      <w:marTop w:val="0"/>
      <w:marBottom w:val="0"/>
      <w:divBdr>
        <w:top w:val="none" w:sz="0" w:space="0" w:color="auto"/>
        <w:left w:val="none" w:sz="0" w:space="0" w:color="auto"/>
        <w:bottom w:val="none" w:sz="0" w:space="0" w:color="auto"/>
        <w:right w:val="none" w:sz="0" w:space="0" w:color="auto"/>
      </w:divBdr>
    </w:div>
    <w:div w:id="276528646">
      <w:bodyDiv w:val="1"/>
      <w:marLeft w:val="0"/>
      <w:marRight w:val="0"/>
      <w:marTop w:val="0"/>
      <w:marBottom w:val="0"/>
      <w:divBdr>
        <w:top w:val="none" w:sz="0" w:space="0" w:color="auto"/>
        <w:left w:val="none" w:sz="0" w:space="0" w:color="auto"/>
        <w:bottom w:val="none" w:sz="0" w:space="0" w:color="auto"/>
        <w:right w:val="none" w:sz="0" w:space="0" w:color="auto"/>
      </w:divBdr>
    </w:div>
    <w:div w:id="315644894">
      <w:bodyDiv w:val="1"/>
      <w:marLeft w:val="0"/>
      <w:marRight w:val="0"/>
      <w:marTop w:val="0"/>
      <w:marBottom w:val="0"/>
      <w:divBdr>
        <w:top w:val="none" w:sz="0" w:space="0" w:color="auto"/>
        <w:left w:val="none" w:sz="0" w:space="0" w:color="auto"/>
        <w:bottom w:val="none" w:sz="0" w:space="0" w:color="auto"/>
        <w:right w:val="none" w:sz="0" w:space="0" w:color="auto"/>
      </w:divBdr>
    </w:div>
    <w:div w:id="345913195">
      <w:bodyDiv w:val="1"/>
      <w:marLeft w:val="0"/>
      <w:marRight w:val="0"/>
      <w:marTop w:val="0"/>
      <w:marBottom w:val="0"/>
      <w:divBdr>
        <w:top w:val="none" w:sz="0" w:space="0" w:color="auto"/>
        <w:left w:val="none" w:sz="0" w:space="0" w:color="auto"/>
        <w:bottom w:val="none" w:sz="0" w:space="0" w:color="auto"/>
        <w:right w:val="none" w:sz="0" w:space="0" w:color="auto"/>
      </w:divBdr>
    </w:div>
    <w:div w:id="401487685">
      <w:bodyDiv w:val="1"/>
      <w:marLeft w:val="0"/>
      <w:marRight w:val="0"/>
      <w:marTop w:val="0"/>
      <w:marBottom w:val="0"/>
      <w:divBdr>
        <w:top w:val="none" w:sz="0" w:space="0" w:color="auto"/>
        <w:left w:val="none" w:sz="0" w:space="0" w:color="auto"/>
        <w:bottom w:val="none" w:sz="0" w:space="0" w:color="auto"/>
        <w:right w:val="none" w:sz="0" w:space="0" w:color="auto"/>
      </w:divBdr>
    </w:div>
    <w:div w:id="478496025">
      <w:bodyDiv w:val="1"/>
      <w:marLeft w:val="0"/>
      <w:marRight w:val="0"/>
      <w:marTop w:val="0"/>
      <w:marBottom w:val="0"/>
      <w:divBdr>
        <w:top w:val="none" w:sz="0" w:space="0" w:color="auto"/>
        <w:left w:val="none" w:sz="0" w:space="0" w:color="auto"/>
        <w:bottom w:val="none" w:sz="0" w:space="0" w:color="auto"/>
        <w:right w:val="none" w:sz="0" w:space="0" w:color="auto"/>
      </w:divBdr>
    </w:div>
    <w:div w:id="532497763">
      <w:bodyDiv w:val="1"/>
      <w:marLeft w:val="0"/>
      <w:marRight w:val="0"/>
      <w:marTop w:val="0"/>
      <w:marBottom w:val="0"/>
      <w:divBdr>
        <w:top w:val="none" w:sz="0" w:space="0" w:color="auto"/>
        <w:left w:val="none" w:sz="0" w:space="0" w:color="auto"/>
        <w:bottom w:val="none" w:sz="0" w:space="0" w:color="auto"/>
        <w:right w:val="none" w:sz="0" w:space="0" w:color="auto"/>
      </w:divBdr>
    </w:div>
    <w:div w:id="558519012">
      <w:bodyDiv w:val="1"/>
      <w:marLeft w:val="0"/>
      <w:marRight w:val="0"/>
      <w:marTop w:val="0"/>
      <w:marBottom w:val="0"/>
      <w:divBdr>
        <w:top w:val="none" w:sz="0" w:space="0" w:color="auto"/>
        <w:left w:val="none" w:sz="0" w:space="0" w:color="auto"/>
        <w:bottom w:val="none" w:sz="0" w:space="0" w:color="auto"/>
        <w:right w:val="none" w:sz="0" w:space="0" w:color="auto"/>
      </w:divBdr>
    </w:div>
    <w:div w:id="591745086">
      <w:bodyDiv w:val="1"/>
      <w:marLeft w:val="0"/>
      <w:marRight w:val="0"/>
      <w:marTop w:val="0"/>
      <w:marBottom w:val="0"/>
      <w:divBdr>
        <w:top w:val="none" w:sz="0" w:space="0" w:color="auto"/>
        <w:left w:val="none" w:sz="0" w:space="0" w:color="auto"/>
        <w:bottom w:val="none" w:sz="0" w:space="0" w:color="auto"/>
        <w:right w:val="none" w:sz="0" w:space="0" w:color="auto"/>
      </w:divBdr>
    </w:div>
    <w:div w:id="722943716">
      <w:bodyDiv w:val="1"/>
      <w:marLeft w:val="0"/>
      <w:marRight w:val="0"/>
      <w:marTop w:val="0"/>
      <w:marBottom w:val="0"/>
      <w:divBdr>
        <w:top w:val="none" w:sz="0" w:space="0" w:color="auto"/>
        <w:left w:val="none" w:sz="0" w:space="0" w:color="auto"/>
        <w:bottom w:val="none" w:sz="0" w:space="0" w:color="auto"/>
        <w:right w:val="none" w:sz="0" w:space="0" w:color="auto"/>
      </w:divBdr>
    </w:div>
    <w:div w:id="825129714">
      <w:bodyDiv w:val="1"/>
      <w:marLeft w:val="0"/>
      <w:marRight w:val="0"/>
      <w:marTop w:val="0"/>
      <w:marBottom w:val="0"/>
      <w:divBdr>
        <w:top w:val="none" w:sz="0" w:space="0" w:color="auto"/>
        <w:left w:val="none" w:sz="0" w:space="0" w:color="auto"/>
        <w:bottom w:val="none" w:sz="0" w:space="0" w:color="auto"/>
        <w:right w:val="none" w:sz="0" w:space="0" w:color="auto"/>
      </w:divBdr>
    </w:div>
    <w:div w:id="1063718950">
      <w:bodyDiv w:val="1"/>
      <w:marLeft w:val="0"/>
      <w:marRight w:val="0"/>
      <w:marTop w:val="0"/>
      <w:marBottom w:val="0"/>
      <w:divBdr>
        <w:top w:val="none" w:sz="0" w:space="0" w:color="auto"/>
        <w:left w:val="none" w:sz="0" w:space="0" w:color="auto"/>
        <w:bottom w:val="none" w:sz="0" w:space="0" w:color="auto"/>
        <w:right w:val="none" w:sz="0" w:space="0" w:color="auto"/>
      </w:divBdr>
    </w:div>
    <w:div w:id="1106193135">
      <w:bodyDiv w:val="1"/>
      <w:marLeft w:val="0"/>
      <w:marRight w:val="0"/>
      <w:marTop w:val="0"/>
      <w:marBottom w:val="0"/>
      <w:divBdr>
        <w:top w:val="none" w:sz="0" w:space="0" w:color="auto"/>
        <w:left w:val="none" w:sz="0" w:space="0" w:color="auto"/>
        <w:bottom w:val="none" w:sz="0" w:space="0" w:color="auto"/>
        <w:right w:val="none" w:sz="0" w:space="0" w:color="auto"/>
      </w:divBdr>
    </w:div>
    <w:div w:id="1111512248">
      <w:bodyDiv w:val="1"/>
      <w:marLeft w:val="0"/>
      <w:marRight w:val="0"/>
      <w:marTop w:val="0"/>
      <w:marBottom w:val="0"/>
      <w:divBdr>
        <w:top w:val="none" w:sz="0" w:space="0" w:color="auto"/>
        <w:left w:val="none" w:sz="0" w:space="0" w:color="auto"/>
        <w:bottom w:val="none" w:sz="0" w:space="0" w:color="auto"/>
        <w:right w:val="none" w:sz="0" w:space="0" w:color="auto"/>
      </w:divBdr>
    </w:div>
    <w:div w:id="1288269231">
      <w:bodyDiv w:val="1"/>
      <w:marLeft w:val="0"/>
      <w:marRight w:val="0"/>
      <w:marTop w:val="0"/>
      <w:marBottom w:val="0"/>
      <w:divBdr>
        <w:top w:val="none" w:sz="0" w:space="0" w:color="auto"/>
        <w:left w:val="none" w:sz="0" w:space="0" w:color="auto"/>
        <w:bottom w:val="none" w:sz="0" w:space="0" w:color="auto"/>
        <w:right w:val="none" w:sz="0" w:space="0" w:color="auto"/>
      </w:divBdr>
    </w:div>
    <w:div w:id="1475758484">
      <w:bodyDiv w:val="1"/>
      <w:marLeft w:val="0"/>
      <w:marRight w:val="0"/>
      <w:marTop w:val="0"/>
      <w:marBottom w:val="0"/>
      <w:divBdr>
        <w:top w:val="none" w:sz="0" w:space="0" w:color="auto"/>
        <w:left w:val="none" w:sz="0" w:space="0" w:color="auto"/>
        <w:bottom w:val="none" w:sz="0" w:space="0" w:color="auto"/>
        <w:right w:val="none" w:sz="0" w:space="0" w:color="auto"/>
      </w:divBdr>
    </w:div>
    <w:div w:id="1508134039">
      <w:bodyDiv w:val="1"/>
      <w:marLeft w:val="0"/>
      <w:marRight w:val="0"/>
      <w:marTop w:val="0"/>
      <w:marBottom w:val="0"/>
      <w:divBdr>
        <w:top w:val="none" w:sz="0" w:space="0" w:color="auto"/>
        <w:left w:val="none" w:sz="0" w:space="0" w:color="auto"/>
        <w:bottom w:val="none" w:sz="0" w:space="0" w:color="auto"/>
        <w:right w:val="none" w:sz="0" w:space="0" w:color="auto"/>
      </w:divBdr>
    </w:div>
    <w:div w:id="1514689946">
      <w:bodyDiv w:val="1"/>
      <w:marLeft w:val="0"/>
      <w:marRight w:val="0"/>
      <w:marTop w:val="0"/>
      <w:marBottom w:val="0"/>
      <w:divBdr>
        <w:top w:val="none" w:sz="0" w:space="0" w:color="auto"/>
        <w:left w:val="none" w:sz="0" w:space="0" w:color="auto"/>
        <w:bottom w:val="none" w:sz="0" w:space="0" w:color="auto"/>
        <w:right w:val="none" w:sz="0" w:space="0" w:color="auto"/>
      </w:divBdr>
    </w:div>
    <w:div w:id="1552885546">
      <w:bodyDiv w:val="1"/>
      <w:marLeft w:val="0"/>
      <w:marRight w:val="0"/>
      <w:marTop w:val="0"/>
      <w:marBottom w:val="0"/>
      <w:divBdr>
        <w:top w:val="none" w:sz="0" w:space="0" w:color="auto"/>
        <w:left w:val="none" w:sz="0" w:space="0" w:color="auto"/>
        <w:bottom w:val="none" w:sz="0" w:space="0" w:color="auto"/>
        <w:right w:val="none" w:sz="0" w:space="0" w:color="auto"/>
      </w:divBdr>
    </w:div>
    <w:div w:id="1577470139">
      <w:bodyDiv w:val="1"/>
      <w:marLeft w:val="0"/>
      <w:marRight w:val="0"/>
      <w:marTop w:val="0"/>
      <w:marBottom w:val="0"/>
      <w:divBdr>
        <w:top w:val="none" w:sz="0" w:space="0" w:color="auto"/>
        <w:left w:val="none" w:sz="0" w:space="0" w:color="auto"/>
        <w:bottom w:val="none" w:sz="0" w:space="0" w:color="auto"/>
        <w:right w:val="none" w:sz="0" w:space="0" w:color="auto"/>
      </w:divBdr>
    </w:div>
    <w:div w:id="1594558016">
      <w:bodyDiv w:val="1"/>
      <w:marLeft w:val="0"/>
      <w:marRight w:val="0"/>
      <w:marTop w:val="0"/>
      <w:marBottom w:val="0"/>
      <w:divBdr>
        <w:top w:val="none" w:sz="0" w:space="0" w:color="auto"/>
        <w:left w:val="none" w:sz="0" w:space="0" w:color="auto"/>
        <w:bottom w:val="none" w:sz="0" w:space="0" w:color="auto"/>
        <w:right w:val="none" w:sz="0" w:space="0" w:color="auto"/>
      </w:divBdr>
    </w:div>
    <w:div w:id="1595899072">
      <w:bodyDiv w:val="1"/>
      <w:marLeft w:val="0"/>
      <w:marRight w:val="0"/>
      <w:marTop w:val="0"/>
      <w:marBottom w:val="0"/>
      <w:divBdr>
        <w:top w:val="none" w:sz="0" w:space="0" w:color="auto"/>
        <w:left w:val="none" w:sz="0" w:space="0" w:color="auto"/>
        <w:bottom w:val="none" w:sz="0" w:space="0" w:color="auto"/>
        <w:right w:val="none" w:sz="0" w:space="0" w:color="auto"/>
      </w:divBdr>
    </w:div>
    <w:div w:id="1616326672">
      <w:bodyDiv w:val="1"/>
      <w:marLeft w:val="0"/>
      <w:marRight w:val="0"/>
      <w:marTop w:val="0"/>
      <w:marBottom w:val="0"/>
      <w:divBdr>
        <w:top w:val="none" w:sz="0" w:space="0" w:color="auto"/>
        <w:left w:val="none" w:sz="0" w:space="0" w:color="auto"/>
        <w:bottom w:val="none" w:sz="0" w:space="0" w:color="auto"/>
        <w:right w:val="none" w:sz="0" w:space="0" w:color="auto"/>
      </w:divBdr>
    </w:div>
    <w:div w:id="1974165444">
      <w:bodyDiv w:val="1"/>
      <w:marLeft w:val="0"/>
      <w:marRight w:val="0"/>
      <w:marTop w:val="0"/>
      <w:marBottom w:val="0"/>
      <w:divBdr>
        <w:top w:val="none" w:sz="0" w:space="0" w:color="auto"/>
        <w:left w:val="none" w:sz="0" w:space="0" w:color="auto"/>
        <w:bottom w:val="none" w:sz="0" w:space="0" w:color="auto"/>
        <w:right w:val="none" w:sz="0" w:space="0" w:color="auto"/>
      </w:divBdr>
    </w:div>
    <w:div w:id="1981882758">
      <w:bodyDiv w:val="1"/>
      <w:marLeft w:val="0"/>
      <w:marRight w:val="0"/>
      <w:marTop w:val="0"/>
      <w:marBottom w:val="0"/>
      <w:divBdr>
        <w:top w:val="none" w:sz="0" w:space="0" w:color="auto"/>
        <w:left w:val="none" w:sz="0" w:space="0" w:color="auto"/>
        <w:bottom w:val="none" w:sz="0" w:space="0" w:color="auto"/>
        <w:right w:val="none" w:sz="0" w:space="0" w:color="auto"/>
      </w:divBdr>
    </w:div>
    <w:div w:id="2001540566">
      <w:bodyDiv w:val="1"/>
      <w:marLeft w:val="0"/>
      <w:marRight w:val="0"/>
      <w:marTop w:val="0"/>
      <w:marBottom w:val="0"/>
      <w:divBdr>
        <w:top w:val="none" w:sz="0" w:space="0" w:color="auto"/>
        <w:left w:val="none" w:sz="0" w:space="0" w:color="auto"/>
        <w:bottom w:val="none" w:sz="0" w:space="0" w:color="auto"/>
        <w:right w:val="none" w:sz="0" w:space="0" w:color="auto"/>
      </w:divBdr>
    </w:div>
    <w:div w:id="2068066348">
      <w:bodyDiv w:val="1"/>
      <w:marLeft w:val="0"/>
      <w:marRight w:val="0"/>
      <w:marTop w:val="0"/>
      <w:marBottom w:val="0"/>
      <w:divBdr>
        <w:top w:val="none" w:sz="0" w:space="0" w:color="auto"/>
        <w:left w:val="none" w:sz="0" w:space="0" w:color="auto"/>
        <w:bottom w:val="none" w:sz="0" w:space="0" w:color="auto"/>
        <w:right w:val="none" w:sz="0" w:space="0" w:color="auto"/>
      </w:divBdr>
    </w:div>
    <w:div w:id="2071685444">
      <w:bodyDiv w:val="1"/>
      <w:marLeft w:val="0"/>
      <w:marRight w:val="0"/>
      <w:marTop w:val="0"/>
      <w:marBottom w:val="0"/>
      <w:divBdr>
        <w:top w:val="none" w:sz="0" w:space="0" w:color="auto"/>
        <w:left w:val="none" w:sz="0" w:space="0" w:color="auto"/>
        <w:bottom w:val="none" w:sz="0" w:space="0" w:color="auto"/>
        <w:right w:val="none" w:sz="0" w:space="0" w:color="auto"/>
      </w:divBdr>
    </w:div>
    <w:div w:id="2083719344">
      <w:bodyDiv w:val="1"/>
      <w:marLeft w:val="0"/>
      <w:marRight w:val="0"/>
      <w:marTop w:val="0"/>
      <w:marBottom w:val="0"/>
      <w:divBdr>
        <w:top w:val="none" w:sz="0" w:space="0" w:color="auto"/>
        <w:left w:val="none" w:sz="0" w:space="0" w:color="auto"/>
        <w:bottom w:val="none" w:sz="0" w:space="0" w:color="auto"/>
        <w:right w:val="none" w:sz="0" w:space="0" w:color="auto"/>
      </w:divBdr>
    </w:div>
    <w:div w:id="2101246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2520-F236-4F7E-9C1F-D4C6E0E94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22</Pages>
  <Words>38357</Words>
  <Characters>218637</Characters>
  <Application>Microsoft Office Word</Application>
  <DocSecurity>0</DocSecurity>
  <Lines>1821</Lines>
  <Paragraphs>512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256482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Siqueira Trajano</dc:creator>
  <cp:keywords/>
  <dc:description/>
  <cp:lastModifiedBy>Gabriel Fernandes</cp:lastModifiedBy>
  <cp:revision>5</cp:revision>
  <cp:lastPrinted>2021-02-02T09:46:00Z</cp:lastPrinted>
  <dcterms:created xsi:type="dcterms:W3CDTF">2022-11-28T05:44:00Z</dcterms:created>
  <dcterms:modified xsi:type="dcterms:W3CDTF">2022-11-29T03:29:00Z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0b6b9e5d-cc72-3f9d-b513-520e95a27f95</vt:lpwstr>
  </property>
  <property fmtid="{D5CDD505-2E9C-101B-9397-08002B2CF9AE}" pid="24" name="Mendeley Citation Style_1">
    <vt:lpwstr>http://www.zotero.org/styles/american-medical-association</vt:lpwstr>
  </property>
</Properties>
</file>