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Publishing</w:t>
      </w:r>
      <w:r>
        <w:t xml:space="preserve"> </w:t>
      </w:r>
      <w:r>
        <w:t xml:space="preserve">Papers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</w:p>
    <w:p>
      <w:pPr>
        <w:pStyle w:val="Author"/>
      </w:pPr>
      <w:r>
        <w:t xml:space="preserve">Gabe</w:t>
      </w:r>
      <w:r>
        <w:t xml:space="preserve"> </w:t>
      </w:r>
      <w:r>
        <w:t xml:space="preserve">Lee</w:t>
      </w:r>
    </w:p>
    <w:p>
      <w:pPr>
        <w:pStyle w:val="a6"/>
      </w:pPr>
      <w:r>
        <w:t xml:space="preserve">2015-11-26</w:t>
      </w:r>
    </w:p>
    <w:p>
      <w:pPr>
        <w:pStyle w:val="Heading1"/>
      </w:pPr>
      <w:bookmarkStart w:id="21" w:name="引言"/>
      <w:bookmarkEnd w:id="21"/>
      <w:r>
        <w:t xml:space="preserve">引言</w:t>
      </w:r>
    </w:p>
    <w:p>
      <w:pPr>
        <w:pStyle w:val="FirstParagraph"/>
      </w:pPr>
      <w:r>
        <w:t xml:space="preserve">This is a guide by Andrew Hobden</w:t>
      </w:r>
      <w:r>
        <w:t xml:space="preserve"> </w:t>
      </w:r>
      <w:r>
        <w:t xml:space="preserve">abc (2015)</w:t>
      </w:r>
      <w:r>
        <w:t xml:space="preserve">. This demos a reference using the provided CSL.</w:t>
      </w:r>
    </w:p>
    <w:p>
      <w:pPr>
        <w:pStyle w:val="a3"/>
      </w:pPr>
      <w:r>
        <w:t xml:space="preserve">使用</w:t>
      </w:r>
      <w:r>
        <w:rPr>
          <w:b/>
        </w:rPr>
        <w:t xml:space="preserve">pandoc</w:t>
      </w:r>
      <w:r>
        <w:t xml:space="preserve"> </w:t>
      </w:r>
      <w:r>
        <w:t xml:space="preserve">写作学术论文，很方便，也很geeker</w:t>
      </w:r>
      <w:r>
        <w:t xml:space="preserve"> </w:t>
      </w:r>
      <w:r>
        <w:t xml:space="preserve">abc (2015)</w:t>
      </w:r>
      <w:r>
        <w:t xml:space="preserve">。使用</w:t>
      </w:r>
      <w:r>
        <w:t xml:space="preserve"> </w:t>
      </w:r>
      <w:r>
        <w:rPr>
          <w:rStyle w:val="VerbatimChar"/>
        </w:rPr>
        <w:t xml:space="preserve">marked 2</w:t>
      </w:r>
      <w:r>
        <w:t xml:space="preserve">实时 预览</w:t>
      </w:r>
      <w:r>
        <w:rPr>
          <w:rStyle w:val="VerbatimChar"/>
        </w:rPr>
        <w:t xml:space="preserve">markdown</w:t>
      </w:r>
      <w:r>
        <w:t xml:space="preserve">文件。配置好了实时预览功能，解决了找不到文件的问题，而且可以预览 数学公式，这点太好了，只要保存即可实现。看看如何修改。</w:t>
      </w:r>
    </w:p>
    <w:p>
      <w:pPr>
        <w:pStyle w:val="a3"/>
      </w:pPr>
      <w:r>
        <w:t xml:space="preserve">还有几点想实现的功能：</w:t>
      </w:r>
    </w:p>
    <w:p>
      <w:pPr>
        <w:pStyle w:val="Compact"/>
        <w:numPr>
          <w:numId w:val="1001"/>
          <w:ilvl w:val="0"/>
        </w:numPr>
      </w:pPr>
      <w:r>
        <w:t xml:space="preserve">公式标签和引用</w:t>
      </w:r>
    </w:p>
    <w:p>
      <w:pPr>
        <w:pStyle w:val="Compact"/>
        <w:numPr>
          <w:numId w:val="1001"/>
          <w:ilvl w:val="0"/>
        </w:numPr>
      </w:pPr>
      <w:r>
        <w:t xml:space="preserve">参考文献的引用格式的自定义</w:t>
      </w:r>
    </w:p>
    <w:p>
      <w:pPr>
        <w:pStyle w:val="Compact"/>
        <w:numPr>
          <w:numId w:val="1001"/>
          <w:ilvl w:val="0"/>
        </w:numPr>
      </w:pPr>
      <w:r>
        <w:t xml:space="preserve">插入图片及其引用问题</w:t>
      </w:r>
    </w:p>
    <w:p>
      <w:pPr>
        <w:pStyle w:val="Compact"/>
        <w:numPr>
          <w:numId w:val="1001"/>
          <w:ilvl w:val="0"/>
        </w:numPr>
      </w:pPr>
      <w:r>
        <w:t xml:space="preserve">追踪修改过程</w:t>
      </w:r>
    </w:p>
    <w:p>
      <w:pPr>
        <w:pStyle w:val="Heading2"/>
      </w:pPr>
      <w:bookmarkStart w:id="22" w:name="数学公式显示"/>
      <w:bookmarkEnd w:id="22"/>
      <w:r>
        <w:t xml:space="preserve">数学公式显示</w:t>
      </w:r>
    </w:p>
    <w:p>
      <w:pPr>
        <w:numPr>
          <w:numId w:val="1002"/>
          <w:ilvl w:val="0"/>
        </w:numPr>
      </w:pPr>
      <w:r>
        <w:t xml:space="preserve">行内公式这是一行有数学公式</w:t>
      </w:r>
      <w:r>
        <w:t xml:space="preserve"> </w:t>
      </w:r>
      <m:oMath>
        <m:sSup>
          <m:e>
            <m:r>
              <m:rPr/>
              <m:t>x</m:t>
            </m:r>
          </m:e>
          <m:sup>
            <m:r>
              <m:rPr/>
              <m:t>2</m:t>
            </m:r>
          </m:sup>
        </m:sSup>
        <m:r>
          <m:rPr/>
          <m:t>+</m:t>
        </m:r>
        <m:r>
          <m:rPr/>
          <m:t>y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的地方，好像没有编译，问题在哪里？ 哦，我知道了，原来</w:t>
      </w:r>
      <w:r>
        <w:rPr>
          <w:rStyle w:val="VerbatimChar"/>
        </w:rPr>
        <w:t xml:space="preserve">$$</w:t>
      </w:r>
      <w:r>
        <w:t xml:space="preserve">里面不能有空格，否则认不出公式。</w:t>
      </w:r>
    </w:p>
    <w:p>
      <w:pPr>
        <w:numPr>
          <w:numId w:val="1002"/>
          <w:ilvl w:val="0"/>
        </w:numPr>
      </w:pPr>
      <w:r>
        <w:t xml:space="preserve">行间公式</w:t>
      </w:r>
    </w:p>
    <w:p>
      <w:pPr>
        <w:pStyle w:val="FirstParagraph"/>
      </w:pPr>
      <m:oMathPara>
        <m:oMathParaPr>
          <m:jc m:val="center"/>
        </m:oMathParaPr>
        <m:oMath>
          <m:sSubSup>
            <m:e>
              <m:r>
                <m:rPr/>
                <m:t>x</m:t>
              </m:r>
            </m:e>
            <m:sub>
              <m:r>
                <m:rPr/>
                <m:t>n</m:t>
              </m:r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100</m:t>
              </m:r>
            </m:sup>
          </m:sSubSup>
          <m:sSup>
            <m:e>
              <m:r>
                <m:rPr/>
                <m:t>x</m:t>
              </m:r>
            </m:e>
            <m:sup>
              <m:r>
                <m:rPr/>
                <m:t>n</m:t>
              </m:r>
            </m:sup>
          </m:sSup>
          <m:r>
            <m:rPr/>
            <m:t>=</m:t>
          </m:r>
          <m:r>
            <m:rPr/>
            <m:t>x</m:t>
          </m:r>
        </m:oMath>
      </m:oMathPara>
    </w:p>
    <w:p>
      <w:pPr>
        <w:pStyle w:val="a3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/>
                <m:t>x</m:t>
              </m:r>
              <m:r>
                <m:rPr/>
                <m:t>+</m:t>
              </m:r>
              <m:r>
                <m:rPr/>
                <m:t>y</m:t>
              </m:r>
            </m:num>
            <m:den>
              <m:r>
                <m:rPr/>
                <m:t>x</m:t>
              </m:r>
              <m:r>
                <m:rPr/>
                <m:t>−</m:t>
              </m:r>
              <m:r>
                <m:rPr/>
                <m:t>y</m:t>
              </m:r>
            </m:den>
          </m:f>
          <m:r>
            <m:rPr/>
            <m:t>=</m:t>
          </m:r>
          <m:sSup>
            <m:e>
              <m:r>
                <m:rPr/>
                <m:t>x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ad>
            <m:radPr>
              <m:degHide m:val="on"/>
            </m:radPr>
            <m:deg/>
            <m:e>
              <m:r>
                <m:rPr/>
                <m:t>y</m:t>
              </m:r>
            </m:e>
          </m:rad>
        </m:oMath>
      </m:oMathPara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pandoc math demos</w:t>
      </w:r>
      <w:r>
        <w:t xml:space="preserve"> </w:t>
      </w:r>
      <w:r>
        <w:t xml:space="preserve">This is some math.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</m:mcPr>
                </m:mc>
                <m:mc>
                  <m:mcPr>
                    <m:mcJc m:val="left"/>
                  </m:mcPr>
                </m:mc>
              </m:mcs>
            </m:mPr>
            <m:mr>
              <m:e>
                <m:r>
                  <m:rPr/>
                  <m:t>x</m:t>
                </m:r>
              </m:e>
              <m:e>
                <m:r>
                  <m:rPr/>
                  <m:t>=</m:t>
                </m:r>
                <m:r>
                  <m:rPr/>
                  <m:t>1</m:t>
                </m:r>
              </m:e>
            </m:mr>
            <m:mr>
              <m:e>
                <m:r>
                  <m:rPr/>
                  <m:t>y</m:t>
                </m:r>
              </m:e>
              <m:e>
                <m:r>
                  <m:rPr/>
                  <m:t>=</m:t>
                </m:r>
                <m:r>
                  <m:rPr/>
                  <m:t>2</m:t>
                </m:r>
              </m:e>
            </m:mr>
          </m:m>
        </m:oMath>
      </m:oMathPara>
    </w:p>
    <w:p>
      <w:pPr>
        <w:pStyle w:val="a3"/>
      </w:pPr>
      <w:r>
        <w:t xml:space="preserve">End of math.</w:t>
      </w:r>
      <w:r>
        <w:t xml:space="preserve"> </w:t>
      </w:r>
      <w:r>
        <w:t xml:space="preserve">$\eqref{eq:1}$</w:t>
      </w:r>
    </w:p>
    <w:p>
      <w:pPr>
        <w:pStyle w:val="a3"/>
      </w:pPr>
      <w:r>
        <w:t xml:space="preserve">公式引用，例如，请参考公式</w:t>
      </w:r>
      <w:r>
        <w:t xml:space="preserve"> </w:t>
      </w:r>
      <w:r>
        <w:t xml:space="preserve">$\eqref{eq:1}$</w:t>
      </w:r>
    </w:p>
    <w:p>
      <w:pPr>
        <w:pStyle w:val="a3"/>
      </w:pPr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sSup>
            <m:e>
              <m:r>
                <m:rPr/>
                <m:t>b</m:t>
              </m:r>
            </m:e>
            <m:sup>
              <m:r>
                <m:rPr/>
                <m:t>2</m:t>
              </m:r>
            </m:sup>
          </m:sSup>
          <m:r>
            <m:rPr/>
            <m:t>=</m:t>
          </m:r>
          <m:sSup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a3"/>
      </w:pPr>
      <m:oMathPara>
        <m:oMathParaPr>
          <m:jc m:val="center"/>
        </m:oMathParaPr>
        <m:oMath>
          <m:r>
            <m:rPr/>
            <m:t>v</m:t>
          </m:r>
          <m:r>
            <m:rPr/>
            <m:t>(</m:t>
          </m:r>
          <m:r>
            <m:rPr/>
            <m:t>t</m:t>
          </m:r>
          <m:r>
            <m:rPr/>
            <m:t>)</m:t>
          </m:r>
          <m:r>
            <m:rPr/>
            <m:t>=</m:t>
          </m:r>
          <m:sSub>
            <m:e>
              <m:r>
                <m:rPr/>
                <m:t>v</m:t>
              </m:r>
            </m:e>
            <m:sub>
              <m:r>
                <m:rPr/>
                <m:t>0</m:t>
              </m:r>
            </m:sub>
          </m:sSub>
          <m:r>
            <m:rPr/>
            <m:t>+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p>
            <m:e>
              <m:r>
                <m:rPr/>
                <m:t>t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pStyle w:val="a3"/>
      </w:pPr>
      <m:oMathPara>
        <m:oMathParaPr>
          <m:jc m:val="center"/>
        </m:oMathParaPr>
        <m:oMath>
          <m:r>
            <m:rPr/>
            <m:t>γ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ad>
                <m:radPr>
                  <m:degHide m:val="on"/>
                </m:radPr>
                <m:deg/>
                <m:e>
                  <m:r>
                    <m:rPr/>
                    <m:t>1</m:t>
                  </m:r>
                  <m:r>
                    <m:rPr/>
                    <m:t>−</m:t>
                  </m:r>
                  <m:sSup>
                    <m:e>
                      <m:r>
                        <m:rPr/>
                        <m:t>v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  <m:r>
                    <m:rPr/>
                    <m:t>/</m:t>
                  </m:r>
                  <m:sSup>
                    <m:e>
                      <m:r>
                        <m:rPr/>
                        <m:t>c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rad>
            </m:den>
          </m:f>
        </m:oMath>
      </m:oMathPara>
    </w:p>
    <w:p>
      <w:pPr>
        <w:pStyle w:val="a3"/>
      </w:pPr>
      <m:oMathPara>
        <m:oMathParaPr>
          <m:jc m:val="center"/>
        </m:oMathParaPr>
        <m:oMath>
          <m:r>
            <m:rPr/>
            <m:t>∃</m:t>
          </m:r>
          <m:r>
            <m:rPr/>
            <m:t>x</m:t>
          </m:r>
          <m:r>
            <m:rPr/>
            <m:t>∀</m:t>
          </m:r>
          <m:r>
            <m:rPr/>
            <m:t>y</m:t>
          </m:r>
          <m:r>
            <m:rPr/>
            <m:t>(</m:t>
          </m:r>
          <m:r>
            <m:rPr/>
            <m:t>R</m:t>
          </m:r>
          <m:r>
            <m:rPr/>
            <m:t>x</m:t>
          </m:r>
          <m:r>
            <m:rPr/>
            <m:t>y</m:t>
          </m:r>
          <m:r>
            <m:rPr/>
            <m:t>≡</m:t>
          </m:r>
          <m:r>
            <m:rPr/>
            <m:t>R</m:t>
          </m:r>
          <m:r>
            <m:rPr/>
            <m:t>y</m:t>
          </m:r>
          <m:r>
            <m:rPr/>
            <m:t>x</m:t>
          </m:r>
          <m:r>
            <m:rPr/>
            <m:t>)</m:t>
          </m:r>
        </m:oMath>
      </m:oMathPara>
    </w:p>
    <w:p>
      <w:pPr>
        <w:pStyle w:val="a3"/>
      </w:pPr>
      <m:oMathPara>
        <m:oMathParaPr>
          <m:jc m:val="center"/>
        </m:oMathParaPr>
        <m:oMath>
          <m:r>
            <m:rPr/>
            <m:t>p</m:t>
          </m:r>
          <m:r>
            <m:rPr/>
            <m:t>∧</m:t>
          </m:r>
          <m:r>
            <m:rPr/>
            <m:t>q</m:t>
          </m:r>
          <m:r>
            <m:rPr/>
            <m:t>⊨</m:t>
          </m:r>
          <m:r>
            <m:rPr/>
            <m:t>p</m:t>
          </m:r>
        </m:oMath>
      </m:oMathPara>
    </w:p>
    <w:p>
      <w:pPr>
        <w:pStyle w:val="a3"/>
      </w:pPr>
      <m:oMathPara>
        <m:oMathParaPr>
          <m:jc m:val="center"/>
        </m:oMathParaPr>
        <m:oMath>
          <m:r>
            <m:rPr/>
            <m:t>□</m:t>
          </m:r>
          <m:r>
            <m:rPr/>
            <m:t>⋄</m:t>
          </m:r>
          <m:r>
            <m:rPr/>
            <m:t>p</m:t>
          </m:r>
          <m:r>
            <m:rPr/>
            <m:t>≡</m:t>
          </m:r>
          <m:r>
            <m:rPr/>
            <m:t>⋄</m:t>
          </m:r>
          <m:r>
            <m:rPr/>
            <m:t>p</m:t>
          </m:r>
        </m:oMath>
      </m:oMathPara>
    </w:p>
    <w:p>
      <w:pPr>
        <w:pStyle w:val="a3"/>
      </w:pPr>
      <m:oMathPara>
        <m:oMathParaPr>
          <m:jc m:val="center"/>
        </m:oMathParaPr>
        <m:oMath>
          <m:nary>
            <m:naryPr>
              <m:chr m:val="∫"/>
              <m:limLoc m:val="subSup"/>
              <m:supHide m:val="off"/>
              <m:supHide m:val="off"/>
            </m:naryPr>
            <m:e>
              <m:r>
                <m:rPr/>
                <m:t>x</m:t>
              </m:r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nary>
          <m:r>
            <m:rPr/>
            <m:t>d</m:t>
          </m:r>
          <m:r>
            <m:rPr/>
            <m:t>x</m:t>
          </m:r>
          <m:r>
            <m:rPr/>
            <m:t>=</m:t>
          </m:r>
          <m:sSubSup>
            <m:e>
              <m:d>
                <m:dPr>
                  <m:begChr m:val="["/>
                  <m:endChr m:val="]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rPr/>
                        <m:t>1</m:t>
                      </m:r>
                    </m:num>
                    <m:den>
                      <m:r>
                        <m:rPr/>
                        <m:t>2</m:t>
                      </m:r>
                    </m:den>
                  </m:f>
                  <m:sSup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2</m:t>
                      </m:r>
                    </m:sup>
                  </m:sSup>
                </m:e>
              </m:d>
            </m:e>
            <m:sub>
              <m:r>
                <m:rPr/>
                <m:t>0</m:t>
              </m:r>
            </m:sub>
            <m:sup>
              <m:r>
                <m:rPr/>
                <m:t>1</m:t>
              </m:r>
            </m:sup>
          </m:sSubSup>
          <m:r>
            <m:rPr/>
            <m:t>=</m:t>
          </m:r>
          <m:f>
            <m:fPr>
              <m:type m:val="bar"/>
            </m:fPr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</m:oMath>
      </m:oMathPara>
    </w:p>
    <w:p>
      <w:pPr>
        <w:pStyle w:val="a3"/>
      </w:pPr>
      <m:oMathPara>
        <m:oMathParaPr>
          <m:jc m:val="center"/>
        </m:oMathParaPr>
        <m:oMath>
          <m:sSup>
            <m:e>
              <m:r>
                <m:rPr/>
                <m:t>e</m:t>
              </m:r>
            </m:e>
            <m:sup>
              <m:r>
                <m:rPr/>
                <m:t>x</m:t>
              </m:r>
            </m:sup>
          </m:sSup>
          <m:r>
            <m:rPr/>
            <m:t>=</m:t>
          </m:r>
          <m:nary>
            <m:naryPr>
              <m:chr m:val="∑"/>
              <m:limLoc m:val="undOvr"/>
              <m:supHide m:val="off"/>
              <m:supHide m:val="off"/>
            </m:naryPr>
            <m:e>
              <m:f>
                <m:fPr>
                  <m:type m:val="bar"/>
                </m:fPr>
                <m:num>
                  <m:sSup>
                    <m:e>
                      <m:r>
                        <m:rPr/>
                        <m:t>x</m:t>
                      </m:r>
                    </m:e>
                    <m:sup>
                      <m:r>
                        <m:rPr/>
                        <m:t>n</m:t>
                      </m:r>
                    </m:sup>
                  </m:sSup>
                </m:num>
                <m:den>
                  <m:r>
                    <m:rPr/>
                    <m:t>n</m:t>
                  </m:r>
                  <m:r>
                    <m:rPr/>
                    <m:t>!</m:t>
                  </m:r>
                </m:den>
              </m:f>
            </m:e>
            <m:sub>
              <m:r>
                <m:rPr/>
                <m:t>n</m:t>
              </m:r>
              <m:r>
                <m:rPr/>
                <m:t>=</m:t>
              </m:r>
              <m:r>
                <m:rPr/>
                <m:t>0</m:t>
              </m:r>
            </m:sub>
            <m:sup>
              <m:r>
                <m:rPr/>
                <m:t>∞</m:t>
              </m:r>
            </m:sup>
          </m:nary>
          <m:r>
            <m:rPr/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rPr/>
                <m:t>n</m:t>
              </m:r>
              <m:r>
                <m:rPr/>
                <m:t>→</m:t>
              </m:r>
              <m:r>
                <m:rPr/>
                <m:t>∞</m:t>
              </m:r>
            </m:lim>
          </m:limLow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x</m:t>
          </m:r>
          <m:r>
            <m:rPr/>
            <m:t>/</m:t>
          </m:r>
          <m:r>
            <m:rPr/>
            <m:t>n</m:t>
          </m:r>
          <m:sSup>
            <m:e>
              <m:r>
                <m:rPr/>
                <m:t>)</m:t>
              </m:r>
            </m:e>
            <m:sup>
              <m:r>
                <m:rPr/>
                <m:t>n</m:t>
              </m:r>
            </m:sup>
          </m:sSup>
        </m:oMath>
      </m:oMathPara>
    </w:p>
    <w:p>
      <w:pPr>
        <w:pStyle w:val="Compact"/>
        <w:numPr>
          <w:numId w:val="1004"/>
          <w:ilvl w:val="0"/>
        </w:numPr>
      </w:pPr>
      <w:r>
        <w:t xml:space="preserve">使用</w:t>
      </w:r>
      <w:r>
        <w:t xml:space="preserve"> </w:t>
      </w:r>
      <w:r>
        <w:t xml:space="preserve">$\LaTeX$</w:t>
      </w:r>
      <w:r>
        <w:t xml:space="preserve"> </w:t>
      </w:r>
      <w:r>
        <w:t xml:space="preserve">的环境</w:t>
      </w:r>
    </w:p>
    <w:p>
      <w:pPr>
        <w:pStyle w:val="Heading2"/>
      </w:pPr>
      <w:bookmarkStart w:id="23" w:name="引用与参考文献"/>
      <w:bookmarkEnd w:id="23"/>
      <w:r>
        <w:t xml:space="preserve">引用与参考文献</w:t>
      </w:r>
    </w:p>
    <w:p>
      <w:pPr>
        <w:pStyle w:val="FirstParagraph"/>
      </w:pPr>
      <w:r>
        <w:t xml:space="preserve">引用资讯放在方括号中，以分号区隔。每一条引用都会有个</w:t>
      </w:r>
      <w:r>
        <w:t xml:space="preserve"> </w:t>
      </w:r>
      <w:r>
        <w:rPr>
          <w:rStyle w:val="VerbatimChar"/>
        </w:rPr>
        <w:t xml:space="preserve">key</w:t>
      </w:r>
      <w:r>
        <w:t xml:space="preserve">，由</w:t>
      </w:r>
      <w:r>
        <w:t xml:space="preserve"> </w:t>
      </w:r>
      <w:r>
        <w:rPr>
          <w:rStyle w:val="VerbatimChar"/>
        </w:rPr>
        <w:t xml:space="preserve">@</w:t>
      </w:r>
      <w:r>
        <w:t xml:space="preserve"> </w:t>
      </w:r>
      <w:r>
        <w:t xml:space="preserve">加上资料库中的</w:t>
      </w:r>
      <w:r>
        <w:t xml:space="preserve"> </w:t>
      </w:r>
      <w:r>
        <w:rPr>
          <w:rStyle w:val="VerbatimChar"/>
        </w:rPr>
        <w:t xml:space="preserve">引用 ID</w:t>
      </w:r>
      <w:r>
        <w:t xml:space="preserve"> </w:t>
      </w:r>
      <w:r>
        <w:t xml:space="preserve">组成，并且可以选择性地包含</w:t>
      </w:r>
      <w:r>
        <w:rPr>
          <w:b/>
        </w:rPr>
        <w:t xml:space="preserve">前缀</w:t>
      </w:r>
      <w:r>
        <w:t xml:space="preserve">、</w:t>
      </w:r>
      <w:r>
        <w:rPr>
          <w:b/>
        </w:rPr>
        <w:t xml:space="preserve">定位</w:t>
      </w:r>
      <w:r>
        <w:t xml:space="preserve">以及</w:t>
      </w:r>
      <w:r>
        <w:rPr>
          <w:b/>
        </w:rPr>
        <w:t xml:space="preserve">后缀</w:t>
      </w:r>
      <w:r>
        <w:t xml:space="preserve">。例如，</w:t>
      </w:r>
    </w:p>
    <w:p>
      <w:pPr>
        <w:numPr>
          <w:numId w:val="1005"/>
          <w:ilvl w:val="0"/>
        </w:numPr>
      </w:pPr>
      <w:r>
        <w:t xml:space="preserve">杨红丽 and 陈钊 (2015)</w:t>
      </w:r>
      <w:r>
        <w:t xml:space="preserve"> </w:t>
      </w:r>
      <w:r>
        <w:t xml:space="preserve">says blah</w:t>
      </w:r>
    </w:p>
    <w:p>
      <w:pPr>
        <w:numPr>
          <w:numId w:val="1005"/>
          <w:ilvl w:val="0"/>
        </w:numPr>
      </w:pPr>
      <w:r>
        <w:t xml:space="preserve">杨汝岱 (2015, 30)</w:t>
      </w:r>
      <w:r>
        <w:t xml:space="preserve"> </w:t>
      </w:r>
      <w:r>
        <w:t xml:space="preserve">says blah.</w:t>
      </w:r>
    </w:p>
    <w:p>
      <w:pPr>
        <w:numPr>
          <w:numId w:val="1005"/>
          <w:ilvl w:val="0"/>
        </w:numPr>
      </w:pPr>
      <w:r>
        <w:t xml:space="preserve">杨洋, 魏江, and 罗来军 (2015, 30, with suffix)</w:t>
      </w:r>
      <w:r>
        <w:t xml:space="preserve"> </w:t>
      </w:r>
      <w:r>
        <w:t xml:space="preserve">says blah.</w:t>
      </w:r>
    </w:p>
    <w:p>
      <w:pPr>
        <w:numPr>
          <w:numId w:val="1005"/>
          <w:ilvl w:val="0"/>
        </w:numPr>
      </w:pPr>
      <w:r>
        <w:t xml:space="preserve">张少华 and 张天华 (2015; 2014, 30; see also 周维 2014)</w:t>
      </w:r>
      <w:r>
        <w:t xml:space="preserve"> </w:t>
      </w:r>
      <w:r>
        <w:t xml:space="preserve">says blah.</w:t>
      </w:r>
    </w:p>
    <w:p>
      <w:pPr>
        <w:numPr>
          <w:numId w:val="1005"/>
          <w:ilvl w:val="0"/>
        </w:numPr>
      </w:pPr>
      <w:r>
        <w:t xml:space="preserve">A citation group</w:t>
      </w:r>
      <w:r>
        <w:t xml:space="preserve"> </w:t>
      </w:r>
      <w:r>
        <w:t xml:space="preserve">(see 张少华 and 张天华 2015, 34–35; also 周维 2014, chap. 3)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Another one</w:t>
      </w:r>
      <w:r>
        <w:t xml:space="preserve"> </w:t>
      </w:r>
      <w:r>
        <w:t xml:space="preserve">(see 张少华 and 张天华 2015, 34–35)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Citation with a suffix and locator</w:t>
      </w:r>
      <w:r>
        <w:t xml:space="preserve"> </w:t>
      </w:r>
      <w:r>
        <w:t xml:space="preserve">(张少华 and 张天华 2015, 33, 35–37, and nowhere else)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Citation with suffix only</w:t>
      </w:r>
      <w:r>
        <w:t xml:space="preserve"> </w:t>
      </w:r>
      <w:r>
        <w:t xml:space="preserve">(张少华 and 张天华 2015 and nowhere else)</w:t>
      </w:r>
      <w:r>
        <w:t xml:space="preserve">.</w:t>
      </w:r>
    </w:p>
    <w:p>
      <w:pPr>
        <w:numPr>
          <w:numId w:val="1005"/>
          <w:ilvl w:val="0"/>
        </w:numPr>
      </w:pPr>
      <w:r>
        <w:t xml:space="preserve">With some markup</w:t>
      </w:r>
      <w:r>
        <w:t xml:space="preserve"> </w:t>
      </w:r>
      <w:r>
        <w:t xml:space="preserve">(</w:t>
      </w:r>
      <w:r>
        <w:rPr>
          <w:i/>
        </w:rPr>
        <w:t xml:space="preserve">see</w:t>
      </w:r>
      <w:r>
        <w:t xml:space="preserve"> </w:t>
      </w:r>
      <w:r>
        <w:t xml:space="preserve">张少华 and 张天华 2015, 32)</w:t>
      </w:r>
      <w:r>
        <w:t xml:space="preserve">.</w:t>
      </w:r>
    </w:p>
    <w:p>
      <w:pPr>
        <w:pStyle w:val="Heading2"/>
      </w:pPr>
      <w:bookmarkStart w:id="24" w:name="自定义清单"/>
      <w:bookmarkEnd w:id="24"/>
      <w:r>
        <w:t xml:space="preserve">自定义清单</w:t>
      </w:r>
    </w:p>
    <w:p>
      <w:pPr>
        <w:pStyle w:val="DefinitionTerm"/>
      </w:pPr>
      <w:r>
        <w:t xml:space="preserve">术语 1</w:t>
      </w:r>
    </w:p>
    <w:p>
      <w:pPr>
        <w:pStyle w:val="Compact"/>
        <w:pStyle w:val="Definition"/>
      </w:pPr>
      <w:r>
        <w:t xml:space="preserve">这是术语1的定义 Definition 1。</w:t>
      </w:r>
    </w:p>
    <w:p>
      <w:pPr>
        <w:pStyle w:val="DefinitionTerm"/>
      </w:pPr>
      <w:r>
        <w:t xml:space="preserve">Term 2 with</w:t>
      </w:r>
      <w:r>
        <w:t xml:space="preserve"> </w:t>
      </w:r>
      <w:r>
        <w:rPr>
          <w:i/>
        </w:rPr>
        <w:t xml:space="preserve">inline markup</w:t>
      </w:r>
    </w:p>
    <w:p>
      <w:pPr>
        <w:pStyle w:val="Definition"/>
      </w:pPr>
      <w:r>
        <w:t xml:space="preserve">Definition 2</w:t>
      </w:r>
    </w:p>
    <w:p>
      <w:pPr>
        <w:pStyle w:val="SourceCode"/>
        <w:pStyle w:val="Definition"/>
      </w:pPr>
      <w:r>
        <w:rPr>
          <w:rStyle w:val="VerbatimChar"/>
        </w:rPr>
        <w:t xml:space="preserve">{ some code, part of Definition 2 }</w:t>
      </w:r>
    </w:p>
    <w:p>
      <w:pPr>
        <w:pStyle w:val="Definition"/>
      </w:pPr>
      <w:r>
        <w:t xml:space="preserve">Third paragraph of definition 2.</w:t>
      </w:r>
    </w:p>
    <w:p>
      <w:pPr>
        <w:pStyle w:val="Heading3"/>
      </w:pPr>
      <w:bookmarkStart w:id="25" w:name="独立清单"/>
      <w:bookmarkEnd w:id="25"/>
      <w:r>
        <w:t xml:space="preserve">独立清单</w:t>
      </w:r>
    </w:p>
    <w:p>
      <w:pPr>
        <w:pStyle w:val="Compact"/>
        <w:numPr>
          <w:numId w:val="1006"/>
          <w:ilvl w:val="0"/>
        </w:numPr>
      </w:pPr>
      <w:r>
        <w:t xml:space="preserve">one</w:t>
      </w:r>
    </w:p>
    <w:p>
      <w:pPr>
        <w:pStyle w:val="Compact"/>
        <w:numPr>
          <w:numId w:val="1006"/>
          <w:ilvl w:val="0"/>
        </w:numPr>
      </w:pPr>
      <w:r>
        <w:t xml:space="preserve">two</w:t>
      </w:r>
    </w:p>
    <w:p>
      <w:pPr>
        <w:pStyle w:val="Compact"/>
        <w:numPr>
          <w:numId w:val="1006"/>
          <w:ilvl w:val="0"/>
        </w:numPr>
      </w:pPr>
      <w:r>
        <w:t xml:space="preserve">three</w:t>
      </w:r>
    </w:p>
    <w:p>
      <w:pPr>
        <w:pStyle w:val="Compact"/>
        <w:numPr>
          <w:numId w:val="1007"/>
          <w:ilvl w:val="0"/>
        </w:numPr>
      </w:pPr>
      <w:r>
        <w:t xml:space="preserve">uno</w:t>
      </w:r>
    </w:p>
    <w:p>
      <w:pPr>
        <w:pStyle w:val="Compact"/>
        <w:numPr>
          <w:numId w:val="1007"/>
          <w:ilvl w:val="0"/>
        </w:numPr>
      </w:pPr>
      <w:r>
        <w:t xml:space="preserve">dos</w:t>
      </w:r>
    </w:p>
    <w:p>
      <w:pPr>
        <w:pStyle w:val="Compact"/>
        <w:numPr>
          <w:numId w:val="1007"/>
          <w:ilvl w:val="0"/>
        </w:numPr>
      </w:pPr>
      <w:r>
        <w:t xml:space="preserve">tres</w:t>
      </w:r>
    </w:p>
    <w:p>
      <w:pPr>
        <w:pStyle w:val="Heading1"/>
      </w:pPr>
      <w:bookmarkStart w:id="26" w:name="表格"/>
      <w:bookmarkEnd w:id="26"/>
      <w:r>
        <w:t xml:space="preserve">表格</w:t>
      </w:r>
    </w:p>
    <w:p>
      <w:pPr>
        <w:pStyle w:val="Heading2"/>
      </w:pPr>
      <w:bookmarkStart w:id="27" w:name="简单表格"/>
      <w:bookmarkEnd w:id="27"/>
      <w:r>
        <w:t xml:space="preserve">简单表格</w:t>
      </w:r>
    </w:p>
    <w:p>
      <w:pPr>
        <w:pStyle w:val="FirstParagraph"/>
      </w:pPr>
      <w:r>
        <w:t xml:space="preserve">简单表格看起来像这样子：</w:t>
      </w:r>
    </w:p>
    <w:p>
      <w:pPr>
        <w:pStyle w:val="TableCaption"/>
      </w:pPr>
      <w:r>
        <w:t xml:space="preserve">Demonstration of simple table syntax.</w:t>
      </w:r>
    </w:p>
    <w:tbl>
      <w:tblPr>
        <w:tblStyle w:val="TableNormal"/>
        <w:tblW w:type="pct" w:w="0.0"/>
        <w:tblLook w:firstRow="1"/>
        <w:tblCaption w:val="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p>
            <w:pPr>
              <w:pStyle w:val="Compact"/>
              <w:jc w:val="center"/>
            </w:pPr>
            <w:r>
              <w:t xml:space="preserve">233</w:t>
            </w:r>
          </w:p>
        </w:tc>
        <w:tc>
          <w:p>
            <w:pPr>
              <w:pStyle w:val="Compact"/>
              <w:jc w:val="left"/>
            </w:pPr>
            <w:r>
              <w:t xml:space="preserve">323</w:t>
            </w:r>
          </w:p>
        </w:tc>
      </w:tr>
    </w:tbl>
    <w:p>
      <w:pPr>
        <w:pStyle w:val="a3"/>
      </w:pPr>
      <w:r>
        <w:t xml:space="preserve">直行的对齐则依照表头的文字和其底下虚线的相对位置来决定：</w:t>
      </w:r>
    </w:p>
    <w:p>
      <w:pPr>
        <w:pStyle w:val="Compact"/>
        <w:numPr>
          <w:numId w:val="1008"/>
          <w:ilvl w:val="0"/>
        </w:numPr>
      </w:pPr>
      <w:r>
        <w:t xml:space="preserve">如果虚线与表头文字的右侧有切齐，而左侧比表头文字还长，则该直行为靠右对齐。</w:t>
      </w:r>
    </w:p>
    <w:p>
      <w:pPr>
        <w:pStyle w:val="Compact"/>
        <w:numPr>
          <w:numId w:val="1008"/>
          <w:ilvl w:val="0"/>
        </w:numPr>
      </w:pPr>
      <w:r>
        <w:t xml:space="preserve">如果虚线与表头文字的左侧有切齐，而右侧比表头文字还长，则该直行为靠左对齐。</w:t>
      </w:r>
    </w:p>
    <w:p>
      <w:pPr>
        <w:pStyle w:val="Compact"/>
        <w:numPr>
          <w:numId w:val="1008"/>
          <w:ilvl w:val="0"/>
        </w:numPr>
      </w:pPr>
      <w:r>
        <w:t xml:space="preserve">如果虚线的两侧都比表头文字长，则该直行为置中对齐。</w:t>
      </w:r>
    </w:p>
    <w:p>
      <w:pPr>
        <w:pStyle w:val="Compact"/>
        <w:numPr>
          <w:numId w:val="1008"/>
          <w:ilvl w:val="0"/>
        </w:numPr>
      </w:pPr>
      <w:r>
        <w:t xml:space="preserve">如果虚线与表头文字的两侧都有切齐，则会套用预设的对齐方式（在大多数情况下， 这将会是靠左对齐）。</w:t>
      </w:r>
    </w:p>
    <w:p>
      <w:pPr>
        <w:pStyle w:val="Heading2"/>
      </w:pPr>
      <w:bookmarkStart w:id="28" w:name="多行表格"/>
      <w:bookmarkEnd w:id="28"/>
      <w:r>
        <w:t xml:space="preserve">多行表格</w:t>
      </w:r>
    </w:p>
    <w:p>
      <w:pPr>
        <w:pStyle w:val="FirstParagraph"/>
      </w:pPr>
      <w:r>
        <w:t xml:space="preserve">多行表格允许表头与表格资料格的文字能以复数行呈现（但不支援横跨多栏或纵跨多列的资料格）。以下为范例：</w:t>
      </w:r>
    </w:p>
    <w:p>
      <w:pPr>
        <w:pStyle w:val="TableCaption"/>
      </w:pPr>
      <w:r>
        <w:t xml:space="preserve">Here's the caption. It, too, may span multiple lines.</w:t>
      </w:r>
    </w:p>
    <w:tbl>
      <w:tblPr>
        <w:tblStyle w:val="TableNormal"/>
        <w:tblW w:type="pct" w:w="4236.111111111111"/>
        <w:tblLook w:firstRow="1"/>
        <w:tblCaption w:val="Here's the caption. It, too, may span multiple lines."/>
      </w:tblPr>
      <w:tblGrid>
        <w:gridCol w:w="1320"/>
        <w:gridCol w:w="880"/>
        <w:gridCol w:w="1760"/>
        <w:gridCol w:w="27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Centered Header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 Aligned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 Aligned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First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12.0</w:t>
            </w:r>
          </w:p>
        </w:tc>
        <w:tc>
          <w:p>
            <w:pPr>
              <w:pStyle w:val="Compact"/>
              <w:jc w:val="left"/>
            </w:pPr>
            <w:r>
              <w:t xml:space="preserve">Example of a row that spans multiple lines.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Second</w:t>
            </w:r>
          </w:p>
        </w:tc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right"/>
            </w:pPr>
            <w:r>
              <w:t xml:space="preserve">5.0</w:t>
            </w:r>
          </w:p>
        </w:tc>
        <w:tc>
          <w:p>
            <w:pPr>
              <w:pStyle w:val="Compact"/>
              <w:jc w:val="left"/>
            </w:pPr>
            <w:r>
              <w:t xml:space="preserve">Here's another one. Note the blank line between rows.</w:t>
            </w:r>
          </w:p>
        </w:tc>
      </w:tr>
    </w:tbl>
    <w:p>
      <w:pPr>
        <w:pStyle w:val="Heading2"/>
      </w:pPr>
      <w:bookmarkStart w:id="29" w:name="格框表格"/>
      <w:bookmarkEnd w:id="29"/>
      <w:r>
        <w:t xml:space="preserve">格框表格</w:t>
      </w:r>
    </w:p>
    <w:p>
      <w:pPr>
        <w:pStyle w:val="FirstParagraph"/>
      </w:pPr>
      <w:r>
        <w:t xml:space="preserve">格框表格看起来像这样：</w:t>
      </w:r>
    </w:p>
    <w:p>
      <w:pPr>
        <w:pStyle w:val="TableCaption"/>
      </w:pPr>
      <w:r>
        <w:t xml:space="preserve">Sample grid table.</w:t>
      </w:r>
    </w:p>
    <w:tbl>
      <w:tblPr>
        <w:tblStyle w:val="TableNormal"/>
        <w:tblW w:type="pct" w:w="3680.5555555555557"/>
        <w:tblLook w:firstRow="1"/>
        <w:tblCaption w:val="Sample grid table."/>
      </w:tblPr>
      <w:tblGrid>
        <w:gridCol w:w="1760"/>
        <w:gridCol w:w="1760"/>
        <w:gridCol w:w="231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Fruit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Price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Advantages</w:t>
            </w:r>
          </w:p>
        </w:tc>
      </w:tr>
      <w:tr>
        <w:tc>
          <w:p>
            <w:pPr>
              <w:jc w:val="left"/>
            </w:pPr>
            <w:r>
              <w:t xml:space="preserve">Bananas</w:t>
            </w:r>
          </w:p>
        </w:tc>
        <w:tc>
          <w:p>
            <w:pPr>
              <w:jc w:val="left"/>
            </w:pPr>
            <w:r>
              <w:t xml:space="preserve">$1.34</w:t>
            </w:r>
          </w:p>
        </w:tc>
        <w:tc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built-in wrapper</w:t>
            </w:r>
          </w:p>
          <w:p>
            <w:pPr>
              <w:pStyle w:val="Compact"/>
              <w:jc w:val="left"/>
              <w:numPr>
                <w:numId w:val="1009"/>
                <w:ilvl w:val="0"/>
              </w:numPr>
            </w:pPr>
            <w:r>
              <w:t xml:space="preserve">bright color</w:t>
            </w:r>
          </w:p>
        </w:tc>
      </w:tr>
      <w:tr>
        <w:tc>
          <w:p>
            <w:pPr>
              <w:jc w:val="left"/>
            </w:pPr>
            <w:r>
              <w:t xml:space="preserve">Oranges</w:t>
            </w:r>
          </w:p>
        </w:tc>
        <w:tc>
          <w:p>
            <w:pPr>
              <w:jc w:val="left"/>
            </w:pPr>
            <w:r>
              <w:t xml:space="preserve">$2.10</w:t>
            </w:r>
          </w:p>
        </w:tc>
        <w:tc>
          <w:p>
            <w:pPr>
              <w:pStyle w:val="Compact"/>
              <w:jc w:val="left"/>
              <w:numPr>
                <w:numId w:val="1010"/>
                <w:ilvl w:val="0"/>
              </w:numPr>
            </w:pPr>
            <w:r>
              <w:t xml:space="preserve">cures scurvy</w:t>
            </w:r>
          </w:p>
          <w:p>
            <w:pPr>
              <w:pStyle w:val="Compact"/>
              <w:jc w:val="left"/>
              <w:numPr>
                <w:numId w:val="1010"/>
                <w:ilvl w:val="0"/>
              </w:numPr>
            </w:pPr>
            <w:r>
              <w:t xml:space="preserve">tasty</w:t>
            </w:r>
          </w:p>
        </w:tc>
      </w:tr>
    </w:tbl>
    <w:p>
      <w:pPr>
        <w:pStyle w:val="FirstParagraph"/>
      </w:pPr>
      <w:r>
        <w:t xml:space="preserve">以 = 串成的一行区分了表头与表格本体，这在没有表头的表格中也是可以省略的。在格框表格中的资料格可以包含任意的区块元素（复数段落、代码区块、清单等等）。不支援对齐，也不支援横跨多栏或纵跨多列的资料格。格框表格可以在 Emacs table mode 下轻松建立</w:t>
      </w:r>
    </w:p>
    <w:p>
      <w:pPr>
        <w:pStyle w:val="Heading2"/>
      </w:pPr>
      <w:bookmarkStart w:id="30" w:name="管线表格"/>
      <w:bookmarkEnd w:id="30"/>
      <w:r>
        <w:t xml:space="preserve">管线表格</w:t>
      </w:r>
    </w:p>
    <w:p>
      <w:pPr>
        <w:pStyle w:val="FirstParagraph"/>
      </w:pPr>
      <w:r>
        <w:t xml:space="preserve">管线表格看起来像这样：</w:t>
      </w:r>
    </w:p>
    <w:p>
      <w:pPr>
        <w:pStyle w:val="TableCaption"/>
      </w:pPr>
      <w:r>
        <w:t xml:space="preserve">Demonstration of simple table syntax.</w:t>
      </w:r>
    </w:p>
    <w:tbl>
      <w:tblPr>
        <w:tblStyle w:val="TableNormal"/>
        <w:tblW w:type="pct" w:w="0.0"/>
        <w:tblLook w:firstRow="1"/>
        <w:tblCaption w:val="Demonstration of simple table syntax.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Right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Left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Default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Center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center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p>
            <w:pPr>
              <w:pStyle w:val="Compact"/>
              <w:jc w:val="center"/>
            </w:pPr>
            <w:r>
              <w:t xml:space="preserve">123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center"/>
            </w:pPr>
            <w:r>
              <w:t xml:space="preserve">1</w:t>
            </w:r>
          </w:p>
        </w:tc>
      </w:tr>
    </w:tbl>
    <w:p>
      <w:pPr>
        <w:pStyle w:val="a3"/>
      </w:pPr>
      <w:r>
        <w:t xml:space="preserve">这个语法与 PHP markdown extra 中的表格语法相同。开始与结尾的管线字元是可选的，但各直行间则必须以管线区隔。上面范例中的冒号表明了对齐方式。表头可以省略，但表头下的水平虚线必须保留，因为虚线上定义了资料栏的对齐方式。</w:t>
      </w:r>
    </w:p>
    <w:p>
      <w:pPr>
        <w:pStyle w:val="a3"/>
      </w:pPr>
      <w:r>
        <w:t xml:space="preserve">注意：Pandoc 也可以看得懂以下形式的管线表格，这是由 Emacs 的 orgtbl-mod 所绘制：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One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Two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my</w:t>
            </w:r>
          </w:p>
        </w:tc>
        <w:tc>
          <w:p>
            <w:pPr>
              <w:pStyle w:val="Compact"/>
              <w:jc w:val="left"/>
            </w:pPr>
            <w:r>
              <w:t xml:space="preserve">table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</w:t>
            </w:r>
          </w:p>
        </w:tc>
        <w:tc>
          <w:p>
            <w:pPr>
              <w:pStyle w:val="Compact"/>
              <w:jc w:val="left"/>
            </w:pPr>
            <w:r>
              <w:t xml:space="preserve">nice</w:t>
            </w:r>
          </w:p>
        </w:tc>
      </w:tr>
    </w:tbl>
    <w:p>
      <w:pPr>
        <w:pStyle w:val="a3"/>
      </w:pPr>
      <w:r>
        <w:t xml:space="preserve">主要的差别在于以 + 取代了部分的 |。其他的 orgtbl 功能并未支援。如果要指定非预 设的直行对齐形式，你仍然需要在上面的表格中自行加入冒号。</w:t>
      </w:r>
    </w:p>
    <w:p>
      <w:pPr>
        <w:pStyle w:val="a3"/>
      </w:pPr>
      <w:r>
        <w:t xml:space="preserve">再来一个试试，使用 orgtbl的命令：</w:t>
      </w:r>
      <w:r>
        <w:t xml:space="preserve"> </w:t>
      </w:r>
      <w:r>
        <w:rPr>
          <w:rStyle w:val="VerbatimChar"/>
        </w:rPr>
        <w:t xml:space="preserve">orgtbl-mode</w:t>
      </w:r>
      <w:r>
        <w:t xml:space="preserve"> </w:t>
      </w:r>
      <w:r>
        <w:rPr>
          <w:rStyle w:val="VerbatimChar"/>
        </w:rPr>
        <w:t xml:space="preserve">C-c |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性别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年龄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张三</w:t>
            </w:r>
          </w:p>
        </w:tc>
        <w:tc>
          <w:p>
            <w:pPr>
              <w:pStyle w:val="Compact"/>
              <w:jc w:val="left"/>
            </w:pPr>
            <w:r>
              <w:t xml:space="preserve">男</w:t>
            </w:r>
          </w:p>
        </w:tc>
        <w:tc>
          <w:p>
            <w:pPr>
              <w:pStyle w:val="Compact"/>
              <w:jc w:val="left"/>
            </w:pPr>
            <w:r>
              <w:t xml:space="preserve">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李四</w:t>
            </w:r>
          </w:p>
        </w:tc>
        <w:tc>
          <w:p>
            <w:pPr>
              <w:pStyle w:val="Compact"/>
              <w:jc w:val="left"/>
            </w:pPr>
            <w:r>
              <w:t xml:space="preserve">男</w:t>
            </w:r>
          </w:p>
        </w:tc>
        <w:tc>
          <w:p>
            <w:pPr>
              <w:pStyle w:val="Compact"/>
              <w:jc w:val="left"/>
            </w:pPr>
            <w:r>
              <w:t xml:space="preserve">33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王二</w:t>
            </w:r>
          </w:p>
        </w:tc>
        <w:tc>
          <w:p>
            <w:pPr>
              <w:pStyle w:val="Compact"/>
              <w:jc w:val="left"/>
            </w:pPr>
            <w:r>
              <w:t xml:space="preserve">男</w:t>
            </w:r>
          </w:p>
        </w:tc>
        <w:tc>
          <w:p>
            <w:pPr>
              <w:pStyle w:val="Compact"/>
              <w:jc w:val="left"/>
            </w:pPr>
            <w:r>
              <w:t xml:space="preserve">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宫二</w:t>
            </w:r>
          </w:p>
        </w:tc>
        <w:tc>
          <w:p>
            <w:pPr>
              <w:pStyle w:val="Compact"/>
              <w:jc w:val="left"/>
            </w:pPr>
            <w:r>
              <w:t xml:space="preserve">女</w:t>
            </w:r>
          </w:p>
        </w:tc>
        <w:tc>
          <w:p>
            <w:pPr>
              <w:pStyle w:val="Compact"/>
              <w:jc w:val="left"/>
            </w:pPr>
            <w:r>
              <w:t xml:space="preserve">18</w:t>
            </w:r>
          </w:p>
        </w:tc>
      </w:tr>
    </w:tbl>
    <w:p>
      <w:pPr>
        <w:pStyle w:val="Heading1"/>
      </w:pPr>
      <w:bookmarkStart w:id="31" w:name="references"/>
      <w:bookmarkEnd w:id="31"/>
      <w:r>
        <w:t xml:space="preserve">References</w:t>
      </w:r>
    </w:p>
    <w:p>
      <w:pPr>
        <w:pStyle w:val="a7"/>
      </w:pPr>
      <w:r>
        <w:t xml:space="preserve">abc. 2015. “This Abc Title.”</w:t>
      </w:r>
      <w:r>
        <w:t xml:space="preserve"> </w:t>
      </w:r>
      <w:r>
        <w:rPr>
          <w:i/>
        </w:rPr>
        <w:t xml:space="preserve">The Abc Journal</w:t>
      </w:r>
      <w:r>
        <w:t xml:space="preserve"> </w:t>
      </w:r>
      <w:r>
        <w:t xml:space="preserve">1.</w:t>
      </w:r>
    </w:p>
    <w:p>
      <w:pPr>
        <w:pStyle w:val="a7"/>
      </w:pPr>
      <w:r>
        <w:t xml:space="preserve">周维. 2014. “工业企业创新租金分享程度研究.”</w:t>
      </w:r>
      <w:r>
        <w:t xml:space="preserve"> </w:t>
      </w:r>
      <w:r>
        <w:rPr>
          <w:i/>
        </w:rPr>
        <w:t xml:space="preserve">经济研究参考</w:t>
      </w:r>
      <w:r>
        <w:t xml:space="preserve">, no. 21: 76–91.</w:t>
      </w:r>
      <w:r>
        <w:t xml:space="preserve"> </w:t>
      </w:r>
      <w:hyperlink r:id="rId32">
        <w:r>
          <w:rPr>
            <w:rStyle w:val="a9"/>
          </w:rPr>
          <w:t xml:space="preserve">http://www.cqvip.com/qk/80343x/201421/49429227.html</w:t>
        </w:r>
      </w:hyperlink>
      <w:r>
        <w:t xml:space="preserve">.</w:t>
      </w:r>
    </w:p>
    <w:p>
      <w:pPr>
        <w:pStyle w:val="a7"/>
      </w:pPr>
      <w:r>
        <w:t xml:space="preserve">张少华, and 张天华. 2015. “中国工业企业动态演化效率研究: 所有制视角.”</w:t>
      </w:r>
      <w:r>
        <w:t xml:space="preserve"> </w:t>
      </w:r>
      <w:r>
        <w:rPr>
          <w:i/>
        </w:rPr>
        <w:t xml:space="preserve">数量经济技术经济研究</w:t>
      </w:r>
      <w:r>
        <w:t xml:space="preserve"> </w:t>
      </w:r>
      <w:r>
        <w:t xml:space="preserve">3: 002.</w:t>
      </w:r>
      <w:r>
        <w:t xml:space="preserve"> </w:t>
      </w:r>
      <w:hyperlink r:id="rId33">
        <w:r>
          <w:rPr>
            <w:rStyle w:val="a9"/>
          </w:rPr>
          <w:t xml:space="preserve">http://www.cnki.com.cn/Article/CJFDTotal-SLJY201503002.htm</w:t>
        </w:r>
      </w:hyperlink>
      <w:r>
        <w:t xml:space="preserve">.</w:t>
      </w:r>
    </w:p>
    <w:p>
      <w:pPr>
        <w:pStyle w:val="a7"/>
      </w:pPr>
      <w:r>
        <w:t xml:space="preserve">杨汝岱. 2015. “中国制造业企业全要素生产率研究.”</w:t>
      </w:r>
      <w:r>
        <w:t xml:space="preserve"> </w:t>
      </w:r>
      <w:r>
        <w:rPr>
          <w:i/>
        </w:rPr>
        <w:t xml:space="preserve">经济研究</w:t>
      </w:r>
      <w:r>
        <w:t xml:space="preserve"> </w:t>
      </w:r>
      <w:r>
        <w:t xml:space="preserve">50 (2): 61–74.</w:t>
      </w:r>
      <w:r>
        <w:t xml:space="preserve"> </w:t>
      </w:r>
      <w:hyperlink r:id="rId34">
        <w:r>
          <w:rPr>
            <w:rStyle w:val="a9"/>
          </w:rPr>
          <w:t xml:space="preserve">http://www.flcds.fudan.edu.cn/userfiles/20150323/20150323093700.pdf</w:t>
        </w:r>
      </w:hyperlink>
      <w:r>
        <w:t xml:space="preserve">.</w:t>
      </w:r>
    </w:p>
    <w:p>
      <w:pPr>
        <w:pStyle w:val="a7"/>
      </w:pPr>
      <w:r>
        <w:t xml:space="preserve">杨洋, 魏江, and 罗来军. 2015. “谁在利用政府补贴进行创新?——所有制和要素市场扭曲的联合调节效应.”</w:t>
      </w:r>
      <w:r>
        <w:t xml:space="preserve"> </w:t>
      </w:r>
      <w:r>
        <w:rPr>
          <w:i/>
        </w:rPr>
        <w:t xml:space="preserve">管理世界</w:t>
      </w:r>
      <w:r>
        <w:t xml:space="preserve">, no. 1: 75–86.</w:t>
      </w:r>
      <w:r>
        <w:t xml:space="preserve"> </w:t>
      </w:r>
      <w:hyperlink r:id="rId35">
        <w:r>
          <w:rPr>
            <w:rStyle w:val="a9"/>
          </w:rPr>
          <w:t xml:space="preserve">http://www.cqvip.com/qk/95499x/201501/663279788.html</w:t>
        </w:r>
      </w:hyperlink>
      <w:r>
        <w:t xml:space="preserve">.</w:t>
      </w:r>
    </w:p>
    <w:p>
      <w:pPr>
        <w:pStyle w:val="a7"/>
      </w:pPr>
      <w:r>
        <w:t xml:space="preserve">杨红丽, and 陈钊. 2015. “外商直接投资水平溢出的间接机制: 基于上游供应商的研究.”</w:t>
      </w:r>
      <w:r>
        <w:t xml:space="preserve"> </w:t>
      </w:r>
      <w:r>
        <w:rPr>
          <w:i/>
        </w:rPr>
        <w:t xml:space="preserve">世界经济</w:t>
      </w:r>
      <w:r>
        <w:t xml:space="preserve">, no. 3: 123–44.</w:t>
      </w:r>
      <w:r>
        <w:t xml:space="preserve"> </w:t>
      </w:r>
      <w:hyperlink r:id="rId36">
        <w:r>
          <w:rPr>
            <w:rStyle w:val="a9"/>
          </w:rPr>
          <w:t xml:space="preserve">http://www.cqvip.com/qk/92713x/201503/664193681.html</w:t>
        </w:r>
      </w:hyperlink>
      <w:r>
        <w:t xml:space="preserve">.</w:t>
      </w:r>
    </w:p>
    <w:p>
      <w:pPr>
        <w:pStyle w:val="a7"/>
      </w:pPr>
      <w:r>
        <w:t xml:space="preserve">赵浚竹, 孙铁山, and 李国平. 2014. “中国汽车制造业集聚与企业区位选择.”</w:t>
      </w:r>
      <w:r>
        <w:t xml:space="preserve"> </w:t>
      </w:r>
      <w:r>
        <w:rPr>
          <w:i/>
        </w:rPr>
        <w:t xml:space="preserve">地理学报</w:t>
      </w:r>
      <w:r>
        <w:t xml:space="preserve"> </w:t>
      </w:r>
      <w:r>
        <w:t xml:space="preserve">69 (6): 850–62.</w:t>
      </w:r>
      <w:r>
        <w:t xml:space="preserve"> </w:t>
      </w:r>
      <w:hyperlink r:id="rId37">
        <w:r>
          <w:rPr>
            <w:rStyle w:val="a9"/>
          </w:rPr>
          <w:t xml:space="preserve">http://www.cnki.com.cn/Article/CJFDTotal-DLXB201406011.htm</w:t>
        </w:r>
      </w:hyperlink>
      <w:r>
        <w:t xml:space="preserve">.</w:t>
      </w:r>
    </w:p>
    <w:sectPr w:rsidR="0045144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17F69BA"/>
    <w:multiLevelType w:val="multilevel"/>
    <w:tmpl w:val="75D8799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793F504"/>
    <w:multiLevelType w:val="multilevel"/>
    <w:tmpl w:val="E4E6F3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31665F3"/>
    <w:multiLevelType w:val="multilevel"/>
    <w:tmpl w:val="5F444438"/>
    <w:lvl w:ilvl="0">
      <w:start w:val="1"/>
      <w:numFmt w:val="decimal"/>
      <w:pStyle w:val="Heading1"/>
      <w:lvlText w:val="%1."/>
      <w:lvlJc w:val="left"/>
      <w:pPr>
        <w:ind w:left="425" w:hanging="425"/>
      </w:pPr>
    </w:lvl>
    <w:lvl w:ilvl="1">
      <w:start w:val="1"/>
      <w:numFmt w:val="decimal"/>
      <w:pStyle w:val="Heading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90">
    <w:nsid w:val="f3dcc44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a257a2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331">
    <w:nsid w:val="543cf641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333">
    <w:nsid w:val="27ccdd26"/>
    <w:multiLevelType w:val="multilevel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237fb3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1000">
    <w:abstractNumId w:val="990"/>
  </w:num>
  <w:num w:numId="1001">
    <w:abstractNumId w:val="991"/>
  </w:num>
  <w:num w:numId="1002">
    <w:abstractNumId w:val="993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3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qFormat/>
    <w:rsid w:val="00615742"/>
    <w:pPr>
      <w:spacing w:before="180" w:after="180"/>
      <w:ind w:firstLineChars="200" w:firstLine="200"/>
    </w:pPr>
  </w:style>
  <w:style w:type="paragraph" w:customStyle="1" w:styleId="FirstParagraph">
    <w:name w:val="First Paragraph"/>
    <w:basedOn w:val="a3"/>
    <w:next w:val="a3"/>
    <w:qFormat/>
    <w:rsid w:val="00615742"/>
  </w:style>
  <w:style w:type="paragraph" w:customStyle="1" w:styleId="Compact">
    <w:name w:val="Compact"/>
    <w:basedOn w:val="a3"/>
    <w:qFormat/>
    <w:pPr>
      <w:spacing w:before="36" w:after="36"/>
    </w:pPr>
  </w:style>
  <w:style w:type="paragraph" w:styleId="a4">
    <w:name w:val="Title"/>
    <w:basedOn w:val="a"/>
    <w:next w:val="a3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pPr>
      <w:keepNext/>
      <w:keepLines/>
      <w:jc w:val="center"/>
    </w:pPr>
  </w:style>
  <w:style w:type="paragraph" w:styleId="a6">
    <w:name w:val="Date"/>
    <w:next w:val="a3"/>
    <w:qFormat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customStyle="1" w:styleId="Heading1">
    <w:name w:val="Heading 1"/>
    <w:basedOn w:val="a"/>
    <w:next w:val="a3"/>
    <w:uiPriority w:val="9"/>
    <w:qFormat/>
    <w:rsid w:val="00F41ABA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F41ABA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customStyle="1" w:styleId="Caption">
    <w:name w:val="Caption"/>
    <w:basedOn w:val="a"/>
    <w:link w:val="BodyText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a0"/>
    <w:link w:val="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styleId="a9">
    <w:name w:val="Hyperlink"/>
    <w:basedOn w:val="BodyTextChar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www.cnki.com.cn/Article/CJFDTotal-DLXB201406011.htm" TargetMode="External" /><Relationship Type="http://schemas.openxmlformats.org/officeDocument/2006/relationships/hyperlink" Id="rId33" Target="http://www.cnki.com.cn/Article/CJFDTotal-SLJY201503002.htm" TargetMode="External" /><Relationship Type="http://schemas.openxmlformats.org/officeDocument/2006/relationships/hyperlink" Id="rId32" Target="http://www.cqvip.com/qk/80343x/201421/49429227.html" TargetMode="External" /><Relationship Type="http://schemas.openxmlformats.org/officeDocument/2006/relationships/hyperlink" Id="rId36" Target="http://www.cqvip.com/qk/92713x/201503/664193681.html" TargetMode="External" /><Relationship Type="http://schemas.openxmlformats.org/officeDocument/2006/relationships/hyperlink" Id="rId35" Target="http://www.cqvip.com/qk/95499x/201501/663279788.html" TargetMode="External" /><Relationship Type="http://schemas.openxmlformats.org/officeDocument/2006/relationships/hyperlink" Id="rId34" Target="http://www.flcds.fudan.edu.cn/userfiles/20150323/20150323093700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cnki.com.cn/Article/CJFDTotal-DLXB201406011.htm" TargetMode="External" /><Relationship Type="http://schemas.openxmlformats.org/officeDocument/2006/relationships/hyperlink" Id="rId33" Target="http://www.cnki.com.cn/Article/CJFDTotal-SLJY201503002.htm" TargetMode="External" /><Relationship Type="http://schemas.openxmlformats.org/officeDocument/2006/relationships/hyperlink" Id="rId32" Target="http://www.cqvip.com/qk/80343x/201421/49429227.html" TargetMode="External" /><Relationship Type="http://schemas.openxmlformats.org/officeDocument/2006/relationships/hyperlink" Id="rId36" Target="http://www.cqvip.com/qk/92713x/201503/664193681.html" TargetMode="External" /><Relationship Type="http://schemas.openxmlformats.org/officeDocument/2006/relationships/hyperlink" Id="rId35" Target="http://www.cqvip.com/qk/95499x/201501/663279788.html" TargetMode="External" /><Relationship Type="http://schemas.openxmlformats.org/officeDocument/2006/relationships/hyperlink" Id="rId34" Target="http://www.flcds.fudan.edu.cn/userfiles/20150323/2015032309370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1031</Characters>
  <Application>Microsoft Macintosh Word</Application>
  <DocSecurity>0</DocSecurity>
  <Lines>8</Lines>
  <Paragraphs>2</Paragraphs>
  <ScaleCrop>false</ScaleCrop>
  <Company/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Publishing Papers with Pandoc</dc:title>
  <dc:creator>Gabe Lee</dc:creator>
  <dcterms:created xsi:type="dcterms:W3CDTF">2015-11-26</dcterms:created>
  <dcterms:modified xsi:type="dcterms:W3CDTF">2015-11-26</dcterms:modified>
</cp:coreProperties>
</file>