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Relatório:</w:t>
      </w:r>
    </w:p>
    <w:p>
      <w:r>
        <w:t xml:space="preserve">Vistos. </w:t>
      </w:r>
    </w:p>
    <w:p>
      <w:r>
        <w:t xml:space="preserve">Trata-se de AÇÃO DE REPARAÇÃO POR DANOS MORAIS movida por ALEXANDRE ELIAS FERNANDES, criança, representado por sua mãe, MARIA ELIAS FERNANDES, em face da ESCOLA DE EDUCAÇÃO INFANTIL E ENSINO FUNDAMENTAL ALPHA LTDA.-ME. </w:t>
      </w:r>
    </w:p>
    <w:p>
      <w:r>
        <w:t>Alega a exordial que o autor, portador de autismo, teve negada sua matrícula na escola após visita e prévia aceitação. O autor afirma que, após ser informado da existência de vaga, teria agendado visita à unidade escolar em 24 de maio de 2022, oportunidade na qual o autor foi apresentado como criança autista e sua inclusão no ambiente escolar foi discutida.</w:t>
      </w:r>
    </w:p>
    <w:p>
      <w:r>
        <w:t xml:space="preserve">Narra, ainda, que após dois dias sem retorno sobre valores de matrícula, a mãe do autor foi informada que as vagas haviam sido preenchidas por outro aluno. A genitora teria então, por meio de uma terceira pessoa, constatado que a escola ainda dispunha de vagas para outros alunos, sugerindo que a negativa da matrícula do autor teria sido motivada por discriminação devido à sua condição de autista. </w:t>
      </w:r>
    </w:p>
    <w:p>
      <w:r>
        <w:t>Pleiteou a condenação da requerida ao pagamento de indenização por danos morais no valor de R$ 30.000,00, sob alegação de prática discriminatória contra o autor, a concessão dos benefícios da justiça gratuita por serem hipossuficientes, e a produção de provas documentais, testemunhais e depoimento pessoal da representante legal da escola, entre outros meios de prova admitidos em direito.</w:t>
      </w:r>
    </w:p>
    <w:p>
      <w:r>
        <w:t>Deu à causa o valor de R$30.000,00.</w:t>
      </w:r>
    </w:p>
    <w:p>
      <w:r>
        <w:t>Gratuidade de justiça concedida as fls. 58.</w:t>
      </w:r>
    </w:p>
    <w:p>
      <w:r>
        <w:t>Inicial recebida às fls. 77, determinando-se a citação da requerida para apresentação de defesa.</w:t>
      </w:r>
    </w:p>
    <w:p>
      <w:r>
        <w:t xml:space="preserve">A ré, em sua contestação (fls. 105/114), alegou a inexistência de ato discriminatório, sustentando que as vagas para o período matutino foram preenchidas antes do pedido de matrícula do autor e que o critério de preenchimento seguiu a ordem de procura e matrícula, sem discriminação. </w:t>
      </w:r>
    </w:p>
    <w:p>
      <w:r>
        <w:t xml:space="preserve">Asseverou que, de fato, havia uma vaga sobrando, na medida em que havia 14 alunos matriculados na sala em que o autor pretendia a sua inserção, mas que não poderia receber mais um autista na referida turma, na medida em que a legislação assim não o permitiria e isso levaria a uma ausência de atenção e educação diferenciada aos alunos especiais. Apesar disso, a instituição negou que tenha havido recusa em função da condição do autor e pediu a improcedência da ação. </w:t>
      </w:r>
    </w:p>
    <w:p>
      <w:r>
        <w:t>Audiência de instrução em que foram ouvidas testemunhas (fls. 165).</w:t>
      </w:r>
    </w:p>
    <w:p>
      <w:r>
        <w:t xml:space="preserve">Alegações finais da ré às fls. 168/171 e do autor fls. 172/179. </w:t>
      </w:r>
    </w:p>
    <w:p>
      <w:r>
        <w:t>Os autos vieram conclusos para sentença.</w:t>
      </w:r>
    </w:p>
    <w:p>
      <w:r>
        <w:t>Eis o relatório.</w:t>
      </w:r>
    </w:p>
    <w:p>
      <w:r>
        <w:t>FUNDAMENTO e DECIDO.</w:t>
      </w:r>
    </w:p>
    <w:p>
      <w:r>
        <w:t>Presentes os pressupostos e condições da ação (art. 17 do Código de [PARTE]).</w:t>
      </w:r>
    </w:p>
    <w:p>
      <w:r>
        <w:t>No mérito, o pedido é PROCEDENTE.</w:t>
      </w:r>
    </w:p>
    <w:p>
      <w:r>
        <w:t xml:space="preserve">De início cabe ressaltar que, apesar de inexistir contrato estabelecido pelas partes, a demanda trata de relação pré-contratual, em que as partes fazem surgir de forma bilateral a justa expectativa de que o contrato venha a ser firmado. </w:t>
      </w:r>
    </w:p>
    <w:p>
      <w:r>
        <w:t xml:space="preserve">Neste sentido, em que pese a inexistência de contrato efetivamente firmado entre as partes, há a obrigação inerente às relações humanas de que aquele que se insere nos atos sociais da vida cotidiana venha a fazê-lo observando a boa-fé objetiva. </w:t>
      </w:r>
    </w:p>
    <w:p>
      <w:r>
        <w:t xml:space="preserve">Isso, pois a irradiação das normas constitucionais no âmbito das relações privadas (teoria da eficácia horizontal dos direitos fundamentais), especialmente nas relações de consumo, traz consigo a necessidade de que haja o respeito pelos particulares quanto aos princípios basilares da [PARTE]. </w:t>
      </w:r>
    </w:p>
    <w:p>
      <w:r>
        <w:t xml:space="preserve">Como princípios basilares das relações estabelecidas no seio social, os princípios da defesa ao consumidor e da boa-fé objetiva destacam a necessidade de que mesmo nas negociações prévias ambas as partes ajam, respectivamente, dentro dos parâmetros éticos esperados. O princípio da boa-fé objetiva, exige, assim, postura de lealdade, transparência e colaboração entre os negociantes, o que redunda na possibilidade de que se crie justa expectativa de formação contratual na parte adversa. </w:t>
      </w:r>
    </w:p>
    <w:p>
      <w:r>
        <w:t xml:space="preserve">Nesse sentido, a ruptura ilegítima da relação pode levar ao reconhecimento do dever de indenizar, já que se criou na parte adversa a expectativa real e legítima de contratação. Desta forma, havendo lesão aos direitos materiais ou de personalidade da parte que se diz prejudicada, é possível a tutela jurisdicional para se compensar, por intermédio da indenização, o dano experimentado. </w:t>
      </w:r>
    </w:p>
    <w:p>
      <w:r>
        <w:t xml:space="preserve"> A doutrina leciona:</w:t>
      </w:r>
    </w:p>
    <w:p>
      <w:r>
        <w:t>A boa-fé objetiva apresenta, no direito brasileiro contemporâneo, ao menos três funções que podem ser didaticamente separadas em: i) função interpretativa (art. 113 do CC)- ii) função restritiva do exercício de direitos (art. 187 do CC)- e iii) função geradora de deveres anexos às obrigações contratuais (art. 422 do CC). Mercê da força normativa da boa-fé, a violação dos deveres associados a qualquer uma das aludidas funções no curso da execução do contrato enseja responsabilidade civil de natureza contratual, deflagrando o dever de reparação.</w:t>
      </w:r>
    </w:p>
    <w:p>
      <w:r>
        <w:t xml:space="preserve">Com efeito, o [PARTE] impõe a observância dos deveres decorrentes da boa-fé “na conclusão do contrato, como em sua execução” (art. 422), não mencionando a hipótese de responsabilidade pré-contratual pelos danos oriundos do descumprimento de tais deveres. Coube, assim, à doutrina, a construção dos contornos e dos limites dessa responsabilidade, decorrência do princípio da solidariedade constitucional, a suscitar a expansão da eficácia da boa-fé objetiva precedentemente à formalização do negócio jurídico, justificada em razão do contato social qualificado entre as partes em negociação, que se aproximam com vistas à formação de contrato futuro. O elevado grau de proximidade entre os negociantes lhes impõe especiais deveres de proteção e preservação da “integridade da esfera jurídica e da confiança que os uniu”. O desafio reside, justamente, em identificar o equilíbrio entre a liberdade, fundamental na fase das tratativas, e a proteção da confiança das partes. </w:t>
      </w:r>
    </w:p>
    <w:p>
      <w:r>
        <w:t xml:space="preserve">Nesse cenário, a fase de negociações prévias à celebração do contrato apresenta-se, por sua própria natureza, híbrida, entre a liberdade (de decidir por contratar) e o compromisso (gradativamente assumido), sendo-lhe ínsita a possibilidade de ruptura sem que o negócio seja, afinal, formalizado. Suprimir, em abstrato, a possibilidade de ruptura das negociações equivaleria a negar existência à fase das tratativas, pressupondo vínculo contratual desde o primeiro contato entre as partes. Por outro lado, não se pode afirmar que qualquer ruptura imotivada das negociações configure prerrogativa legítima das partes. Em verdade, o ordenamento assegura, além do controle de ilicitude, a tutela contra a abusividade na quebra das tratativas, especialmente quando se tenha despertado a legítima expectativa na outra parte quanto à conclusão do negócio. (Tepedino, Gustavo; Terra, Aline de [PARTE]; Guedes, [PARTE] da Cruz. Fundamentos do [PARTE] – [PARTE]. Volume 4. Rio de Janeiro: [PARTE], 2020) </w:t>
      </w:r>
    </w:p>
    <w:p>
      <w:r>
        <w:t xml:space="preserve">Posta a possibilidade de responsabilização pelos danos in tese experimentados na relação prévia à contratação propriamente dita, cabe ressaltar que o caso comporta aplicação do Código de Defesa do Consumidor. </w:t>
      </w:r>
    </w:p>
    <w:p>
      <w:r>
        <w:t xml:space="preserve">O mérito da demanda envolve nítida relação de consumo e deve ser interpretado à luz do Código de Defesa do Consumidor, uma vez que a requerida é pessoa jurídica direcionada ao fornecimento de serviços educacionais, de forma profissional, com o intuito de lucro (ainda que indireto), a seu destinatário final (autor-consumidor). </w:t>
      </w:r>
    </w:p>
    <w:p>
      <w:r>
        <w:t xml:space="preserve">Presentes, portanto, os elementos necessários à identificação da relação de consumo (art. 2º e 3º do [PARTE]). Assim, todo o influxo de normas do referido [PARTE] são aplicáveis ao caso. Esse cenário não se altera pelo fato de que a contratação ainda não havia se estabelecido de fato, na medida em que é equiparado a consumidor pelo próprio parágrafo único do art. 2º do Código de Defesa do Consumidor. </w:t>
      </w:r>
    </w:p>
    <w:p>
      <w:r>
        <w:t>Por sua vez, determina o artigo 14 do Código de Defesa do Consumidor 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Ato contínuo, “(...) § 3° O fornecedor de serviços só não será responsabilizado quando provar: I - que, tendo prestado o serviço, o defeito inexiste; II - a culpa exclusiva do consumidor ou de terceiro”.</w:t>
      </w:r>
    </w:p>
    <w:p>
      <w:r>
        <w:t xml:space="preserve">No caso dos autos a ré não se desincumbiu de seu ônus probatório, estando ausente a demonstração de que ocorrera qualquer das hipóteses de excludente da responsabilidade civil, sob o prisma do [PARTE]. </w:t>
      </w:r>
    </w:p>
    <w:p>
      <w:r>
        <w:t>Pelo contrário, a própria ré admite que mantinha 14 alunos na sala e que havia, de fato, uma vaga ainda disponível, mas que não poderia ser preenchida na medida em que outros 3 alunos com espectro autista já integravam a turma que o autor pretendia, também, integrar, o que pode ser depreendido do excerto extraído da contestação (fls. 110):</w:t>
      </w:r>
    </w:p>
    <w:p>
      <w:r>
        <w:t>“Veja, no caso em tela, conforme Listagem de Alunos (Doc. Anexo), haviam 14 alunos matriculados na turma, dos quais, 03 possuíam necessidades especiais (com atenção diferenciada e educação inclusiva), portanto, a ré possuía ainda 01 (uma) vaga disponível para aluno que não demandasse atenção especial.</w:t>
      </w:r>
    </w:p>
    <w:p>
      <w:r>
        <w:t xml:space="preserve">Diante disso, é incontroverso (art. 374 do Código de [PARTE]), que havia ainda uma vaga disponível a ser preenchida. A decisão de mérito, portanto, deve se ater a legitimidade ou ilegitimidade da negativa em face das alegações de que a sala não suportaria mais um aluno com espectro autista. </w:t>
      </w:r>
    </w:p>
    <w:p>
      <w:r>
        <w:t xml:space="preserve">O primeiro argumento sustentado é refutado, na medida em que inexistem provas concretas de que a presença de mais um aluno com deficiência colocaria em xeque a própria educação de tais pessoas ou dos demais alunos. Não houve análise quanto às necessidades específicas do autor, pretendente à vaga, e os relatórios de fls. 128 e 129 em nada aclaram sobre a impossibilidade de se encampar, sem prejuízo ao próprio pretendente e aos demais integrantes do ensino, mais uma criança autista. </w:t>
      </w:r>
    </w:p>
    <w:p>
      <w:r>
        <w:t xml:space="preserve">Os diplomas normativos, por sua vez, passam ao largo dos argumentos sustentados pela ré. </w:t>
      </w:r>
    </w:p>
    <w:p>
      <w:r>
        <w:t xml:space="preserve">A [PARTE] prevê o tratamento isonômico a todas as pessoas e garante o direito à educação, que é regido pelo princípio da "igualdade de condições para o acesso e permanência na escola" (artigo 206, inciso I, da [PARTE]). Já o art. 209, I, estabelece que o ensino é livre à iniciativa privada, desde que cumpridas as normas gerais da educação nacional. </w:t>
      </w:r>
    </w:p>
    <w:p>
      <w:r>
        <w:t xml:space="preserve">Por sua vez, a Lei nº 12.764/2012 instituiu a política nacional de proteção dos direitos da pessoa com transtorno do espectro autista, ficando estabelecido, dentre outras condições, que “A pessoa com transtorno do espectro autista é considerada pessoa com deficiência, para todos os efeitos legais” (artigo 1º, § 2º), destacando em seu parágrafo único do art. 3º o Direito à Educação e ao [PARTE]. </w:t>
      </w:r>
    </w:p>
    <w:p>
      <w:r>
        <w:t>O Estatuto do Deficiente, LEI Nº 13.146, DE 6 DE JULHO DE 2015, anota o direito ao “atendimento educacional especializado gratuito aos educandos com deficiência, transtornos globais do desenvolvimento e altas habilidades ou superdotação, transversal a todos os níveis, etapas e modalidades, preferencialmente na rede regular de ensino.”</w:t>
      </w:r>
    </w:p>
    <w:p>
      <w:r>
        <w:t xml:space="preserve">Já a [PARTE] de [PARTE] nº 15.830/15 autoriza o [PARTE] a limitar o número de alunos nas salas de aula do ensino fundamental e médio que têm matriculados alunos com necessidades especiais, mas em nenhum momento busca limitar o número de alunos com deficiência nas salas de aula. </w:t>
      </w:r>
    </w:p>
    <w:p>
      <w:r>
        <w:t xml:space="preserve">O que se regula, na referida Lei, é a possibilidade de que o [PARTE] limite o número de alunos matriculados em virtude do número de alunos especiais integrantes da sala. Ou seja, a instituição de ensino deve adequar o número de vagas de cada turma a partir do número de alunos com necessidades especiais, podendo limitar o número de alunos regulares, jamais a matrícula de alunos com deficiência. </w:t>
      </w:r>
    </w:p>
    <w:p>
      <w:r>
        <w:t>Respeita-se, acima de tudo, o princípio da inclusão preconizado na [PARTE], disponibilizando meios para a prestação adequada dos serviços educacionais. Em outras palavras, vagas de inclusão não existem, o que existe é o princípio da inclusão, que impõe a toda instituição de ensino, pública ou particular, a matrícula de qualquer aluno no ensino regular, disponibilizando meios para a prestação adequada dos serviços educacionais.</w:t>
      </w:r>
    </w:p>
    <w:p>
      <w:r>
        <w:t>Nesse sentido, é indelével a existência de ato ilegítimo e ilícito quanto à negativa da matrícula admitida pela ré. Havendo ato ilícito (art. 186 do código Civil), exsurge o respectivo dever de indenizar na exata medida do dano gerado (art. 927 do [PARTE]).</w:t>
      </w:r>
    </w:p>
    <w:p>
      <w:r>
        <w:t xml:space="preserve">Por consequência, entende-se que é inconteste o abalo moral sofrido pela autora em razão de todos os percalços e entraves suportados frente à negativa de matrícula e inclusão do autor em seu banco discente. O abalo se dá na modalidade in re ipsa, sendo, de fato presumido, na medida em que decorrem dos próprios fatos. Ora, mas ainda que infante, não há como se negar a existência de sentimentos personalíssimos caros ao autor e sua família que foram abalados pelos atos perpetrados pela ré. </w:t>
      </w:r>
    </w:p>
    <w:p>
      <w:r>
        <w:t>Os fatos ultrapassam em muito os meros aborrecimentos da vida cotidiana, causando claro sofrimento ao núcleo familiar e, em especial, ao autor.</w:t>
      </w:r>
    </w:p>
    <w:p>
      <w:r>
        <w:t>O sofrimento psíquico advém da própria experiência negativa de se ver tolhido do direito ao livre acesso ao ensino em virtude de ser, o autor, pessoa deficiente (em que pese a crítica teórica já fomentada pelos especialistas no sentido de que o TEA seria, em verdade, uma condição humana e não uma deficiência propriamente dita).</w:t>
      </w:r>
    </w:p>
    <w:p>
      <w:r>
        <w:t xml:space="preserve">Assim, a condenação ao pagamento de indenização pelo dano moral experimentado merece a procedência, na medida em que se identificam o prejuízo moral suportado pelo autor (dano), o ato do agente réu (negativa ilícita de matrícula), assim como o nexo de causalidade ligando um ao outro. Neste caso, a responsabilidade é objetiva, em virtude da aplicação do [PARTE], ensejando-se o dever de indenizar independente de culpa.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([PARTE], in “Comentários ao [PARTE]”, vol. III, Tomo II, 4ª ed., p. 82 e 85).</w:t>
      </w:r>
    </w:p>
    <w:p>
      <w:r>
        <w:t xml:space="preserve">Em relação aos critérios para fixação da indenização, leciona [PARTE]: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Programa de Resp. Civil, 9ª ed., [PARTE]: Malheiros, 2005, p. 98).</w:t>
      </w:r>
    </w:p>
    <w:p>
      <w:r>
        <w:t xml:space="preserve">Adoto, ainda, o critério bifásico proposto pelo STJ em que primeiro são observados os parâmetros médios de condenações em casos análogos e, posteriormente, verificam-se as peculiaridades do caso concreto para se diferenciar o quantum indenizatório. </w:t>
      </w:r>
    </w:p>
    <w:p>
      <w:r>
        <w:t xml:space="preserve">Nesse ponto, entendo pela drástica minoração da indenização pleiteada, na medida em que, apesar do ato ora exposto, a ré mantém diversos autistas matriculados e mantém papel importante no ensino e inclusão. </w:t>
      </w:r>
    </w:p>
    <w:p>
      <w:r>
        <w:t>Assim, considerando tais aspectos, entende-se que o quantum a título de indenização pelos danos morais deve ser fixado em R$ 5.000,00 (cinco mil reais), porquanto condizente com os valores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 xml:space="preserve">Ante o exposto, julgo PROCEDENTE o pedido formulado por A.E.F., infante, representado por sua mãe, MARIA ELIAS FERNANDES, em face da ESCOLA DE EDUCAÇÃO INFANTIL E ENSINO FUNDAMENTAL ALPHA LTDA.-ME, nos termos do artigo 487, inciso I, do Código de [PARTE], e assim o faço para CONDENAR a parte requerida ao pagamento de indenização por danos morais no importe de R$5.000,00 (cinco mil reais), com correção monetária pela tabela prática do TJ (IPCA-E) desde a sentença (Súmula nº 362 do STJ) e os juros de mora pela incidência da taxa SELIC, deduzido o índice de atualização monetária (art. 406, § 1º, do CC), a partir da citação. </w:t>
      </w:r>
    </w:p>
    <w:p>
      <w:r>
        <w:t xml:space="preserve">CONDENO, ainda, o requerido, ao pagamento das despesas processuais e honorários advocatícios em benefício dos patronos do requerente fixando-os no valor de R$2.619,85 (dois mil seiscentos e dezenove reais e oitenta e cinco centavos), nos termos da Tabela de Honorários da OAB/SP, por força do art. 85, §§8º e 8-A do CPC. Os juros incidirão do trânsito em julgado e a correção monetária desta data (art. 85, § 16 do CPC). Anoto a adoção da Súmula 326 do [PARTE] de Justiça no sentido de que a condenação em montante inferior ao postulado não implica em sucumbência recíproca. 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