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RELAÇÃO JURÍDICA c/c REPETIÇÃO DE INDÉBITO E INDENIZAÇÃO POR DANOS MORAIS, movida por MAURA CORDEIRO DOS SANTOS em face de SINDNAPI – SINDICATO NACIONAL DOS APOSENTADOS E IDOSOS DA FORÇA SINDICAL requerendo a condenação deste último à devolução das mensalidades em dobro e condenação por danos morais (fls. 1/11).</w:t>
      </w:r>
    </w:p>
    <w:p>
      <w:r>
        <w:t xml:space="preserve">Recebida a exordial, a ré fora citada e apresentou contestação (fls. 84/101), sem, entretanto, trazer aos autos qualquer documento relativo à filiação da autora.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 xml:space="preserve">Afasto a preliminar de ausência de interesse jurídico na medida em que os pleitos vão além da mera desfiliação (filiação esta que, forçoso reconhecer, de fato jamais ocorrera validamente), pois pleiteada a restituição em dobro dos valores e danos morais, o que afasta a tese de inexistência de interesse em mover-se a demanda. Ademais, afasto as demais preliminares, pois impróprias, assim como a prescrição genericamente arguida, pois inaplicável segundo o artigo 205 e seguintes do [PARTE]. </w:t>
      </w:r>
    </w:p>
    <w:p>
      <w:r>
        <w:t xml:space="preserve">Isto posto, necessário delinear-se que a contração é incontroversamente inexistente. Além das diversas matérias que vem sendo veiculadas e que dão contas das fraudes perpetradas em desfavor dos pensionistas, a requerida, citada, nenhum documento apresentou a respeito da adesão da autora à associação. </w:t>
      </w:r>
    </w:p>
    <w:p>
      <w:r>
        <w:t xml:space="preserve">E a prova da filiação, obviamente, se trata de prova a ser apresentada pela requerida, nos termos do artigo 373, II do Código de [PARTE], por tratar-se de prova de fato impeditivo aos direitos pleiteados pelo(a) autor(a). incide, ai, o direito à livre associação de desassociação, que deve ser respeitado pela requerida, sendo certo que a ausência de declaração de vontade demonstra a via ilegítima eleita para a filiação do(a) associado(a) requerente. </w:t>
      </w:r>
    </w:p>
    <w:p>
      <w:r>
        <w:t xml:space="preserve">Inexistente a contratação, os valores deverão ser devolvidos em dobro, ante a flagrante má-fé da associação e seus gestores. Fica possibilitada, não obstante, a compensação de valores pagos de forma administrativa pelo INSS, conforme vem sendo veiculado pela mídia, o que deverá ser comprovado em regular liquidação de sentença. </w:t>
      </w:r>
    </w:p>
    <w:p>
      <w:r>
        <w:t>Quanto aos danos morrais pleiteados, saliento que os fatos ultrapassam em muito os meros aborrecimentos da vida cotidiana, causando claro sofrimento ao(s) autor(es).</w:t>
      </w:r>
    </w:p>
    <w:p>
      <w:r>
        <w:t xml:space="preserve">Assim, a condenação ao pagamento de indenização pelo dano moral experimentado merece a procedência, na medida em que se identificam o prejuízo moral suportado pelo autor (dano), o ato do agente réu, assim como o nexo de causalidade ligando um ao outro. Indelével a culpa com que agiu a autora, motivando a condenação, sendo aplicável, ao caso, a responsabilidade subjetiva, identificando-se, não obstante, a culpa da ré (artigo 186 e 927 do [PARTE]).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([PARTE], in “Comentários ao [PARTE]”, vol. III, Tomo II, 4ª ed., p. 82 e 85).</w:t>
      </w:r>
    </w:p>
    <w:p>
      <w:r>
        <w:t xml:space="preserve">Em relação aos critérios para fixação da indenização, leciona [PARTE]: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Programa de Resp. Civil, 9ª ed., [PARTE]: Malheiros, 2005, p. 98).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>Assim, considerando tais aspectos, entende-se que o quantum a título de indenização pelos danos morais deve ser fixado em R$ 1.000,00 (mil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 xml:space="preserve">No que diz respeito aos honorários advocatícios, entendo pela inconstitucionalidade do artigo 8ª-A do Código de [PARTE], incluído pela Lei 14.365/2022 e as normas que levam à possibilidade de que os honorários advocatícios superem o objeto principal da lide. A tensão se dá entre os Princípios do Acesso ao [PARTE] e a Proteção à [PARTE] da parte que seria atingida pela condenação na forma do dispositivo. </w:t>
      </w:r>
    </w:p>
    <w:p>
      <w:r>
        <w:t>Anoto, de partida, que as demandas com valor inferior a 40 salários-mínimos podem ser movidas junto ao JEC, aproveitando-se da gratuidade que é inerente à primeira fase do procedimento sumaríssimo e da agilidade com que as demandas evoluem no Juizado. Conforme estabelece a Lei nº 9.099/95, causas com valor até 40 salários-mínimos podem ser processadas no JEC, com as seguintes vantagens: (i) gratuidade na primeira instância; (ii) procedimento célere e simplificado; (iii) desnecessidade de advogado para causas até 20 salários-mínimos; (iv) execução imediata da sentença.</w:t>
      </w:r>
    </w:p>
    <w:p>
      <w:r>
        <w:t xml:space="preserve">A aplicação irrestrita do §8º-A geraria, portanto, consequências desproporcionais, especialmente levando a (i) subversão da lógica processual, transformando o acessório (honorários) em principal; (ii) oneração excessiva da parte sucumbente; (iii) estímulo ao ajuizamento de ações na justiça comum quando poderiam tramitar no JEC, congestionando desnecessariamente o [PARTE] em suas vias ordinárias e reservadas as ações de maior complexidade. </w:t>
      </w:r>
    </w:p>
    <w:p>
      <w:r>
        <w:t xml:space="preserve">Ademais, para fundamentar a inconstitucionalidade, importante observar que a legislação deve ser vista sob o prisma dos princípios (ou postulados) da razoabilidade e proporcionalidade. Tais postulados são entendidos como instrumentais, na medida em que devem guiar o Legislador e Executivo desde a elaboração e promulgação da regra, até o Juiz no exercício da Judicatura, ou seja, no mister de dizer o direito. </w:t>
      </w:r>
    </w:p>
    <w:p>
      <w:r>
        <w:t xml:space="preserve">Assim, ainda que seja válida a Lei, sob o aspecto formal de sua concretização, sua leitura deve ser efetivada sob a ótica da proporcionalidade e razoabilidade, evitando-se que leituras sem tais análises possam levar à injustiça na própria aplicação da regra – e, via de consequência, possibilite seja exarada decisão inconstitucional pela afronta a tais postulados instrumentais. </w:t>
      </w:r>
    </w:p>
    <w:p>
      <w:r>
        <w:t>E tal inconstitucionalidade seria perpetrada nos casos em que os honorários advocatícios superassem o valor do objeto buscado no processo, aplicando-se o dispositivo em questão.</w:t>
      </w:r>
    </w:p>
    <w:p>
      <w:r>
        <w:t xml:space="preserve"> Diversas são as ações em que o objeto principal é subvertido e passa a ocupar a posição acessória em relação aos honorários sucumbenciais, esses sim, de caráter acessório e prejudicial ao objeto principal, por essência. Essa subversão, não obstante, vem majorando os índices de demandas judiciais complexificadas (pois não são complexas a ponto de se observar a necessidade de que sejam manejadas com o uso do rito ordinário, mas são movidas na justiça comum com o objetivo de se atingir os honorários sucumbenciais), e os próprios números puros de ações ordinárias de conhecimento que são movidas junto ao [PARTE] – quando poderiam ser manejadas de forma simples, célere e econômica no [PARTE]. </w:t>
      </w:r>
    </w:p>
    <w:p>
      <w:r>
        <w:t>Ora, mas caso não houvesse a possibilidade de se litigar com menores custos a todos (especialmente ao Estado), como há na utilização do rito sumaríssimo, justificar-se-ia a manutenção de um valor mínimo que pudesse superar o montante do objeto da causa, com a justificativa de que as causas de menor importância econômica fossem, também, alçadas ao Judiciário pelos patronos, garantindo a eles a remuneração razoável.</w:t>
      </w:r>
    </w:p>
    <w:p>
      <w:r>
        <w:t xml:space="preserve">Desta forma, ao se decompor o princípio da proporcionalidade em seus subprincípios, nota-se que, de fato, há adequação entre a norma e o que se pretende alcançar, ou seja, o Acesso amplo ao [PARTE]. Não obstante, no que diz respeito ao segundo subprincípio, o dispositivo não ultrapassa a prova, exsurgindo sua inconstitucionalidade. Isso, pois ao se analisar a necessidade do dispositivo sob o enfoque do acesso ao [PARTE], verifica-se que há outras opções menos invasivas ao direito alheio, como a já demonstrada alternativa de uso do procedimento Sumaríssimo. </w:t>
      </w:r>
    </w:p>
    <w:p>
      <w:r>
        <w:t xml:space="preserve">Assim, deve prevalecer no caso concreto o Princípio da Proteção à [PARTE] (artigo 5º, inciso XXII da [PARTE]), na medida em que há outras alternativas menos prejudiciais a este direito e que poderiam ser adotadas para se chegar no mesmo resultado, ou seja, o Acesso ao [PARTE] e a procedência da demanda. </w:t>
      </w:r>
    </w:p>
    <w:p>
      <w:r>
        <w:t xml:space="preserve">Assim sendo, entendo por inconstitucional o artigo 8º-A do artigo 85 do Código de [PARTE] e aplico a norma do §2º do mesmo dispositivo, condenando o requerido ao pagamento de honorários no valor de 10% sobre o proveito econômico obtido. </w:t>
      </w:r>
    </w:p>
    <w:p>
      <w:r>
        <w:t>Ante o exposto, JULGO PROCEDENTE EM PARTE a ação movida por MAURA CORDEIRO DOS SANTOS em face de SINDNAPI – SINDICATO NACIONAL DOS APOSENTADOS E IDOSOS DA FORÇA SINDICAL e assim o faço com resolução de mérito para:</w:t>
      </w:r>
    </w:p>
    <w:p>
      <w:r>
        <w:t xml:space="preserve">DECLARAR a inexistência de vínculo associativo entre as partes; </w:t>
      </w:r>
    </w:p>
    <w:p>
      <w:r>
        <w:t xml:space="preserve">CONDENAR a requerida à devolução em dobro dos valores descontados da autora, com a possibilidade de compensação de valores recebidos administrativamente pelos mesmos fatos, o que deverá ser comprovado em liquidação de sentença; </w:t>
      </w:r>
    </w:p>
    <w:p>
      <w:r>
        <w:t xml:space="preserve">CONDENAR a requerida ao pagamento de indenização por danos morais no valor de R$1.000,00 (mil reais), com correção monetária pela tabela prática do TJ (IPCA-E) à partir desta data e juros de mora pela incidência da taxa SELIC, deduzido o índice de atualização monetária (art. 406, § 1º, do CC), com termo inicial à partir da citação. </w:t>
      </w:r>
    </w:p>
    <w:p>
      <w:r>
        <w:t xml:space="preserve">CONDENO, ainda, a requerida ao pagamento de honorários sucumbenciais que fixo no percentual de 10% sobre o proveito econômico obtido, nos termos da fundamentação.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