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[PARTE]em face de [PARTE]– [PARTE]Nacional dos [PARTE]e [PARTE]da União [PARTE]dos [PARTE]em exordial, que foi surpreendida com descontos indevidos em seu benefício previdenciário a título de contribuição sindical, sem que houvesse autorizado tal desconto ou se associado ao referido sindicato. [PARTE]que a conduta da requerida foi abusiva e violou seus direitos enquanto consumidora. [PARTE]requereu a concessão de tutela de urgência para a imediata cessação dos descontos, a devolução em dobro dos valores cobrados indevidamente, além de indenização por danos morais no valor de [PARTE]10.000,00, declarando-se a inexistência do contrato de filiação e condenando-se a ré ao pagamento das custas e honorários advocatícios​.</w:t>
      </w:r>
    </w:p>
    <w:p>
      <w:r>
        <w:t>[PARTE]a exordial, foi concedida a gratuidade de justiça e deferida a tutela de urgência, e determinada a citação da requerida (fls. 125/126)​.</w:t>
      </w:r>
    </w:p>
    <w:p>
      <w:r>
        <w:t>[PARTE]citada, a requerida apresentou contestação (fls. 131/154), arguindo preliminarmente a perda do objeto da ação e a ausência de interesse processual, sob a alegação de que já havia cancelado a associação e os descontos realizados, além de ter restituído os valores pagos. [PARTE]que a filiação sindical foi regularmente realizada, sem qualquer irregularidade, e que a autora não procurou resolver administrativamente a questão antes de ingressar com a demanda. No mérito, sustentou a inexistência de ato ilícito ou dano moral indenizável, rechaçando a aplicação do Código de [PARTE]do [PARTE]ao caso​.</w:t>
      </w:r>
    </w:p>
    <w:p>
      <w:r>
        <w:t>[PARTE]à contestação, reiterando seus argumentos iniciais e impugnando a concessão de gratuidade de justiça à requerida, por entender que esta possui fonte de renda suficiente para arcar com os custos do processo. [PARTE]ainda a aplicação do Código de [PARTE]do [PARTE]e a inversão do ônus da prova​ (fls. 273/281).</w:t>
      </w:r>
    </w:p>
    <w:p>
      <w:r>
        <w:t>Em vista de indícios de advocacia predatória, conforme será indicado abaixo, o juízo determinou a intimação pessoal da autora para confirmar a procuração, sendo confirmado pela autora (fls. 290)</w:t>
      </w:r>
    </w:p>
    <w:p>
      <w:r>
        <w:t>[PARTE]a síntese do necessário.</w:t>
      </w:r>
    </w:p>
    <w:p>
      <w:r>
        <w:t xml:space="preserve">FUNDAMENTO [PARTE]o processo no estado em que se encontra, não havendo necessidade de dilação probatória (art. 355, inciso [PARTE]do Código de Processo Civil). </w:t>
      </w:r>
    </w:p>
    <w:p>
      <w:r>
        <w:t xml:space="preserve"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 </w:t>
      </w:r>
    </w:p>
    <w:p>
      <w:r>
        <w:t xml:space="preserve">Em verdade, em homenagem à celeridade e economia processual, o julgamento antecipado da lide se trata de um dever do [PARTE]e não mera faculdade. [PARTE]os requisitos autorizadores, deve proceder ao julgamento antecipado, como se faz no presente caso. </w:t>
      </w:r>
    </w:p>
    <w:p>
      <w:r>
        <w:t>[PARTE]as prejudiciais de mérito arguidas pelo réu em contestação, deixo de as analisar, na medida em que o mérito a ação é improcedente, conforme será delineado, aplicando-se ao caso o disposto no artigo 488 do Código de Processo Civil, segundo o qual “desde que possível, o juiz resolverá o mérito sempre que a decisão for favorável à parte a quem aproveitaria eventual pronunciamento nos termos do art. 485”. [PARTE]ademais, que as preliminares são genéricas e meramente dilatórias, de forma que nenhuma delas seria capaz de encerrar o processo caso acolhida.</w:t>
      </w:r>
    </w:p>
    <w:p>
      <w:r>
        <w:t xml:space="preserve">[PARTE]porque a Constituição Federal estabelece, em seu artigo 5º, [PARTE]que a lei não excluirá da apreciação do [PARTE]lesão ou ameaça a direito – concretizando-se o princípio da inafastabilidade de jurisdição. [PARTE]ficou caracterizada a existência efetiva lide resistida, na medida em que a própria ré se contrapôs ao pedido exordial o que leva, consequentemente, à necessidade do processo para sua solução judicial, sendo a ação ordinária a via adequada para esse fim. </w:t>
      </w:r>
    </w:p>
    <w:p>
      <w:r>
        <w:t>A ré ainda apresentou impugnação à gratuidade judiciária deferida à autora, a qual não merece acolhimento.</w:t>
      </w:r>
    </w:p>
    <w:p>
      <w:r>
        <w:t xml:space="preserve">[PARTE]porque, presume-se verdadeira a alegação de insuficiência deduzida por pessoa natural quanto a não poder arcar com as despesas processuais sem prejuízo do próprio sustento. [PARTE]os documentos apresentados pelo autor evidenciam que o autor faz jus aos benefícios da assistência judiciária gratuita, porquanto aufere renda mensal inferior a três salários-mínimos, valor que é utilizado pela Defensoria Pública como padrão para obtenção de advogado [PARTE]simples fato de o autor ter contratado advogado [PARTE]a possibilidade de concessão da benesse (artigo 99, § 4º do Código de Processo Civil). [PARTE]cabia à ré a produção de provas aptas a afastar o benefício concedido, ônus do qual não se desincumbiu, pelo que, mantenho o benefício concedido. </w:t>
      </w:r>
    </w:p>
    <w:p>
      <w:r>
        <w:t xml:space="preserve">[PARTE]assim, os requisitos e as condições da ação, passo à análise do mérito. </w:t>
      </w:r>
    </w:p>
    <w:p>
      <w:r>
        <w:t xml:space="preserve">NO [PARTE]partida, ressalto que não há que se falar de relação de consumo no caso dos autos. [PARTE]pois o autor narrou em sua exordial que os descontos indevidos se trataria de [PARTE]/sindical, não havendo qualquer aquisição/contratação de produto/serviço junto ao réu. </w:t>
      </w:r>
    </w:p>
    <w:p>
      <w:r>
        <w:t>O Superior Tribunal de Justiça, se utiliza de alguns parâmetros para se determinar se a relação estabelecida entre as partes se trata de relação de consumo, conforme se infere do julgado:</w:t>
      </w:r>
    </w:p>
    <w:p>
      <w:r>
        <w:t>[PARTE]205 [PARTE]2002.</w:t>
      </w:r>
    </w:p>
    <w:p>
      <w:r>
        <w:t xml:space="preserve">1. Os sindicatos possuem natureza associativa (enunciado n. 142 da [PARTE]de [PARTE]Civil promovida pelo [PARTE]e tal como ocorre com as associações, o que é determinante para saber se há relação de consumo entre o sindicato e o sindicalizado é a espécie do serviço prestado. [PARTE]de assistência jurídica ofertada pelo órgão, não se aplica a essa relação as normas do Código de [PARTE]do [PARTE]nº [PARTE]- [PARTE](2009/0143715-5) [PARTE]- [PARTE]o fato de o requerido conceder benefícios aos associados não desnatura a relação sindical, na medida em que não há a comercialização de qualquer produto ou serviço, mas disponibilização de parceiros de benefícios. </w:t>
      </w:r>
    </w:p>
    <w:p>
      <w:r>
        <w:t xml:space="preserve">[PARTE]forma, ante a ausência de contratação de produto ou serviço, somando ao fato de que os descontos dizem respeito à contribuição sindical, inexistindo oferta de produto ou serviço no mercado de consumo, ausentes os elementos necessários à identificação da relação de consumo (art. 2º e 3º do Código [PARTE]que apesar de haver perdido a natureza jurídica tributária em vista da ausência de compulsoriedade após a reforma trabalhista de 2018, a contribuição sindical não assumiu contornos de contraprestação à serviços prestados, na medida em que as negociações coletivas e demais atividades sindicais são inerentes à própria existência sindical. [PARTE]ainda que o autor não contribuísse, seria abarcado pelas negociações e demais atos sindicais (já que a representatividade da categoria é ampla), motivo pelo qual, não há que se falar em prestação de qualquer serviço no caso concreto.  </w:t>
      </w:r>
    </w:p>
    <w:p>
      <w:r>
        <w:t xml:space="preserve">[PARTE]portanto, a aplicação do microssistema coletivo de defesa do consumidor.  </w:t>
      </w:r>
    </w:p>
    <w:p>
      <w:r>
        <w:t xml:space="preserve">[PARTE]posto, consigno que, de acordo com a inicial, o(a) autor(a) indicou que sofreu descontos indevidos em seu benefício previdenciário desde maio/2022, sob o título de [PARTE]que nunca firmou qualquer contrato com a requerida, nem autorizou tais descontos. </w:t>
      </w:r>
    </w:p>
    <w:p>
      <w:r>
        <w:t>A ré, por sua vez, afirma que o(a) autor(a) se associou a ela de maneira regular e autorizou os descontos a título de mensalidade contributiva. [PARTE]comprovar suas alegações, a ré apresentou a gravação telefônica em que o contrato fora firmado, salientando-se que o(a) autor(a) autorizou o desconto e foi beneficiada por todos os programas do sindicato enquanto esteve a ele ligada. [PARTE]asseverou que com o protocolo da ação, a desfiliação fora efetivada e indicou que depositou no processo as mensalidades pagas pela autora no montante de [PARTE]demonstrando sua boa-fé.</w:t>
      </w:r>
    </w:p>
    <w:p>
      <w:r>
        <w:t xml:space="preserve">[PARTE]para se manifestar sobre a defesa e os documentos que a acompanham, o(a) autor(a) não impugnou a gravação telefônica apresentada. </w:t>
      </w:r>
    </w:p>
    <w:p>
      <w:r>
        <w:t xml:space="preserve">[PARTE]a robusta prova produzida pela ré, confere verossimilhança às alegações defensivas, permitindo concluir pela regularidade da relação jurídica que ensejou os descontos narrados na inicial. </w:t>
      </w:r>
    </w:p>
    <w:p>
      <w:r>
        <w:t>[PARTE]maneira, requerida se desincumbiu do ônus que lhe competia, a teor do artigo 373, inciso [PARTE]do [PARTE]uma vez que justificou a origem e a licitude dos descontos, comprovando, assim, fato extintivo do direito do requerente.</w:t>
      </w:r>
    </w:p>
    <w:p>
      <w:r>
        <w:t>O que se conclui é que o(a) autor(a) tenta furtar-se de seu ônus de realizar o pagamento das mensalidades associativas, contratada por ele(a) junto à ré, o que não se pode admitir.</w:t>
      </w:r>
    </w:p>
    <w:p>
      <w:r>
        <w:t>[PARTE]não há que se falar em inexistência de contratação e débitos, repetição do indébito em dobro, tampouco em indenização por danos morais, sendo a improcedência da demanda medida que se impõe.</w:t>
      </w:r>
    </w:p>
    <w:p>
      <w:r>
        <w:t xml:space="preserve">[PARTE]ainda, que ao ser indagado(a) por oficial de justiça por determinação deste juízo, conforme certidões nos autos, o(a) autor(a) deixou claro que reconhece sua assinatura e que conhece os pedidos desta ação. </w:t>
      </w:r>
    </w:p>
    <w:p>
      <w:r>
        <w:t xml:space="preserve">[PARTE]comprovando o requerido que a contratação fora válida, sendo certo que a gravação indica a lisura da filiação bem como a ciência de seus termos pelo(a) autor(a), litigou de má-fé, na medida em que alterou a verdade dos fatos, encontrando, seus atos, subsunção junto ao inciso [PARTE]e [PARTE]do artigo 80 do Código de Processo Civil. [PARTE]maneira, aplico-lhe multa de 5% sobre o valor da causa, nos termos do artigo 81 do Código de Processo Civil.  </w:t>
      </w:r>
    </w:p>
    <w:p>
      <w:r>
        <w:t xml:space="preserve">DOS [PARTE]de antemão, que não cabe a este juízo indicar ou decidir se os patronos do presente processo se mantêm ativos em predatismo judicial, na medida em que tal constatação não alteraria a resolução da causa. [PARTE]obstante, é dever do magistrado reportar aos [PARTE]do [PARTE]Tribunal de Justiça do Estado de [PARTE]e à própria [PARTE]Ordem dos Advogados do Brasil os indícios de prática do predatismo. </w:t>
      </w:r>
    </w:p>
    <w:p>
      <w:r>
        <w:t xml:space="preserve">A litigância predatória não problematiza apenas a atuação do [PARTE]mas influência, também, de forma direta, no andamento ordinário dos processos de forma célere (atingindo o jurisdicionado e os demais advogados da região), no próprio mercado de consumo, já que os riscos das demandas predatórias elevam o custo e se reproduzem nos preços, além de ser prática reprovável sob o prisma da deontologia profissional. </w:t>
      </w:r>
    </w:p>
    <w:p>
      <w:r>
        <w:t xml:space="preserve">[PARTE]os olhos ao predatismo é auxiliar no processo de desmantelamento da Justiça por intermédio de massificação de demandas frígidas e da mercantilização do [PARTE]ofício da Advocacia, o que não se pode permitir. </w:t>
      </w:r>
    </w:p>
    <w:p>
      <w:r>
        <w:t>[PARTE]portanto, ao conhecimento da [PARTE]de Justiça do [PARTE]Tribunal de Justiça do Estado de [PARTE]com referência ao [PARTE]bem como ao [PARTE]Presidente da Ordem dos Advogados do Brasil desta [PARTE]os indícios que se seguem, para investigações, levantamentos e providências que entenderem por pertinentes (nos termos da [PARTE]159/2024 do [PARTE]– [PARTE]01):</w:t>
      </w:r>
    </w:p>
    <w:p>
      <w:r>
        <w:t>pedidos habituais e padronizados de dispensa de audiência preliminar ou de conciliação;</w:t>
      </w:r>
    </w:p>
    <w:p>
      <w:r>
        <w:t>distribuição de ações judiciais semelhantes, com petições iniciais que apresentam informações genéricas e causas de pedir idênticas, frequentemente diferenciadas apenas pelos dados pessoais das partes envolvidas, sem a devida particularização dos fatos do caso concreto;</w:t>
      </w:r>
    </w:p>
    <w:p>
      <w:r>
        <w:t>apresentação de procurações incompletas, com inserção manual de informações, outorgadas por mandante já falecido(a), ou mediante assinatura eletrônica não qualificada e lançada sem o emprego de certificado digital de padrão [PARTE]concentração de grande volume de demandas sob o patrocínio de poucos(as) profissionais, cuja sede de atuação, por vezes, não coincide com a da comarca ou da subseção em que ajuizadas, ou com o domicílio de qualquer das partes;</w:t>
      </w:r>
    </w:p>
    <w:p>
      <w:r>
        <w:t xml:space="preserve">[PARTE]com cópias da presente sentença a [PARTE]do Tribunal de Justiça do Estado de [PARTE](por intermédio do [PARTE]bem como a OAB [PARTE]o exposto, julgo [PARTE]os pedidos formulados por [PARTE]em face de [PARTE]– [PARTE]Nacional dos [PARTE]e [PARTE]da União [PARTE]dos [PARTE]e assim o faço com resolução de mérito, nos termos do artigo 487, inciso [PARTE]do Código de Processo Civil. </w:t>
      </w:r>
    </w:p>
    <w:p>
      <w:r>
        <w:t xml:space="preserve">[PARTE]o(a) autor(a), ao pagamento de custas e honorários advocatícios, ora fixados, na forma do artigo 85, § do Código de Processo Civil, em 10% sobre o valor da causa, com atualização monetária pela [PARTE]do [PARTE]a partir da presente data até o efetivo pagamento, observada a condição suspensiva de exigibilidade disposta no artigo 98, §3º, do Código de Processo Civil, já que beneficiária da gratuidade de justiça. </w:t>
      </w:r>
    </w:p>
    <w:p>
      <w:r>
        <w:t xml:space="preserve">CONDENO, ainda, o(a) autor(a), com fulcro no artigo 80, inciso [PARTE]e [PARTE]c/c artigo 81, todos do Código de Processo Civil, ao pagamento de multa por litigância de má-fé no percentual de 5% sobre o valor da causa, valor esse que poderá ser compensado com os valores depositados nos autos a título de devolução das mensalidades. </w:t>
      </w:r>
    </w:p>
    <w:p>
      <w:r>
        <w:t xml:space="preserve">[PARTE]ainda, o envio de cópias da presente sentença ao [PARTE]para averiguação, análise e providências que se fizerem necessárias. </w:t>
      </w:r>
    </w:p>
    <w:p>
      <w:r>
        <w:t xml:space="preserve">[PARTE]fim, determino a expedição de cópias da presente sentença ao [PARTE]Presidente da Ordem dos Advogados do Brasil, [PARTE]para fins de verificação de potenciais atos de afronta ao Código de [PARTE]da Ordem dos Advogados do Brasil (nos termos do artigo 77, §6º do Código de Processo Civil). </w:t>
      </w:r>
    </w:p>
    <w:p>
      <w:r>
        <w:t>[PARTE]o trânsito em julgado e pagamento das custas,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