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[PARTE]de [PARTE]movida por [PARTE]policial civil, em face da [PARTE]autor narra que, no exercício de sua função, sofreu lesão no joelho durante uma perseguição, sendo diagnosticada fratura de fíbula e derrame articular. [PARTE]de recomendação médica para licença de 60 dias, foram concedidos apenas 30 dias inicialmente, prorrogados por mais 15, com retorno às atividades antes de completa recuperação. [PARTE]nova operação policial, o autor sofreu queda ao escalar um muro, resultando na fratura do braço esquerdo, acidente atribuído à recuperação incompleta do joelho.</w:t>
      </w:r>
    </w:p>
    <w:p>
      <w:r>
        <w:t xml:space="preserve">[PARTE]alega falha da [PARTE]ao desconsiderar a recomendação médica inicial, gerando danos físicos e morais, requerendo assistência judiciária gratuita; [PARTE]da responsabilidade objetiva da ré; [PARTE]por danos morais em valores a serem arbitrados. </w:t>
      </w:r>
    </w:p>
    <w:p>
      <w:r>
        <w:t xml:space="preserve">[PARTE]a exordial e determinada a citação da ré (fls. 64). </w:t>
      </w:r>
    </w:p>
    <w:p>
      <w:r>
        <w:t>[PARTE]a Fazenda Pública do Estado de [PARTE]afirmou que o [PARTE]de [PARTE]do Estado [PARTE]concedeu licenças conforme critérios técnicos, seguindo a legislação vigente (Lei nº [PARTE]e Decreto nº [PARTE]que o autor não recorreu das decisões administrativas e que o acidente que resultou na fratura do braço não guarda relação de causalidade com a licença inicial. A ré sustenta que, caso o autor estivesse incapaz, não teria condições físicas para executar a escalada que resultou na queda. [PARTE]a improcedência da demanda.</w:t>
      </w:r>
    </w:p>
    <w:p>
      <w:r>
        <w:t xml:space="preserve">[PARTE]pericial juntado às fls. 209/212. </w:t>
      </w:r>
    </w:p>
    <w:p>
      <w:r>
        <w:t xml:space="preserve">[PARTE]a instrução processual em virtude da ausência de pedido para produção de outras provas, foram apresentadas razões finais pelo autor (fls. 245/256) e pela Fazenda Pública do Estado de [PARTE](fls. 259/269). </w:t>
      </w:r>
    </w:p>
    <w:p>
      <w:r>
        <w:t xml:space="preserve">Os autos vieram conclusos. </w:t>
      </w:r>
    </w:p>
    <w:p>
      <w:r>
        <w:t xml:space="preserve">[PARTE]o resumo do essencial. </w:t>
      </w:r>
    </w:p>
    <w:p>
      <w:r>
        <w:t>FUNDAMENTO [PARTE]os pressupostos e as condições da ação (artigo. 17 do Código de Processo Civil), passo à análise do mérito.</w:t>
      </w:r>
    </w:p>
    <w:p>
      <w:r>
        <w:t xml:space="preserve">No mérito o pedido é [PARTE]de início, que a análise da petição inicial denota que a causa de pedir do processo seria o acidente ocorrido em 11/07/2018. [PARTE]acidente teria ocasionado algumas sequelas físicas no autor, sendo certo que, conforme seu relato exordial, somente ocorrera pois o Estado não haveria acatado o afastamento pelo prazo sugerido por seu médico particular. </w:t>
      </w:r>
    </w:p>
    <w:p>
      <w:r>
        <w:t xml:space="preserve">[PARTE]o nexo de causalidade a ser analisado, nos termos da exordial, é o que o autor pretende estabelecer entre o acidente de 11/07/2018 e o afastamento reduzido ao qual fora submetido por força de perícia médica avaliativa de sua capacidade laboral. </w:t>
      </w:r>
    </w:p>
    <w:p>
      <w:r>
        <w:t xml:space="preserve">De fato, conforme bem sedimentado na petição inicial, o Estado responde de forma objetiva em relação ao administrado, sendo certo que a sua responsabilidade será reconhecida ainda que não seja demonstrado o elemento anímico ‘culpa lato sensu’, desde que estejam presentes os demais requisitos para se reconhecer a responsabilidade civil do ente Público. </w:t>
      </w:r>
    </w:p>
    <w:p>
      <w:r>
        <w:t xml:space="preserve">A linha estabelecida pelo autor em sua exordial, ao apontar como conduta causadora do dano experimentado por ele como sendo o afastamento concedido a menor pelo médico perito estatal, é tênue na medida em que haveria a necessidade de se estabelecer a relação direta entre estes eventos. </w:t>
      </w:r>
    </w:p>
    <w:p>
      <w:r>
        <w:t xml:space="preserve">Em melhores termos: a responsabilidade civil do Estado, no caso proposto, somente exsurgiria caso restasse demonstrado nos autos que o acidente ocorrera em virtude do desrespeito à orientação do médico assistente que indicara o afastamento pelo prazo de 60 (sessenta) dias, havendo o Estado concordado parcialmente com a sugestão, reduzindo-se em 15 dias o afastamento do autor. </w:t>
      </w:r>
    </w:p>
    <w:p>
      <w:r>
        <w:t xml:space="preserve">[PARTE]controvérsia cerca do nexo de causalidade entre o acidente ocorrido e o labor prestado ao Estado e a [PARTE]que não é esse o nexo causal que deve ser levado em consideração, mas aquele que pretende aglutinar o retorno precoce do autor ao labor (ato administrativo que determinou seu retorno ao trabalho antes daquilo que indicado pelo médico particular), e o acidente ocorrido em 11/07/2018. </w:t>
      </w:r>
    </w:p>
    <w:p>
      <w:r>
        <w:t>[PARTE]posto, necessário consignar-se que a análise da responsabilidade do Estado deve ser observada sob o prisma objetivo da responsabilidade, conforme inteligência do artigo 37, §6º da Constituição Federal, que revela “As pessoas jurídicas de direito público e as de direito privado prestadoras de serviços públicos responderão pelos danos que seus agentes, nessa qualidade, causarem a terceiros, assegurado o direito de regresso contra o responsável nos casos de dolo ou culpa”.</w:t>
      </w:r>
    </w:p>
    <w:p>
      <w:r>
        <w:t xml:space="preserve">[PARTE]se afasta a necessidade, entretanto, de que sejam identificados, no caso concreto, os requisitos da responsabilidade civil – exceto a culpa lato sensu, já que se trata de responsabilidade objetiva quando o ato administrativo é comissivo – quais sejam: (i) o ato comissivo ou omissivo, (ii) o dano experimentado pelo administrado e o (iii) nexo de casualidade ligando um ao outro. </w:t>
      </w:r>
    </w:p>
    <w:p>
      <w:r>
        <w:t xml:space="preserve">[PARTE]termos do artigo 186 do Código Civil, quem de qualquer forma causar prejuízo a outrem, agindo com dolo ou culpa, fica obrigado a reparar o dano. Já o artigo 927 do Código Civil determina que aquele que causar os efetivos danos fica obrigado a repará-lo. Já o artigo 944, também do Código Civil denota que a indenização se mede pela extensão do dano. </w:t>
      </w:r>
    </w:p>
    <w:p>
      <w:r>
        <w:t xml:space="preserve">[PARTE]que no caso dos autos não há que se falar no elemento subjetivo, não se podendo afastar, entretanto, a necessidade de que os demais elementos estejam presentes para que a responsabilidade civil administrativa seja reconhecida. </w:t>
      </w:r>
    </w:p>
    <w:p>
      <w:r>
        <w:t xml:space="preserve">[PARTE]o primeiro elemento, qual seja, o ato administrativo se encontra presente, na medida em que o autor laborava em benefício do Estado quando dos fatos que o vitimaram. [PARTE]que, de fato, o [PARTE]Civil estava em atividade no momento dos fatos e, conforme delineado em perícia, não se encontrava totalmente recuperado de sua lesão anterior. </w:t>
      </w:r>
    </w:p>
    <w:p>
      <w:r>
        <w:t xml:space="preserve">O segundo elemento também se encontra devidamente demonstrado no caso, já que o autor sofreu, de fato, os ferimentos e incapacitações temporárias e definitivas narradas no laudo pericial. </w:t>
      </w:r>
    </w:p>
    <w:p>
      <w:r>
        <w:t xml:space="preserve">[PARTE]obstante, não há nexo de causalidade ligando um fato ao outro. O autor não foi capaz de comprovar o argumento de que caso estivesse com o joelho recuperado o incidente não haveria ocorrido. [PARTE]que isso, não há qualquer comprovação de ao final do segundo afastamento o [PARTE]Civil ainda estivesse com restrição em seus movimentos corporais. </w:t>
      </w:r>
    </w:p>
    <w:p>
      <w:r>
        <w:t xml:space="preserve">[PARTE]houve a juntada de qualquer mensagem ou documento que tivesse sido enviado ao superior no início do serviço ou no retorno do último afastamento dando contas de que ainda não se encontrava totalmente recuperado. [PARTE]disso, o fato de o [PARTE]haver se inserido investigação ordinária, somado ao fato de que se sentiu seguro para escalar o muro de determinada residência demonstra – ao lado da ausência de provas em contrário – que se encontrava recuperado. </w:t>
      </w:r>
    </w:p>
    <w:p>
      <w:r>
        <w:t xml:space="preserve">[PARTE]a devida vênia ao nobre perito, mas apesar de haver indicado que o prazo correto de recuperação seria o de 60 dias não demonstrou de forma científica por intermédio de estudos ou casos similares que o período de 45 dias não seria suficiente à recuperação do autor. [PARTE]mas até o emprego dos termos “Quanto ao [PARTE]estou de acordo com o colega que seria de ‘pelo menos 60 dias’, demonstra a ausência de acuidade técnica ao concretizar seu laudo pericial, corroborando a ausência completa de indicações de estudos científicos a respeito do tema. </w:t>
      </w:r>
    </w:p>
    <w:p>
      <w:r>
        <w:t xml:space="preserve">[PARTE]que não o fosse, o laudo pericial não afirma – e nem poderia fazê-lo – o nexo de causalidade entre o retorno antecipado do autor ao labor e o acidente ocorrido. [PARTE]poderia, pois a análise do nexo de causalidade se trata de exercício jurídico, reservado ao [PARTE]em sua decisão e as partes na construção de suas teses. Ao perito cabe, tão somente, indicar o grau de lesão experimentado, a existência de incapacidade temporária ou permanente e a existência de dano estético com o seu grau, sem se olvidar da possibilidade de se estabelecer a existência de pertinência entre a lesão apresentada e o fato narrado (exercício que auxilio o [PARTE]na conclusão a respeito do nexo de causalidade, sem, entretanto, confundir-se com este último exercício). </w:t>
      </w:r>
    </w:p>
    <w:p>
      <w:r>
        <w:t>[PARTE]a doutrina, em especial o tratadista [PARTE]assim descreve o caminho para a análise do nexo causal:</w:t>
      </w:r>
    </w:p>
    <w:p>
      <w:r>
        <w:t>“O nexo causal constitui um dos elementos essenciais da responsabilidade civil. É o vínculo entre a conduta e o resultado. [PARTE]a determinação do nexo causal traduz-se em uma quaestio facti. Ou, como lembra [PARTE]'o conceito de nexo causal não é jurídico; decorre das leis naturais, constituindo apenas o vínculo, a ligação ou relação de causa e efeito entre a conduta e o resultado' (programa de [PARTE]Civil 5. ed., 3 tir. [PARTE]2004, p. 66).</w:t>
      </w:r>
    </w:p>
    <w:p>
      <w:r>
        <w:t>(...)</w:t>
      </w:r>
    </w:p>
    <w:p>
      <w:r>
        <w:t>É necessário, além da ocorrência dos dois elementos precedentes (ofensa a uma norma preexistente ou erro de conduta e o dano), que se estabeleça uma relação de causalidade entre a injuridicidade da ação e o mal causado, ou, na feliz expressão de [PARTE]'é preciso esteja certo que, sem este fato, o dano não teria acontecido. [PARTE]não basta que uma pessoa tenha contravindo a certa regra; é preciso que sem esta contravenção, o dano não ocorreria' [PARTE]des [PARTE]en général, v. 4, n. 66).</w:t>
      </w:r>
    </w:p>
    <w:p>
      <w:r>
        <w:t>O nexo causal se torna indispensável, sendo fundamental que o dano tenha sido causado pela culpa do sujeito.</w:t>
      </w:r>
    </w:p>
    <w:p>
      <w:r>
        <w:t>(...)</w:t>
      </w:r>
    </w:p>
    <w:p>
      <w:r>
        <w:t xml:space="preserve">[PARTE]ser 'este o mais delicado dos elementos da responsabilidade civil e o mais difícil de ser determinado. [PARTE]sempre que um problema jurídico vai ter na indagação ou na pesquisa da causa, desponta a sua complexidade maior. [PARTE]que haja culpa e dano, não existe obrigação de reparar, se entre ambos não se estabelecer a relação causal. [PARTE]explica [PARTE]'cabe ao jurista verificar se entre os dois fatos conhecidos (o fato danoso e o próprio dano) existe um vínculo de causalidade suficientemente caracterizado' [PARTE]de [PARTE]Civil a cargo de [PARTE]n. 333, p. 406)' [PARTE]Civil cit., p.76). </w:t>
      </w:r>
    </w:p>
    <w:p>
      <w:r>
        <w:t xml:space="preserve">[PARTE]a esta última tarefa, vale ressaltar, o laudo pericial não se presta a estabelecer e determinar o nexo de causalidade, mas auxilia o juízo nesta análise ao apontar se as lesões experimentadas condizem com os fatos narrados – que lhe teriam dado causa. </w:t>
      </w:r>
    </w:p>
    <w:p>
      <w:r>
        <w:t xml:space="preserve">[PARTE]segundo a doutrina e jurisprudências majoritárias, o Brasil adotou a teoria da conditio sine qua non em relação ao nexo de causalidade, balizada ou temperada pela teoria da causalidade adequada. [PARTE]duas vertentes teóricas conclui-se que o evento somente poderá ser imputado a alguém caso tenha advindo de um ato (omissivo ou comissivo), praticado pelo acusado e desde que este ato possa ser adequado a causar o dano indicado. </w:t>
      </w:r>
    </w:p>
    <w:p>
      <w:r>
        <w:t xml:space="preserve">[PARTE]ponto é que resta afastada a tese exordial, na medida em que não há qualquer prova de que o ato praticado pelo Estado (determinação de retorno do [PARTE]Civil ao trabalho antes de esgotado o período sugerido pelo médico assistente), fosse adequado a causar o acidente experimentado, que resultou nas lesões descritas em laudo. </w:t>
      </w:r>
    </w:p>
    <w:p>
      <w:r>
        <w:t xml:space="preserve">[PARTE]o trilhar anterior, não se pode confundir o nexo de causalidade entre o exercício profissional (que havia de fato, já que cumprindo missão pública), e o retorno antecipado (ilegítimo segundo a tese exordial), ao labor. O segundo, de fato, não se mostra adequado, por si só, à causação do resultado descrito na exordial. </w:t>
      </w:r>
    </w:p>
    <w:p>
      <w:r>
        <w:t xml:space="preserve">[PARTE]concluo que os fatos narrados e as provas produzidas não revelam o nexo de causalidade entre o fato narrado e os danos experimentados. </w:t>
      </w:r>
    </w:p>
    <w:p>
      <w:r>
        <w:t xml:space="preserve">[PARTE]exposto, com fulcro no artigo. 487, inciso [PARTE]do Código de Processo Civil, julgo [PARTE]os pedidos formulados por [PARTE]em face da [PARTE]o autor ao pagamento de honorários de sucumbência, ora fixados, na forma do artigo 85, §3º, inciso [PARTE]do Código de Processo Civil, no valor de [PARTE](dois mil seiscentos e dezenove reais e oitenta e cinco centavos), nos termos da [PARTE]de [PARTE]da [PARTE]por força do art. 85, §§8º e 8-A do Código de Processo Civil – aplicado de forma analógica às [PARTE]em casos de valor ínfimo dado à ação – com atualização monetária pela [PARTE]do [PARTE]a partir da presente data até o efetivo pagamento.  </w:t>
      </w:r>
    </w:p>
    <w:p>
      <w:r>
        <w:t>PUBLIQUE-SE, [PARTE]10 de dezembro de 2024.</w:t>
      </w:r>
    </w:p>
    <w:p>
      <w:r>
        <w:t>RAFAEL [PARTE]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