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 INDENIZAÇÃO POR DANOS MORAIS movida por BRUNO TOYOTA SOUZA COSTA, policial civil, em face da FAZENDA PÚBLICA DO ESTADO DE SÃO PAULO. </w:t>
      </w:r>
    </w:p>
    <w:p>
      <w:r>
        <w:t>O autor narra que, no exercício de sua função, sofreu lesão no joelho durante uma perseguição, sendo diagnosticada fratura de fíbula e derrame articular. Apesar de recomendação médica para licença de 60 dias, foram concedidos apenas 30 dias inicialmente, prorrogados por mais 15, com retorno às atividades antes de completa recuperação. Durante nova operação policial, o autor sofreu queda ao escalar um muro, resultando na fratura do braço esquerdo, acidente atribuído à recuperação incompleta do joelho.</w:t>
      </w:r>
    </w:p>
    <w:p>
      <w:r>
        <w:t xml:space="preserve">Assim, alega falha da Administração ao desconsiderar a recomendação médica inicial, gerando danos físicos e morais, requerendo assistência judiciária gratuita; Reconhecimento da responsabilidade objetiva da ré; Indenização por danos morais em valores a serem arbitrados. </w:t>
      </w:r>
    </w:p>
    <w:p>
      <w:r>
        <w:t xml:space="preserve">Recebida a exordial e determinada a citação da ré (fls. 64). </w:t>
      </w:r>
    </w:p>
    <w:p>
      <w:r>
        <w:t>Citada a [PARTE] do Estado de [PARTE] afirmou que o Departamento de [PARTE] do Estado (DPME) concedeu licenças conforme critérios técnicos, seguindo a legislação vigente (Lei nº 10.261/68 e Decreto nº 29.180/88). Argumenta 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Requer a improcedência da demanda.</w:t>
      </w:r>
    </w:p>
    <w:p>
      <w:r>
        <w:t xml:space="preserve">Laudo pericial juntado às fls. 209/212. </w:t>
      </w:r>
    </w:p>
    <w:p>
      <w:r>
        <w:t xml:space="preserve">Encerrada a instrução processual em virtude da ausência de pedido para produção de outras provas, foram apresentadas razões finais pelo autor (fls. 245/256) e pela [PARTE] do Estado de [PARTE] (fls. 259/269). </w:t>
      </w:r>
    </w:p>
    <w:p>
      <w:r>
        <w:t xml:space="preserve">Os autos vieram conclusos. </w:t>
      </w:r>
    </w:p>
    <w:p>
      <w:r>
        <w:t xml:space="preserve">Eis o resumo do essencial. </w:t>
      </w:r>
    </w:p>
    <w:p>
      <w:r>
        <w:t>FUNDAMENTO E DECIDO.</w:t>
      </w:r>
    </w:p>
    <w:p>
      <w:r>
        <w:t>Presentes os pressupostos e as condições da ação (artigo. 17 do Código de [PARTE]), passo à análise do mérito.</w:t>
      </w:r>
    </w:p>
    <w:p>
      <w:r>
        <w:t>No mérito o pedido é IMPROCEDENTE.</w:t>
      </w:r>
    </w:p>
    <w:p>
      <w:r>
        <w:t xml:space="preserve">Anoto, de início, que a análise da petição inicial denota que a causa de pedir do processo seria o acidente ocorrido em 11/07/2018. Referido acidente teria ocasionado algumas sequelas físicas no autor, sendo certo que, conforme seu relato exordial, somente ocorrera pois o Estado não haveria acatado o afastamento pelo prazo sugerido por seu médico particular. </w:t>
      </w:r>
    </w:p>
    <w:p>
      <w:r>
        <w:t xml:space="preserve">Portanto, 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Inexiste controvérsia cerca do nexo de causalidade entre o acidente ocorrido e o labor prestado ao Estado e a [PARTE]. Ocorre 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Isto posto, necessário consignar-se que a análise da responsabilidade do Estado deve ser observada sob o prisma objetivo da responsabilidade, conforme inteligência do artigo 37, §6º da [PARTE],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Nos termos do artigo 186 do [PARTE], quem de qualquer forma causar prejuízo a outrem, agindo com dolo ou culpa, fica obrigado a reparar o dano. Já o artigo 927 do [PARTE] determina que aquele que causar os efetivos danos fica obrigado a repará-lo. Já o artigo 944, também do [PARTE]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Assim, o primeiro elemento, qual seja, o ato administrativo se encontra presente, na medida em que o autor laborava em benefício do Estado quando dos fatos que o vitimaram. Anoto que, de fato, o [PARTE]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Não obstante, não há nexo de causalidade ligando um fato ao outro. O autor não foi capaz de comprovar o argumento de que caso estivesse com o joelho recuperado o incidente não haveria ocorrido. Mais que isso, não há qualquer comprovação de ao final do segundo afastamento o [PARTE] ainda estivesse com restrição em seus movimentos corporais. </w:t>
      </w:r>
    </w:p>
    <w:p>
      <w:r>
        <w:t xml:space="preserve">Não houve a juntada de qualquer mensagem ou documento que tivesse sido enviado ao superior no início do serviço ou no retorno do último afastamento dando contas de que ainda não se encontrava totalmente recuperado. Além disso, o fato de o Policial haver se inserido investigação ordinária, somado ao fato de que se sentiu seguro para escalar o muro de determinada residência demonstra – ao lado da ausência de provas em contrário – que se encontrava recuperado. </w:t>
      </w:r>
    </w:p>
    <w:p>
      <w:r>
        <w:t xml:space="preserve">Com a devida vênia ao nobre perito, mas apesar de haver indicado que o prazo correto de recuperação seria o de 60 dias não demonstrou de forma científica por intermédio de estudos ou casos similares que o período de 45 dias não seria suficiente à recuperação do autor. Ora, mas até o emprego dos termos “Quanto ao Joelho estou de acordo com o colega que seria de ‘pelo menos 60 dias’, demonstra a ausência de acuidade técnica ao concretizar seu laudo pericial, corroborando a ausência completa de indicações de estudos científicos a respeito do tema. </w:t>
      </w:r>
    </w:p>
    <w:p>
      <w:r>
        <w:t xml:space="preserve">Ainda que não o fosse, o laudo pericial não afirma – e nem poderia fazê-lo – o nexo de causalidade entre o retorno antecipado do autor ao labor e o acidente ocorrido. Nem poderia, pois a análise do nexo de causalidade se trata de exercício jurídico, reservado ao Magistrado 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Magistrado na conclusão a respeito do nexo de causalidade, sem, entretanto, confundir-se com este último exercício). </w:t>
      </w:r>
    </w:p>
    <w:p>
      <w:r>
        <w:t>Ademais, a doutrina, em especial o tratadista [PARTE], assim descreve o caminho para a análise do nexo causal:</w:t>
      </w:r>
    </w:p>
    <w:p>
      <w:r>
        <w:t>“O nexo causal constitui um dos elementos essenciais da responsabilidade civil. É o vínculo entre a conduta e o resultado. Mas, a determinação do nexo causal traduz-se em uma quaestio facti. Ou, como lembra [PARTE], 'o conceito de nexo causal não é jurídico; decorre das leis naturais, constituindo apenas o vínculo, a ligação ou relação de causa e efeito entre a conduta e o resultado' (programa de [PARTE] 5. ed., 3 tir. [PARTE]: Malheiros, 2004, p. 66).</w:t>
      </w:r>
    </w:p>
    <w:p>
      <w:r>
        <w:t>(...)</w:t>
      </w:r>
    </w:p>
    <w:p>
      <w:r>
        <w:t>É necessário, além da ocorrência dos dois elementos precedentes (ofensa a uma norma preexistente ou erro de conduta e o dano), que se estabeleça uma relação de causalidade entre a injuridicidade da ação e o mal causado, ou, na feliz expressão de [PARTE], 'é preciso esteja certo que, sem este fato, o dano não teria acontecido. Assim, não basta que uma pessoa tenha contravindo a certa regra; é preciso que sem esta contravenção, o dano não ocorreria' (Traité des Obligations en général, v. 4, n. 66).</w:t>
      </w:r>
    </w:p>
    <w:p>
      <w:r>
        <w:t>O nexo causal se torna indispensável, sendo fundamental que o dano tenha sido causado pela culpa do sujeito.</w:t>
      </w:r>
    </w:p>
    <w:p>
      <w:r>
        <w:t>(...)</w:t>
      </w:r>
    </w:p>
    <w:p>
      <w:r>
        <w:t xml:space="preserve">[PARTE] ser 'este o mais delicado dos elementos da responsabilidade civil e o mais difícil de ser determinado. Aliás, sempre que um problema jurídico vai ter na indagação ou na pesquisa da causa, desponta a sua complexidade maior. Mesmo que haja culpa e dano, não existe obrigação de reparar, se entre ambos não se estabelecer a relação causal. Como explica [PARTE], 'cabe ao jurista verificar se entre os dois fatos conhecidos (o fato danoso e o próprio dano) existe um vínculo de causalidade suficientemente caracterizado' (Traité de [PARTE] a cargo de [PARTE], [PARTE], [PARTE], n. 333, p. 406)' ([PARTE] cit., p.76). </w:t>
      </w:r>
    </w:p>
    <w:p>
      <w:r>
        <w:t xml:space="preserve">Quanto 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Ademais, segundo a doutrina e jurisprudências majoritárias, o Brasil adotou a teoria da conditio sine qua non em relação ao nexo de causalidade, balizada ou temperada pela teoria da causalidade adequada. Dessas duas vertentes teóricas conclui-se que o evento somente poderá ser imputado a alguém caso tenha advindo de um ato (omissivo ou comissivo), praticado pelo acusado e desde que este ato possa ser adequado a causar o dano indicado. </w:t>
      </w:r>
    </w:p>
    <w:p>
      <w:r>
        <w:t xml:space="preserve">Neste ponto é que resta afastada a tese exordial, na medida em que não há qualquer prova de que o ato praticado pelo Estado (determinação de retorno do [PARTE] ao trabalho antes de esgotado o período sugerido pelo médico assistente), fosse adequado a causar o acidente experimentado, que resultou nas lesões descritas em laudo. </w:t>
      </w:r>
    </w:p>
    <w:p>
      <w:r>
        <w:t xml:space="preserve">Retomando o trilhar anterior, não se pode confundir o nexo de causalidade entre o exercício profissional (que havia de fato, já que cumprindo missão pública), e o retorno antecipado (ilegítimo segundo a tese exordial), ao labor. O segundo, de fato, não se mostra adequado, por si só, à causação do resultado descrito na exordial. </w:t>
      </w:r>
    </w:p>
    <w:p>
      <w:r>
        <w:t xml:space="preserve">Portanto, concluo que os fatos narrados e as provas produzidas não revelam o nexo de causalidade entre o fato narrado e os danos experimentados. </w:t>
      </w:r>
    </w:p>
    <w:p>
      <w:r>
        <w:t xml:space="preserve">Pelo exposto, com fulcro no artigo. 487, inciso I do Código de [PARTE], julgo IMPROCEDENTES os pedidos formulados por BRUNO TOYOTA SOUZA COSTA, em face da FAZENDA PÚBLICA DO ESTADO DE SÃO PAULO. </w:t>
      </w:r>
    </w:p>
    <w:p>
      <w:r>
        <w:t xml:space="preserve">Condeno o autor ao pagamento de honorários de sucumbência, ora fixados, na forma do artigo 85, §3º, inciso I, do Código de [PARTE], no valor de R$2.619,85 (dois mil seiscentos e dezenove reais e oitenta e cinco centavos), nos termos da Tabela de Honorários da OAB/SP, por força do art. 85, §§8º e 8-A do Código de [PARTE] – aplicado de forma analógica às Procuradorias em casos de valor ínfimo dado à ação – com atualização monetária pela [PARTE] do E. TJ a partir da presente data até o efetivo pagamento.  </w:t>
      </w:r>
    </w:p>
    <w:p>
      <w:r>
        <w:t xml:space="preserve">PUBLIQUE-SE, REGISTRE-SE, INTIME-SE. </w:t>
      </w:r>
    </w:p>
    <w:p>
      <w:r>
        <w:t xml:space="preserve"> Marilia, 10 de dezembro de 2024.</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