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[PARTE]dispensado (art. 38 da Lei nº [PARTE]e decido.</w:t>
      </w:r>
    </w:p>
    <w:p>
      <w:r>
        <w:t xml:space="preserve">[PARTE]a revelia dos réus (fls. 44), aplico-lhe os efeitos desta, reconhecendo como verdadeiros os fatos consignados em exordial. </w:t>
      </w:r>
    </w:p>
    <w:p>
      <w:r>
        <w:t>No entanto, de se observar que a aplicação dos efeitos da revelia não impõe necessariamente a procedência, mas apenas o reconhecimento como verdadeiro dos fatos narrados, devendo o magistrado proceder a análise em conjunto com os elementos nos autos.</w:t>
      </w:r>
    </w:p>
    <w:p>
      <w:r>
        <w:t>[PARTE]efeito, não pode a sentença deixar de ilustrar e se refletir sobre a existência de documentos, bem como se debruçar sobre os conteúdos neles existentes.</w:t>
      </w:r>
    </w:p>
    <w:p>
      <w:r>
        <w:t>[PARTE]sentido, inclusive:</w:t>
      </w:r>
    </w:p>
    <w:p>
      <w:r>
        <w:t>[PARTE]- [PARTE]presunção de veracidade dos fatos afirmados na inicial, em caso de revelia, é relativa, devendo o juiz atentar para a presença ou não das condições da ação e dos pressupostos processuais e para a prova de existência dos fatos da causa”. (STJ, [PARTE]211851/SP).</w:t>
      </w:r>
    </w:p>
    <w:p>
      <w:r>
        <w:t>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No mérito, os pedidos são [PARTE]mérito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>[PARTE]sua vez, determina o artigo 14 do Código de [PARTE]do [PARTE]que: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[PARTE]contínuo, “(...) § 3° [PARTE]fornecedor de serviços só não será responsabilizado quando provar: [PARTE]- que, tendo prestado o serviço, o defeito inexiste; [PARTE]- a culpa exclusiva do consumidor ou de terceiro”.</w:t>
      </w:r>
    </w:p>
    <w:p>
      <w:r>
        <w:t xml:space="preserve">[PARTE]posto, incontroverso nos autos que a autora locou seu imóvel utilizando-se dos serviços dos réus, conforme contrato de fls. 7/23. [PARTE]ainda, que não houve o repasse dos aluguéis recebidos da [PARTE]relativo aos meses de maio, junho, julho, agosto e setembro de 2024 aos autores, cujo valor atualizado soma [PARTE]termos, a condenação aos danos materiais é inconteste, na medida em que o ato ilícito dos réus (recebimento dos aluguéis e não repasse à autora), configura ato ilícito (artigo. 186 do Código Civil), devendo ser reparado o dano causado, nos termos do artigo 927 do Código Civil. </w:t>
      </w:r>
    </w:p>
    <w:p>
      <w:r>
        <w:t xml:space="preserve">[PARTE]aos danos morais, entendo que são devidos, na medida em que os fatos narrados, mais do que simples descumprimento contratual, revelam práticas potencialmente delituosas, na medida em que a apropriação de valores se subsome, ao menos em tese, ao crime de apropriação indébita. </w:t>
      </w:r>
    </w:p>
    <w:p>
      <w:r>
        <w:t>[PARTE]os fatos ultrapassam em muito os meros aborrecimentos da vida cotidiana, causando claro sofrimento ao(s) autor(es).</w:t>
      </w:r>
    </w:p>
    <w:p>
      <w:r>
        <w:t xml:space="preserve">[PARTE]a condenação ao pagamento de indenização pelo dano moral experimentado merece a procedência, na medida em que se identificam o prejuízo moral suportado pelo autor (dano), o ato do agente réu, assim como o nexo de causalidade ligando um ao outro. [PARTE]caso, a responsabilidade é objetiva, em virtude da aplicação do Código [PARTE]ensejando-se o dever de indenizar independente de culpa.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>[PARTE]considerando tais aspectos, entende-se que o quantum a título de indenização pelos danos morais deve ser fixado em [PARTE]5.000,00 (cinco 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>[PARTE]o exposto, com fundamento no artigo 487, inciso [PARTE]do Código de Processo Civil, [PARTE]os pedidos da inicial para o fim de [PARTE]os requeridos [PARTE]e [PARTE]a(o):</w:t>
      </w:r>
    </w:p>
    <w:p>
      <w:r>
        <w:t>[PARTE]de indenização por danos materiais no importe de [PARTE]com correção monetária pela tabela prática do [PARTE]e o juros de mora pela incidência da taxa [PARTE]deduzido o índice de atualização monetária (art. 406, § 1º, do [PARTE]ambos à partir da propositura da demanda, na medida em que os valores indicados na exordial já foram atualizados até a data do protocolo;</w:t>
      </w:r>
    </w:p>
    <w:p>
      <w:r>
        <w:t>[PARTE]de indenização por danos morais no importe de [PARTE](cinco mil reais), com correção monetária pela tabela prática do [PARTE]desde a sentença (Súmula nº [PARTE]do [PARTE]e os juros de mora pela incidência da taxa [PARTE]deduzido o índice de atualização monetária (art. 406, § 1º, do [PARTE]a partir da citação;</w:t>
      </w:r>
    </w:p>
    <w:p>
      <w:r>
        <w:t xml:space="preserve">[PARTE]condenação nos ônus da sucumbência (art. 55 da Lei nº [PARTE]ao Ministério Público do Estado de [PARTE]com a notícia de potencial prática de delito pelos réus, para apreciação e providências que entender necessárias. </w:t>
      </w:r>
    </w:p>
    <w:p>
      <w:r>
        <w:t xml:space="preserve">Em caso de interposição de Recurso [PARTE]deverá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[PARTE]a ser recolhida na guia [PARTE]a2) para execução de título extrajudicial ou cumprimento de sentença, equivale a 2%, para pedidos distribuídos a partir de 03/01/2024, e de 1%, para pedidos distribuídos até 02/01/2024, sobre o valor atualizado da execução, observado o valor mínimo de 5 (cinco) [PARTE]a ser recolhida na guia [PARTE]b) taxa judiciária referente às custas do preparo, no importe de 4% do valor da atualizado da sentença ou, caso não haja valor condenatório, 4% do valor atualizado dado à causa, observado o mínimo de 5 (cinco) [PARTE]via guia [PARTE]c) todas as despesas processuais com correção da data da sua expedição/utilização referentes a todos os serviços forenses eventualmente utilizados, devendo o recolhimento ser feito via guia [PARTE](despesas postais, utilização de sistemas etc.), GRD (diligências dos oficiais de justiça) ou [PARTE](cartas precatórias) [PARTE]preparo será recolhido de acordo com os critérios acima estabelecidos, independente de cálculo elaborado pela serventia, que apenas será responsável pela conferência dos valores e elaboração da certidão para juntada aos autos, tudo conforme [PARTE]nº [PARTE]de 14/06/2023, pág. 11 do [PARTE]observada a atualização de valores contida no [PARTE]nº [PARTE]de 19/12/2023, págs. 14/16 do [PARTE]em atenção às alterações da Lei nº [PARTE]decorrentes da Lei nº [PARTE]e ainda o disposto no [PARTE]nº [PARTE]de 04/07/2024, págs. 11/12 do [PARTE]recomendando-se, ainda, que a parte observe eventuais alterações normativas e utilize a planilha de cálculo do preparo para Recurso [PARTE]disponibilizada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