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[PARTE]dispensado (art. 38 da Lei nº [PARTE]processual pendente - anoto que o pleito de produção de provas da autora em fls. 197 não merece acolhida. [PARTE]pois não apontou quais seriam os fatos a serem provados, ônus que fora imposto por força de decisão de fls. 190; segundo, pois a ré não se contrapôs aos acontecimentos, sustentando, tão somente que não houve dano moral indenizável.  [PARTE]despicienda a produção probatória requerida, ficando indeferida. </w:t>
      </w:r>
    </w:p>
    <w:p>
      <w:r>
        <w:t>[PARTE]o processo no estado em que se encontra, não havendo necessidade de dilação probatória (art. 355, inciso [PARTE]do Código de Processo Civil).</w:t>
      </w:r>
    </w:p>
    <w:p>
      <w:r>
        <w:t xml:space="preserve"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 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 xml:space="preserve">[PARTE]– argui o réu a preliminar de ausência de pressupostos de constituição e desenvolvimento válido do processo, sustentando que a autora não teria juntado documentos comprobatórios suficientes. [PARTE]a extinção do feito sem resolução do mérito (art. 485, [PARTE]do [PARTE]pois a preliminar. [PARTE]mesmo o réu pode apontar qual documento seria o necessário ao desenvolvimento regular do processo, sendo certo que se trata de mero argumento alegórico. A ausência dos supostos documentos poderia ensejar, no máximo, o indeferimento do pleito no mérito, não havendo que se fala, entretanto, em falta de documento essencial ao andamento da lide. </w:t>
      </w:r>
    </w:p>
    <w:p>
      <w:r>
        <w:t xml:space="preserve">[PARTE]os pressupostos e as condições da ação (artigo. 17 do Código de Processo Civil), passo à análise do mérito. </w:t>
      </w:r>
    </w:p>
    <w:p>
      <w:r>
        <w:t xml:space="preserve">No mérito, o pedido é [PARTE]mérito da demanda envolve nítida relação de consumo e deve ser interpretado à luz do Código de [PARTE]do [PARTE]uma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[PARTE]os fatos no sentido de que houve a locação de um veículo da ré e que no deslocamento ao local em que seria sepultado a mãe da autora, o veículo teve problemas mecânicos e ficou paralisado. [PARTE]ainda, que o veículo de resgate enviado (uber), levou apenas parte dos passageiros (três), causando mais transtornos à autora e sua família. </w:t>
      </w:r>
    </w:p>
    <w:p>
      <w:r>
        <w:t xml:space="preserve">[PARTE]se olvida que os veículos, máquinas que são, mantém sempre a possibilidade de apresentarem defeito, o que pode levar aos acontecimentos relatados. O só fato de o veículo haver falhado não seria capaz, assim, de impor à ré a obrigação de indenizar. [PARTE]conclusões são regras de conhecimento comum (artigo 375 do Código de Processo Civil), na medida em que as máquinas, mesmo as de última geração, falham em determinadas situações, o que foge do controle de seus proprietários ou possuidores. </w:t>
      </w:r>
    </w:p>
    <w:p>
      <w:r>
        <w:t>[PARTE]obstante, o fato de haver enviado carro de socorro (uber), sem se certificar de quantos passageiros precisariam do apoio, culminando na impossibilidade de que a família chegasse a tempo no local e horário de sepultamento é suficiente para demonstrar a desídia com que agiu, no caso, a ré.</w:t>
      </w:r>
    </w:p>
    <w:p>
      <w:r>
        <w:t>Os fatos ultrapassam os meros aborrecimentos da vida cotidiana, causando claro sofrimento ao(s) autor(es).</w:t>
      </w:r>
    </w:p>
    <w:p>
      <w:r>
        <w:t xml:space="preserve">[PARTE]a condenação ao pagamento de indenização pelo dano moral experimentado merece a procedência, na medida em que se identificam o prejuízo moral suportado pelo autor (dano), o ato do agente réu, assim como o nexo de causalidade ligando um ao outro. [PARTE]caso, a responsabilidade é objetiva, em virtude da aplicação do Código [PARTE]ensejando-se o dever de indenizar independente de culpa. </w:t>
      </w:r>
    </w:p>
    <w:p>
      <w:r>
        <w:t>[PARTE]a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[PARTE]“se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[PARTE]in “Comentários ao [PARTE]Código [PARTE]vol. III, [PARTE]4ª ed., p. 82 e 85).</w:t>
      </w:r>
    </w:p>
    <w:p>
      <w:r>
        <w:t>Em relação aos critérios para fixação da indenização, leciona [PARTE]“Importa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[PARTE]de [PARTE]Civil, 9ª ed., [PARTE]2005, p. 98).</w:t>
      </w:r>
    </w:p>
    <w:p>
      <w:r>
        <w:t xml:space="preserve">[PARTE]ainda, o critério bifásico proposto pelo [PARTE]em que primeiro são observados os parâmetros médios de condenações em casos análogos e, posteriormente, verificam-se as peculiaridades do caso concreto para se diferenciar o quantum indenizatório. </w:t>
      </w:r>
    </w:p>
    <w:p>
      <w:r>
        <w:t xml:space="preserve">[PARTE]que a indenização se dá pela desídia e suas consequências, não se podendo considerar os fatos que circundam a causa da locação (morte da mãe da autora), como subsídio para impor condenação maior do que a razoável para o caso concreto. [PARTE]particular, nada houve de contribuição da ré. [PARTE]a indenização requerida deve ser amplamente mitigada. </w:t>
      </w:r>
    </w:p>
    <w:p>
      <w:r>
        <w:t>[PARTE]exposto, considerando tais aspectos, entende-se que o quantum a título de indenização pelos danos morais deve ser fixado em [PARTE]5.000,00 (cinco mil reais), porquanto condizente com os valores envolvidos na demanda e com a dimensão do dano comprovado, com correção monetária pela tabela prática do [PARTE]desde a sentença (Súmula nº [PARTE]do [PARTE]e os juros de mora pela incidência da taxa [PARTE]deduzido o índice de atualização monetária (art. 406, § 1º, do [PARTE]a partir da citação.</w:t>
      </w:r>
    </w:p>
    <w:p>
      <w:r>
        <w:t>[PARTE]o exposto, com fundamento no artigo 487, inciso [PARTE]do Código de Processo Civil, [PARTE]o pedido da inicial para o fim de [PARTE]as rés [PARTE](filial) e [PARTE](matriz), de forma solidária, ao pagamento de indenização por danos morais em favor de [PARTE]no importe de [PARTE](cinco mil reais), com correção monetária pela tabela prática do [PARTE]desde a sentença (Súmula nº [PARTE]do [PARTE]e os juros de mora pela incidência da taxa [PARTE]deduzido o índice de atualização monetária (art. 406, § 1º, do [PARTE]a partir da citação.</w:t>
      </w:r>
    </w:p>
    <w:p>
      <w:r>
        <w:t xml:space="preserve">[PARTE]condenação nos ônus da sucumbência (art. 55 da Lei nº [PARTE]caso de interposição de Recurso [PARTE]deverá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[PARTE]a ser recolhida na guia [PARTE]a2) para execução de título extrajudicial ou cumprimento de sentença, equivale a 2%, para pedidos distribuídos a partir de 03/01/2024, e de 1%, para pedidos distribuídos até 02/01/2024, sobre o valor atualizado da execução, observado o valor mínimo de 5 (cinco) [PARTE]a ser recolhida na guia [PARTE]b) taxa judiciária referente às custas do preparo, no importe de 4% do valor da atualizado da sentença ou, caso não haja valor condenatório, 4% do valor atualizado dado à causa, observado o mínimo de 5 (cinco) [PARTE]via guia [PARTE]c) todas as despesas processuais com correção da data da sua expedição/utilização referentes a todos os serviços forenses eventualmente utilizados, devendo o recolhimento ser feito via guia [PARTE](despesas postais, utilização de sistemas etc.), GRD (diligências dos oficiais de justiça) ou [PARTE](cartas precatórias) [PARTE]preparo será recolhido de acordo com os critérios acima estabelecidos, independente de cálculo elaborado pela serventia, que apenas será responsável pela conferência dos valores e elaboração da certidão para juntada aos autos, tudo conforme [PARTE]nº [PARTE]de 14/06/2023, pág. 11 do [PARTE]observada a atualização de valores contida no [PARTE]nº [PARTE]de 19/12/2023, págs. 14/16 do [PARTE]em atenção às alterações da Lei nº [PARTE]decorrentes da Lei nº [PARTE]e ainda o disposto no [PARTE]nº [PARTE]de 04/07/2024, págs. 11/12 do [PARTE]recomendando-se, ainda, que a parte observe eventuais alterações normativas e utilize a planilha de cálculo do preparo para Recurso [PARTE]disponibilizada em: </w:t>
      </w:r>
    </w:p>
    <w:p>
      <w:r>
        <w:t>https://www.tjsp.jus.br/PrimeiraInstancia/CustasProcessuais.</w:t>
      </w:r>
    </w:p>
    <w:p>
      <w:r>
        <w:t>As partes ficam intimadas do teor desta sentença por meio de seus patronos constituídos, via publicação no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