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[PARTE]de [PARTE]movida por [PARTE]e [PARTE]em face de [PARTE]e [PARTE]também qualificados nos autos.</w:t>
      </w:r>
    </w:p>
    <w:p>
      <w:r>
        <w:t>[PARTE]os autores ser possuidores de forma mansa e pacífica, contínua, sem oposição e com "animus domini", sobre o imóvel rural com área 2,2900 ha, em comum em uma área maior de 19,300 ha, contendo benfeitorias, situado na [PARTE]denominado [PARTE]neste município de [PARTE]Estado de [PARTE]no [PARTE]n. 627.127.011.690-1.</w:t>
      </w:r>
    </w:p>
    <w:p>
      <w:r>
        <w:t>[PARTE]os autores, em 18/02/2004, por [PARTE]13-1.963 DA [PARTE]1.963 DO [PARTE]adquiriram o imóvel do [PARTE]e [PARTE]que detinha a posse de forma contínua e pacífica com justo título e boa-fé, área de 1,03714285714 ha. Em 10/01/2005, por [PARTE]18-1.963 DA [PARTE]1.963 DO [PARTE]adquiriram o imóvel do [PARTE]e de sua esposa [PARTE]de [PARTE]que detinham a posse de forma contínua e pacífica com justo título e boa-fé, área de 1,03714285714 ha.</w:t>
      </w:r>
    </w:p>
    <w:p>
      <w:r>
        <w:t>[PARTE]disso, pleiteiam a declaração de domínio sobre o imóvel por usucapião, com consequente mandado para abertura de matrícula no ofício imobiliário competente.</w:t>
      </w:r>
    </w:p>
    <w:p>
      <w:r>
        <w:t>A inicial veio instruída com os documentos de fls. 29/104, incluindo certidão de matrícula, escrituras de compra e venda, levantamento planimétrico, planta do imóvel, [PARTE]memorial descritivo e declarações de reconhecimento de limites pelos confrontantes.</w:t>
      </w:r>
    </w:p>
    <w:p>
      <w:r>
        <w:t>[PARTE]expedido ofício ao Cartório de [PARTE]de [PARTE]local (fls. 115), que se manifestou pela regularidade do memorial descritivo (fls. 118/119).</w:t>
      </w:r>
    </w:p>
    <w:p>
      <w:r>
        <w:t>[PARTE]os requeridos e confrontantes (fls. 154/159), apresentaram contestação às fls. 161/166 os réus [PARTE]e [PARTE]alegando, preliminarmente, inadequação da via eleita e falta de interesse de agir. No mérito, alegaram que os autores possuem apenas autorização para uso da área comum, não sendo possível a usucapião.</w:t>
      </w:r>
    </w:p>
    <w:p>
      <w:r>
        <w:t>O requerido [PARTE]devidamente citado, não apresentou contestação, sendo decretada sua revelia (fls. 367).</w:t>
      </w:r>
    </w:p>
    <w:p>
      <w:r>
        <w:t>O [PARTE]apresentou contestação às fls. 194/199, alegando a necessidade de respeito à limitação administrativa referente à faixa de domínio da estrada municipal, que deveria ser de 40 metros (20 metros para cada lado a partir do eixo).</w:t>
      </w:r>
    </w:p>
    <w:p>
      <w:r>
        <w:t>Os autores corrigiram o memorial descritivo (fls. 217/220), com o que concordou o Município (fls. 226/227).</w:t>
      </w:r>
    </w:p>
    <w:p>
      <w:r>
        <w:t>Em audiência de instrução, foram ouvidas as testemunhas [PARTE]e [PARTE](fls. 367/368).</w:t>
      </w:r>
    </w:p>
    <w:p>
      <w:r>
        <w:t>[PARTE]publicado edital para citação de eventuais interessados (fls. 388), sem manifestações.</w:t>
      </w:r>
    </w:p>
    <w:p>
      <w:r>
        <w:t>A [PARTE]manifestou desinteresse no feito (fls. 413).</w:t>
      </w:r>
    </w:p>
    <w:p>
      <w:r>
        <w:t>[PARTE]finais apresentados pelos autores (fls. 372/376) e pelos réus (fls. 380/384).</w:t>
      </w:r>
    </w:p>
    <w:p>
      <w:r>
        <w:t>[PARTE]a síntese do necessário.</w:t>
      </w:r>
    </w:p>
    <w:p>
      <w:r>
        <w:t>FUNDAMENTO e [PARTE]preliminar, os requeridos alegaram inadequação da via eleita, entendendo por ser cabível o pleito de adjudicação compulsória e/ou demarcação de terras, e não usucapião.</w:t>
      </w:r>
    </w:p>
    <w:p>
      <w:r>
        <w:t>[PARTE]razão. A causa de pedir dos autores baseia-se nos requisitos de usucapião (posse mansa e pacífica, com animus domini, por tempo superior a 10 anos, com justo título e boa-fé), sendo esta a via processual adequada para a aquisição originária da propriedade, quando preenchidos os respectivos requisitos legais, independentemente de haver título anterior ou condomínio.</w:t>
      </w:r>
    </w:p>
    <w:p>
      <w:r>
        <w:t xml:space="preserve">[PARTE]o interesse jurídico revela-se na medida em que a usucapião se trata de modalidade de aquisição originária da posse, afastando-se os vícios existentes até o momento em que ocorrera a prescrição aquisitiva. [PARTE]a posição jurídica almejada é mais benéfica a parte do que aquela em que se efetiva a adjudicação do imóvel, do que ressai o interesse jurídico de sua declaração judicial. </w:t>
      </w:r>
    </w:p>
    <w:p>
      <w:r>
        <w:t xml:space="preserve">[PARTE]forma, a via eleita se perfaz como uma das possíveis a se atingir o intento buscado no processo. [PARTE]assim, a preliminar suscitada. </w:t>
      </w:r>
    </w:p>
    <w:p>
      <w:r>
        <w:t xml:space="preserve">[PARTE]os benefícios da gratuidade de justiça à [PARTE]de [PARTE]a secretaria. </w:t>
      </w:r>
    </w:p>
    <w:p>
      <w:r>
        <w:t>[PARTE]os pressupostos e condições da ação (art. 17 do Código de Processo Civil), passo à análise do mérito.</w:t>
      </w:r>
    </w:p>
    <w:p>
      <w:r>
        <w:t>E, no mérito, o pedido é [PARTE]a configuração do usucapião ordinário, nos termos do art. 1.242 do Código Civil, exige-se a posse contínua e incontestada, com justo título e boa-fé, pelo prazo de 10 (dez) anos. O art. 1.243 do mesmo diploma legal permite que o possuidor, para o fim de contar o tempo exigido, acrescente à sua posse a de seu antecessor, desde que ambas sejam contínuas e pacíficas.</w:t>
      </w:r>
    </w:p>
    <w:p>
      <w:r>
        <w:t>No caso em tela, restou comprovado que os autores adquiriram o imóvel mediante escrituras públicas de compra e venda em 18/02/2004 e 10/01/2005, respectivamente registradas sob [PARTE]e [PARTE]da matrícula 1.963 do Cartório de [PARTE]de [PARTE]de [PARTE]o que configura justo título e presunção de boa-fé.</w:t>
      </w:r>
    </w:p>
    <w:p>
      <w:r>
        <w:t>A posse mansa, pacífica e ininterrupta por mais de 10 anos também restou demonstrada tanto pelos documentos apresentados (declarações de reconhecimento de limites, comprovantes de pagamento de [PARTE]quanto pelos depoimentos testemunhais.</w:t>
      </w:r>
    </w:p>
    <w:p>
      <w:r>
        <w:t>A testemunha [PARTE]vizinho da área, confirmou que os autores adquiriram o imóvel há mais de 15 anos e sempre o utilizaram dentro dos limites demarcados para plantação; asseverou que ele sempre realizou plantações no local; que a o imóvel tem como coproprietários outras pessoas. A testemunha [PARTE]também vizinho, afirmou que os autores adquiriram o imóvel há mais de 17/18 anos e sempre o utilizaram dentro dos limites estabelecidos.</w:t>
      </w:r>
    </w:p>
    <w:p>
      <w:r>
        <w:t>Os requeridos, em sua contestação, não negam a aquisição do imóvel pelos autores mediante as escrituras de compra e venda mencionadas, tampouco apresentaram qualquer prova de oposição à posse exercida pelos requerentes ao longo desses anos. [PARTE]a alegar que os autores teriam apenas autorização para uso do imóvel, sem comprovação dessa alegação.</w:t>
      </w:r>
    </w:p>
    <w:p>
      <w:r>
        <w:t>[PARTE]à alegação de que se trata de área comum e que os autores estariam tentando se apropriar da parte mais valiosa, tal argumentação não encontra respaldo nas provas dos autos. Os documentos demonstram que, desde a aquisição, a área dos autores ficou certa e determinada, com limites geográficos bem definidos, inclusive com a estrada municipal [PARTE]440 [PARTE]servindo como uma divisão natural.</w:t>
      </w:r>
    </w:p>
    <w:p>
      <w:r>
        <w:t>O memorial descritivo apresentado e posteriormente corrigido para respeitar a faixa de domínio da estrada municipal, conforme exigência do [PARTE]foi considerado regular pelo Cartório de [PARTE]de [PARTE](fls. 118/119) e aceito pelo Município de [PARTE](fls. 226/227), o que confirma a adequada delimitação da área pretendida.</w:t>
      </w:r>
    </w:p>
    <w:p>
      <w:r>
        <w:t>[PARTE]considerando que restaram preenchidos os requisitos legais do usucapião ordinário – posse contínua e incontestada, com justo título e boa-fé, por período superior a 10 anos – e que a área está devidamente individualizada, impõe-se a procedência do pedido.</w:t>
      </w:r>
    </w:p>
    <w:p>
      <w:r>
        <w:t>[PARTE]o exposto, [PARTE]o pedido formulado por [PARTE]e [PARTE]em face de [PARTE]e [PARTE]nos termos do artigo 487, inciso [PARTE]do Código de Processo Civil, e assim o faço para [PARTE]o domínio dos autores sobre o imóvel rural com área de 2,2900 hectares, situado na [PARTE]denominado [PARTE]no município de [PARTE]com a descrição e confrontações constantes do memorial descritivo corrigido de fls. 218/220, observada a faixa de domínio de 40 metros de largura (20 metros para cada lado a partir do eixo da estrada), [PARTE]a expedição de mandado para abertura de matrícula junto ao Cartório de [PARTE]de [PARTE]de [PARTE]para todos os fins legais, após o trânsito em julgado.</w:t>
      </w:r>
    </w:p>
    <w:p>
      <w:r>
        <w:t xml:space="preserve">CONDENO os réus que apresentaram contestação ao pagamento das custas, despesas processuais e honorários advocatícios em benefício dos patronos da parte vencedora, fixando-os em 10% sobre o valor da causa, nos termos do art. 85, § 2º do [PARTE]a secretaria a gratuidade concedida, neste ato, a [PARTE]de [PARTE]o trânsito em julgado, expeça-se mandado para registro da presente sentença ao [PARTE]de [PARTE]de [PARTE]e [PARTE]local (artigo 167, inciso [PARTE]“28” da Lei n.º 6.015/73). </w:t>
      </w:r>
    </w:p>
    <w:p>
      <w:r>
        <w:t>[PARTE]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