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por [PARTE]em face de [PARTE]e [PARTE]conforme petição inicial de fls. 01 e seguintes. </w:t>
      </w:r>
    </w:p>
    <w:p>
      <w:r>
        <w:t>O autor alega que, sendo aposentado, buscou junto ao primeiro réu a contratação de empréstimo consignado, mas foi induzido em erro e celebrado contrato de cartão de crédito com reserva de margem consignável, sem o seu efetivo conhecimento e consentimento. [PARTE]que houve crédito em sua conta no valor de [PARTE]3.009,60 e, posteriormente, mais três liberações indevidas, totalizando [PARTE]4.131,84. [PARTE]que, a despeito de ter pago [PARTE]6.628,65 em descontos consignados, ainda persiste saldo devedor no valor de [PARTE]4.405,30, situação que configura a perpetuação da dívida. [PARTE]também que foram contratados seguros de vida de forma não autorizada, acarretando descontos indevidos no valor total de [PARTE]600,24. [PARTE]a prática de venda casada, a ausência de informações claras no momento da contratação, a abusividade da operação realizada, a violação dos deveres de informação e transparência, além da prática de publicidade enganosa. [PARTE]a declaração de nulidade do contrato de cartão de crédito com reserva de margem consignável, a inexistência de débito, a devolução em dobro dos valores pagos indevidamente e indenização por danos materiais e morais.</w:t>
      </w:r>
    </w:p>
    <w:p>
      <w:r>
        <w:t>[PARTE]a petição inicial, foi deferido o pedido de gratuidade de justiça (fls. 127), sendo determinada a citação dos réus.</w:t>
      </w:r>
    </w:p>
    <w:p>
      <w:r>
        <w:t xml:space="preserve">O Banco [PARTE]apresentou contestação (fls. 135/154), na qual alega, preliminarmente, a ausência de interesse de agir e a validade da contratação realizada, defendendo a regularidade da operação e da adesão ao cartão de crédito consignado, bem como a legalidade dos descontos e a contratação dos seguros. [PARTE]a improcedência dos pedidos iniciais. </w:t>
      </w:r>
    </w:p>
    <w:p>
      <w:r>
        <w:t>Já a [PARTE]Brasil [PARTE]não apresentou contestação.</w:t>
      </w:r>
    </w:p>
    <w:p>
      <w:r>
        <w:t xml:space="preserve">[PARTE]apresentada réplica pelo autor (fls. 315/319), reiterando os termos da petição inicial e impugnando as alegações de defesa. </w:t>
      </w:r>
    </w:p>
    <w:p>
      <w:r>
        <w:t xml:space="preserve">As partes foram intimadas a especificarem provas e manifestaram-se pela sua desnecessidade. </w:t>
      </w:r>
    </w:p>
    <w:p>
      <w:r>
        <w:t xml:space="preserve">[PARTE]a se manifestar a respeito da gravação telefônica apresentada pelo requerido, o autor se limitou a dizer que a gravação seria inválida, na medida em que seria apenas fragmento da gravação, afirmando, entretanto, que a voz era mesmo sua. </w:t>
      </w:r>
    </w:p>
    <w:p>
      <w:r>
        <w:t>[PARTE]a síntese do necessário.</w:t>
      </w:r>
    </w:p>
    <w:p>
      <w:r>
        <w:t xml:space="preserve">FUNDAMENTO [PARTE]o processo no estado em que se encontra, não havendo necessidade de dilação probatória (art. 355, inciso [PARTE]do Código de Processo Civil). </w:t>
      </w:r>
    </w:p>
    <w:p>
      <w:r>
        <w:t xml:space="preserve">[PARTE]que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 </w:t>
      </w:r>
    </w:p>
    <w:p>
      <w:r>
        <w:t>Em verdade, em homenagem à celeridade e economia processual, o julgamento antecipado da lide se trata de um dever do [PARTE]e não faculdade. [PARTE]os requisitos autorizadores, deve proceder ao julgamento antecipado, como se faz no presente caso.</w:t>
      </w:r>
    </w:p>
    <w:p>
      <w:r>
        <w:t xml:space="preserve">[PARTE]a revelia da ré [PARTE]Brasil [PARTE]já que não apresentou contestação oportunamente, mas deixo de reconhecer os efeitos em homenagem ao artigo 345, [PARTE]do Código de Processo Civil. </w:t>
      </w:r>
    </w:p>
    <w:p>
      <w:r>
        <w:t>[PARTE]as preliminares e prejudiciais de mérito arguidas pelo réu em contestação, deixo de as analisar, na medida em que o mérito a ação é improcedente, conforme será delineado, aplicando-se ao caso o disposto no artigo 488 do Código de Processo Civil, segundo o qual “desde que possível, o juiz resolverá o mérito sempre que a decisão for favorável à parte a quem aproveitaria eventual pronunciamento nos termos do art. 485”. [PARTE]ademais, que as preliminares são genéricas e meramente dilatórias, de forma que nenhuma delas seria capaz de encerrar o processo caso acolhida.</w:t>
      </w:r>
    </w:p>
    <w:p>
      <w:r>
        <w:t>[PARTE]os pressupostos e as condições da ação (artigo. 17 do Código de Processo Civil), passo à análise do mérito.</w:t>
      </w:r>
    </w:p>
    <w:p>
      <w:r>
        <w:t xml:space="preserve">No mérito, os pedidos são [PARTE]mérito da demanda envolve nítida relação de consumo e deve ser interpretado à luz do Código de [PARTE]do(a) consumidor(a), uma vez que a requerida é pessoa jurídica direcionada ao fornecimento de serviços, de forma profissional, com o intuito de lucro (ainda que indireto), a seu destinatário final (autor-consumidor). </w:t>
      </w:r>
    </w:p>
    <w:p>
      <w:r>
        <w:t xml:space="preserve">[PARTE]portanto, os elementos necessários à identificação da relação de consumo (art. 2º e 3º do Código [PARTE]todo o influxo de normas do referido Código [PARTE]são aplicáveis ao caso. </w:t>
      </w:r>
    </w:p>
    <w:p>
      <w:r>
        <w:t>[PARTE]não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[PARTE]do Código de [PARTE]do(a) consumidor(a)). [PARTE]se afasta, sem embargos, a necessidade de que o(a) consumidor(a) produza provas mínimas da verossimilhança de suas alegações, não bastando que argumente, sem qualquer embasamento probatório acerca de seus argumentos, quanto aos direitos que lhe foram desrespeitados.</w:t>
      </w:r>
    </w:p>
    <w:p>
      <w:r>
        <w:t>[PARTE]dizer, em que pese os benefícios processuais trazidos pelo Código de [PARTE]do(a)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[PARTE]o simples fato jurídico que leva a aplicação do Código de [PARTE]do(a) consumidor(a), ou seja, presença dos elementos consumidor, fornecedor e produto/serviço, não leva ao imediato acatamento do que trazido aos autos pelo(a) consumidor(a), sem a necessidade de se aferir qualquer lastro probatório.</w:t>
      </w:r>
    </w:p>
    <w:p>
      <w:r>
        <w:t>[PARTE]faz-se necessário que o(a) consumidor(a) comprove minimamente os fatos constitutivos de seu direito, conforme vem decidindo o [PARTE]Tribunal de Justiça do Estado de [PARTE]e o [PARTE]Superior Tribunal de Justiça:</w:t>
      </w:r>
    </w:p>
    <w:p>
      <w:r>
        <w:t>“Agravo de [PARTE]- [PARTE]de [PARTE]contra decisão que indeferiu a inversão do ônus da prova - [PARTE]de consumo - [PARTE]do ônus da prova não é regra absoluta - [PARTE]do próprio fato em que se funda o pedido - [PARTE]dos [PARTE]- Decisão mantida - Recurso improvido.” (TJ, Agravo de [PARTE]nº [PARTE]7ª [PARTE]de [PARTE]j. 12/01/2017).</w:t>
      </w:r>
    </w:p>
    <w:p>
      <w:r>
        <w:t>DE [PARTE]Apelação [PARTE]nº [PARTE]1. O decisum recorrido esclareceu adequadamente a controvérsia, apontando justificação consistente, não  se confundindo com omissão ou deficiência de fundamentação o simples fato deter apresentado embasamento diferente do pretendido pela parte. 2. A jurisprudência desta [PARTE]Superior se posiciona no sentido de que a inversão do ônus da prova não dispensa a comprovação mínima, pela parte autora, dos fatos constitutivos do seu direito. 3. [PARTE]antes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[PARTE]no [PARTE]1717781/RO,Rel. [PARTE]julgado em05/06/2018, [PARTE]15/06/2018).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sendo o contrato válido ante a ausência a existência de informações claras e adequadas.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[PARTE]ressalto que o contrato é claro, na medida em que explica com clareza e exatidão a contratação na modalidade [PARTE]e os direitos e deveres decorrentes da contratação. [PARTE]disso, todos os valores sacados pelo autor foram depositados em sua conta bancária, sendo certo, ademais, eu inexiste lei proibitiva quanto ao contrato estabelecido, motivo pelo qual, não há que se falar em qualquer ilegalidade da contratação. </w:t>
      </w:r>
    </w:p>
    <w:p>
      <w:r>
        <w:t>[PARTE]a improcedência é a medida que se impõe, devendo o contrato ser mantido nos moldes em que fora assinado pelas partes, já que ausente qualquer prova de vício de consentimento e o contrato observa o princípio da informação clara e adequada do Código de [PARTE]do(a) consumidor(a).</w:t>
      </w:r>
    </w:p>
    <w:p>
      <w:r>
        <w:t xml:space="preserve">[PARTE]de consequência, o pedido de restituição simples e em dobro dos valores é julgado improcedente, assim como o pleito de indenização por danos morais. [PARTE]as provas produzidas acabam por demonstrar que houve contratação, sendo certo que a alteração da modalidade de contratação afrontaria o direito pátrio, especialmente os p´rincípios tutelares do [PARTE]Civil e consumerista em observância à boa-fé objetiva e ao pacta sunt servanda, que por todos devem ser observados. </w:t>
      </w:r>
    </w:p>
    <w:p>
      <w:r>
        <w:t xml:space="preserve">[PARTE]o exposto, julgo [PARTE]os pedidos formulados por [PARTE]em face de [PARTE]e [PARTE]e assim o faço com resolução de mérito, nos termos do artigo 487, inciso [PARTE]do Código de Processo Civil. </w:t>
      </w:r>
    </w:p>
    <w:p>
      <w:r>
        <w:t xml:space="preserve">CONDENO o(a) autor(a), ao pagamento de honorários advocatícios, ora fixados, na forma do artigo 85, § do Código de Processo Civil, em 10% sobre o valor da causa, com atualização monetária pela [PARTE]do [PARTE]a partir da presente data até o efetivo pagamento, observada a condição suspensiva de exigibilidade disposta no artigo 98, §3º, do Código de Processo Civil, já que beneficiária da gratuidade de justiça. </w:t>
      </w:r>
    </w:p>
    <w:p>
      <w:r>
        <w:t>[PARTE]o trânsito em julgado e pagamento das custas, nada mais sendo requerido, remetam-se os autos ao arquivo, depois de feitas às devidas anotações e comunicações.</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