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[PARTE]nº [PARTE]de ação penal pública movida pelo Ministério Público do Estado de [PARTE]no uso de suas atribuições legais e com base no incluso inquérito policial, em face de [PARTE]devidamente qualificado na denúncia, dado como incurso nas penas do art. 155, caput Código Penal – narrando que em 14 de abril de 2021, por volta das 16h00, na [PARTE]nº [PARTE]nesta [PARTE]de [PARTE]teria subtraído para si, uma lixadeira avaliada em [PARTE]927,00 (novecentos e vinte e sete reais), pertencente a [PARTE]de [PARTE]de [PARTE]Penal em 21 de janeiro de 2022 (fls. 49/51); [PARTE]homologado pelo juízo, mas descumprido, sendo rescindido a pedido do [PARTE](fls.61). </w:t>
      </w:r>
    </w:p>
    <w:p>
      <w:r>
        <w:t>[PARTE]a denúncia em 15 de fevereiro de 2024, oportunidade em que se determinou a citação do réu para oferecer resposta à acusação (fls. 76/78); o Réu foi regularmente citado e apresentou resposta à acusação (fls. 91/97).</w:t>
      </w:r>
    </w:p>
    <w:p>
      <w:r>
        <w:t>Em instrução, foram ouvidas vítima e testemunhas, prosseguindo-se com o interrogatório.</w:t>
      </w:r>
    </w:p>
    <w:p>
      <w:r>
        <w:t>Em suas alegações finais, o Ministério Público pugnou pela total procedência da ação penal, nos termos da denúncia (fls. 120/124).</w:t>
      </w:r>
    </w:p>
    <w:p>
      <w:r>
        <w:t>A [PARTE]pugna pela aplicação do princípio da insignificância ou pela absolvição por falta de provas. [PARTE]requer sejam consideradas a primariedade e a confissão do Réu, além da detração, estabelecendo-se pena restritiva de direitos a ser cumprida (fls. 127/132).</w:t>
      </w:r>
    </w:p>
    <w:p>
      <w:r>
        <w:t>É o relatório.</w:t>
      </w:r>
    </w:p>
    <w:p>
      <w:r>
        <w:t>A pretensão acusatória deve ser julgada procedente.</w:t>
      </w:r>
    </w:p>
    <w:p>
      <w:r>
        <w:t>A materialidade e a autoria delitivas encontram-se devidamente comprovadas pelo boletim de ocorrência (fls. 06/07), pelo interrogatório em sede policial (fls. 21/24), em que o réu assumiu a autoria delitiva, entregando a máquina ao delegado de polícia por ocasião das diligências e pela prova oral colhida em audiência.</w:t>
      </w:r>
    </w:p>
    <w:p>
      <w:r>
        <w:t xml:space="preserve">A vítima [PARTE]de [PARTE]disse que na data dos fatos guardou a lixadeira em um contêiner na obra em que estava trabalhando e que cerca de 40 minutos após, fora constatou que ela havia sido subtraída. [PARTE]que perguntou a pessoas que estavam laborando em outras obras e uma delas respondeu que viu o réu subtraindo a lixadeira do local em que a havia deixado. [PARTE]foi à delegacia e que posteriormente fora informado de que a máquina havia sido entregue à polícia pelo réu, sendo o bem, então, devolvido a ele. </w:t>
      </w:r>
    </w:p>
    <w:p>
      <w:r>
        <w:t xml:space="preserve">Em seu interrogatório, o Réu admitiu a prática delitiva, assim como o fez em solo policial. [PARTE]oportunidade, entretanto, disse que havia subtraído a lixadeira motivado pelo fato de que [PARTE]devia a ela, já que teria laborado para este último por um mês e não havia sido pago. </w:t>
      </w:r>
    </w:p>
    <w:p>
      <w:r>
        <w:t>Ou seja, a prova constante dos autos demonstra sem qualquer dúvida a existência e a autoria do crime de furto pelo Réu. [PARTE]próprio confessou o crime em solo policial e na audiência. A vítima asseverou que terceiros haveriam indicado que o réu furtara a máquina, mas solicitaram não serem identificados.</w:t>
      </w:r>
    </w:p>
    <w:p>
      <w:r>
        <w:t>O fato de o réu ter dito que pegara a máquina em troca dívida que a vítima teria consigo não fora comprovado, sendo certo que a versão apresentada em delegacia era de que estaria passando por dificuldades financeiras, motivo pelo qual teria praticado o ilícito. [PARTE]portanto, a tese de autodefesa, na medida em que restou ilhada dos demais elementos dos autos.</w:t>
      </w:r>
    </w:p>
    <w:p>
      <w:r>
        <w:t xml:space="preserve">[PARTE]forma, resta certo que o réu subtraiu coisa alheia móvel para si mesmo. </w:t>
      </w:r>
    </w:p>
    <w:p>
      <w:r>
        <w:t xml:space="preserve">[PARTE]todos os elementos normativos típicos. </w:t>
      </w:r>
    </w:p>
    <w:p>
      <w:r>
        <w:t>[PARTE]a aplicação do privilégio do art. 155, § 2º do [PARTE]na medida em que o bem era de elevado valor à época dos fatos. [PARTE]a jurisprudência reiterada do Tribunal [PARTE]e do Superior Tribunal de Justiça, o valor da coisa alheia móvel deverá ser inferior a um salário mínimo vigente à época dos fatos, para que o privilégio seja aplicado, conforme se revela:</w:t>
      </w:r>
    </w:p>
    <w:p>
      <w:r>
        <w:t>[PARTE]– [PARTE]figura do furto privilegiado (art. 155, § 2º, do [PARTE]exige,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[PARTE]o apelante responda a outra ação penal, trata-se de primário, militando em seu favor o princípio da não culpabilidade. [PARTE]conforme a dicção da súmula nº [PARTE]do [PARTE]admite-se a concessão do privilégio na hipótese de furto qualificado, desde que a qualificadora seja de caráter objetivo, como no caso em análise, no qual o furto é qualificado pelo concurso de agentes. SUBSTITUIÇÃO [PARTE]– [PARTE]os requisitos do art. 44 do [PARTE]vez que a pena não é superior a 4 anos, não é reincidente em crime doloso e a pena base foi fixada no mínimo legal. Recurso parcialmente provido. [PARTE]– [PARTE]julgador: 12ª [PARTE]de [PARTE]do julgamento: 23/10/2024; [PARTE]de publicação: 28/10/2024)</w:t>
      </w:r>
    </w:p>
    <w:p>
      <w:r>
        <w:t>[PARTE]há que se falar, ademais, em aplicação do princípio da bagatela, já que o Supremo Tribunal Federal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[PARTE]sentido, o seguinte precedente:</w:t>
      </w:r>
    </w:p>
    <w:p>
      <w:r>
        <w:t>“PRINCÍPIO [PARTE]- [PARTE]- [PARTE]- [PARTE]- [PARTE]anos de idade – ‘RES [PARTE]25,00 [PARTE]9,61% [PARTE]- [PARTE]- [PARTE]- [PARTE]- [PARTE]princípio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[PARTE]postulado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[PARTE]Público. O [PARTE]‘DE [PARTE]- [PARTE]sistema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[PARTE]84412/SP. [PARTE]de julgamento: 19/10/2004. [PARTE]de [PARTE]19/11/2004).</w:t>
      </w:r>
    </w:p>
    <w:p>
      <w:r>
        <w:t>No caso, não se verifica a inexpressividade da lesão jurídica, na medida em que o bem era de valor próximo ao salário mínimo na época dos fatos e se tratava de instrumento profissional da vítima, que a utilizava para os serviços prestados nas construções e congêneres. [PARTE]impossível a aplicação do princípio da insignificância, sendo a conduta típica.</w:t>
      </w:r>
    </w:p>
    <w:p>
      <w:r>
        <w:t xml:space="preserve"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 </w:t>
      </w:r>
    </w:p>
    <w:p>
      <w:r>
        <w:t>[PARTE]disso, a condenação é a medida que se impõe.</w:t>
      </w:r>
    </w:p>
    <w:p>
      <w:r>
        <w:t>[PARTE]há qualificadoras a serem consideradas. As circunstâncias judiciais, agravantes e atenuantes serão apreciadas quando da dosimetria da pena. [PARTE]há causas de aumento ou de diminuição de pena.</w:t>
      </w:r>
    </w:p>
    <w:p>
      <w:r>
        <w:t>[PARTE]à dosimetria da pena.</w:t>
      </w:r>
    </w:p>
    <w:p>
      <w:r>
        <w:t>[PARTE]fase</w:t>
      </w:r>
    </w:p>
    <w:p>
      <w:r>
        <w:t xml:space="preserve">[PARTE]que se refere à pena base, a circunstância judicial da culpabilidade é normal à espécie, inexistindo maior grau de reprovabilidade do que os crimes desta espécie. </w:t>
      </w:r>
    </w:p>
    <w:p>
      <w:r>
        <w:t>O Réu ostenta bons antecedentes, pois não ostentava maus antecedentes – tecnicamente primário, já que os processos criminais anteriores foram arquivados, não havendo condenação transitada em julgado.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tenho que os autos não trouxeram elementos que possam exasperar ou reduzir a pena. Os motivos do crime são ordinários, restando neutra, também, essa circunstância judicial. As circunstâncias do crime não podem pesar contra ou a favor do Réu. [PARTE]houve nenhuma consequência especialmente gravosa ou benéfica pela prática delituosa. O comportamento da vítima em nada contribuiu para a prática do crime.</w:t>
      </w:r>
    </w:p>
    <w:p>
      <w:r>
        <w:t>[PARTE]modo, observados os parâmetros estabelecidos no art. 59, [PARTE]fixo a pena base em 1/6 acima do mínimo legal, ou seja, em 01 (um) ano e 10 (dez) dias multa.</w:t>
      </w:r>
    </w:p>
    <w:p>
      <w:r>
        <w:t>Segunda fase</w:t>
      </w:r>
    </w:p>
    <w:p>
      <w:r>
        <w:t>[PARTE]agravantes. O crime pelo qual o réu se encontra detido ocorreu, em tese, após os fatos julgados que deram ensejo a este processo.</w:t>
      </w:r>
    </w:p>
    <w:p>
      <w:r>
        <w:t xml:space="preserve">[PARTE]a agravante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>[PARTE]final a pena de 01 (um) ano de reclusão e 10 (dez) dias multa, fixando-se o valor do dia multa no mínimo legal de 1/30 (um trinta avos) do salário mínimo vigente à época dos fatos, pela ausência de prova a respeito da capacidade econômica do Réu.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>[PARTE]possível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[PARTE]e [PARTE]espécie, a condenação foi a pena de um ano e o crime já apresenta pena autônoma de multa, não podendo a pena privativa de liberdade ser convertida em multa, portanto.</w:t>
      </w:r>
    </w:p>
    <w:p>
      <w:r>
        <w:t>[PARTE]assim, nos termos dos arts. 44, § 2º, 43, [PARTE]e 46 [PARTE]converto a pena privativa de liberdade em prestação de serviços à comunidade.</w:t>
      </w:r>
    </w:p>
    <w:p>
      <w:r>
        <w:t>[PARTE]por fim, que o eventual descumprimento da pena restritiva de direitos pode levar à sua revogação, impondo-se a pena de reclusão no caso (art. 44, § 4º, [PARTE]o exposto, julgo procedente a pretensão acusatória, para condenar o Réu [PARTE]como incurso nas sanções do art. 155, caput, Código Penal, às penas de 01 (um) ano de reclusão, em regime inicial aberto, convertida em prestação de serviços à comunidade, e 10 (dez) dias multa com o valor no mínimo legal.</w:t>
      </w:r>
    </w:p>
    <w:p>
      <w:r>
        <w:t>[PARTE]a pena em concreto fixada,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