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Vistos. </w:t>
      </w:r>
    </w:p>
    <w:p>
      <w:r>
        <w:t>Trata-se de AÇÃO PENAL PÚBLICA movida pelo MINISTÉRIO PÚBLICO DO ESTADO DE SÃO PAULO, no uso de suas atribuições legais e com base no incluso inquérito policial, em desfavor de GEAN VITOR PEREIRA TEODORO, devidamente qualificado nos autos, pela suposta prática do crime de AMEAÇA PRATICADA CONTRA A MULHER POR RAZÕES DA CONDIÇÃO DO SEXO FEMININO, COM BASE NA LEI MARIA DA PENHA, tipificado no ARTIGO 147 DO CÓDIGO PENAL e contravenção penal de VIAS DE FATO tipificada no artigo 21, caput do DL 3.688/41. .</w:t>
      </w:r>
    </w:p>
    <w:p/>
    <w:p>
      <w:r>
        <w:t>Recebida a denúncia em 03/08/2023, determinando-se a citação do réu (fls. 21/22).</w:t>
      </w:r>
    </w:p>
    <w:p>
      <w:r>
        <w:t>Citado pessoalmente, o réu apresentou resposta à acusação, por intermédio de seu advogado constituído. Preliminarmente, não foram arguidas nulidades processuais. No mérito, alegou que teria agido em legítima defesa, sustentando que, no dia dos fatos, a vítima o teria agredido com golpes utilizando um aparelho celular, após visualizar supostas mensagens no telefone do réu. Afirma que tentou apenas se defender, afastando-a com os braços e que a lesão facial da vítima teria ocorrido de forma acidental, quando ele tentava contê-la. Acrescentou ainda que não houve dolo por parte do acusado, pois este não teria intenção de agredir a companheira, com quem é casado e com quem já teria se reconciliado, convivendo atualmente em harmonia familiar. Por tais razões, pleiteou a absolvição sumária, com fundamento no art. 397, inciso III, do CPP, ou, sucessivamente, a absolvição ao final da instrução (fls. 25/29).</w:t>
      </w:r>
    </w:p>
    <w:p>
      <w:r>
        <w:t>Em suas alegações finais, o Ministério Público pugnou pela total procedência da pretensão acusatória, com a consequente condenação do Réu, nos termos da denúncia, na medida em que comprovadas autoria e materialidade dos delitos imputados (fls. 111/117).</w:t>
      </w:r>
    </w:p>
    <w:p>
      <w:r>
        <w:t>A Defesa, por sua vez, aduz, que o réu deveria ser absolvido por ter agido em legítima defesa, alegando, ainda, ausência de dolo e reconciliação das partes e princípio da insignificância (fls. 120/124).</w:t>
      </w:r>
    </w:p>
    <w:p>
      <w:r>
        <w:t xml:space="preserve">Eis o resumo do essencial. </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PROCEDENTE.</w:t>
      </w:r>
    </w:p>
    <w:p>
      <w:r>
        <w:t>Consta dos autos que, no dia 20 de setembro de 2022, por volta das 19h, na Rua [ENDEREÇO], na cidade de Marília/SP, o acusado teria agredido fisicamente sua companheira, [PARTE], então gestante, deferindo-lhe socos no rosto durante uma discussão, causando-lhe lesões corporais. O laudo de exame de corpo de delito atestaria a agressão.</w:t>
      </w:r>
    </w:p>
    <w:p/>
    <w:p/>
    <w:p>
      <w:r>
        <w:t>em 13 de agosto de 2023, no período noturno, em horário indeterminado, na zona rural do Município de Marília, no âmbito das relações domésticas e familiares e com violência contra a mulher na forma de lei específica e por razões da condição do sexo feminino, teria ofendido a integridade física de sua então companheira, [PARTE], causando-lhe lesão corporal de natureza leve, além de ameaça-la de causar mal grave e injusto. O crime de lesão corporal restou comprovado.</w:t>
      </w:r>
    </w:p>
    <w:p>
      <w:r>
        <w:t xml:space="preserve">A materialidade do delito é demonstrada pelo boletim de ocorrência (fls. 5/7) e pelo laudo de lesões corporais (fls. 28/29), pelo depoimento da vítima e mesmo pela resposta à acusação (fl. 57), que denotam que o réu teria perdido a cabeça por possível traição da companheira. Em seu depoimento, o réu também não negou os fatos, asseverando, apenas, que teria reagido a agressão à sua honra. </w:t>
      </w:r>
    </w:p>
    <w:p>
      <w:r>
        <w:t xml:space="preserve">No que tange à autoria, as provas produzidas no bojo dos autos comprovam, de forma indene de dúvidas, a prática das lesões corporais por parte do Réu. Ademais, em sua defesa o réu confessa os fatos e assevera que se encontrava em momento de desequilíbrio emocional quando os praticou. </w:t>
      </w:r>
    </w:p>
    <w:p>
      <w:r>
        <w:t xml:space="preserve">A vítima [PARTE] relatou que estava convivendo maritalmente com o autor Daniel há 02 anos, possuem uma filha em comum, Luna, com 01 ano de idade; asseverou que o relacionamento já não vinha sendo harmônico há algum tempo. Na data dos fatos era aniversário da filha comum e na data dos fatos o réu não estava conversando com a vítima; ao final da festa foi pegar seu celular no quarto e começaram a discutir, quando ele saiu da residência; ela foi até ele e fora agredida com um soco no rosto, quando estava com a filha do casal no colo; não havia outras testemunhas que não os filhos da vítima e do réu. </w:t>
      </w:r>
    </w:p>
    <w:p>
      <w:r>
        <w:t xml:space="preserve">Em seu interrogatório, o Réu disse que teria cometido a agressão em virtude de mensagens que a vítima teria trocado com outros homens via celular; que o relacionamento já estava com problemas devido a desconfianças de traição; que na data dos fatos discutiram e ele pegou o celular dela, sendo que ela o tomou de volta posteriormente; que ela teria quebrado seu celular e que ele teria quebrado sua televisão e a agredido com um soco no rosto; que algumas vezes viu conversas da vítima com uma pessoa que estaria a cortejando; que acredita que ela esta namorando com esta pessoa.  </w:t>
      </w:r>
    </w:p>
    <w:p>
      <w:r>
        <w:t xml:space="preserve">Não há qualquer dúvida de que o Réu ofendeu a integridade corporal da vítima, causando-lhe lesões corporais de natureza leve, posto que isso foi admitido em interrogatório judicial e descrito pela vítima, sendo ainda confessados os fatos pelo réu em juízo em consonância com o laudo pericial juntado.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e Tribunal de Justiça do Estado de [PARTE]:</w:t>
      </w:r>
    </w:p>
    <w:p>
      <w:r>
        <w:t>AGRAVO EM RECURSO ESPECIAL Nº 2084913 - TO (2022/0065857-2) DECISÃO Trata-se de agravo em recurso especial interposto por MINISTÉRIO PÚBLICO DO ESTADO DO TOCANTINS contra a decisão proferida no âmbito do Tribunal de Justiça local que não admitiu seu recurso especial fundado no art. 105, inciso III, alínea a, da [PARTE]. Depreende-se dos autos que o agravado foi condenado às penas de 1 mês e 10 dias de detenção e 10 dias de prisão simples, pelo crime de ameaça e pela contravenção de vias de fato (arts. 147 do [PARTE]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[PARTE] e do [PARTE] de Justiça. (STJ - AREsp: 2084913 TO 2022/0065857-2, Relator: Ministro ANTONIO SALDANHA PALHEIRO, Data de Publicação: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[PARTE], Data de Julgamento: 20/05/2023, 13ª Câmara de [PARTE], Data de Publicação: 20/05/2023)</w:t>
      </w:r>
    </w:p>
    <w:p>
      <w:r>
        <w:t>Em virtude de o Réu companheiro da vítima na data dos fatos, convivendo maritalmente com ela, conclui-se que a conduta praticada por ele se subsumi ao preceito sancionador previsto no art. 129, §13º do [PARTE], sendo que os fatos se deram no contexto da convivência doméstica e familiar, a incidir os preceitos normativos e, especialmente, interpretativos-principiológicos da [PARTE] da Penha.</w:t>
      </w:r>
    </w:p>
    <w:p>
      <w:r>
        <w:t xml:space="preserve">Com relação às teses de defesa no sentido de que a vítima estaria se relacionando com seu ex-marido de forma clandestina por troca de mensagens, bem como os fatos narrados pela defesa em seus memoriais, aduzindo que Caroline teria provocado as agressões, o que teria levado à reação de violência do réu em legítima defesa da honra não podem ser acolhidas. </w:t>
      </w:r>
    </w:p>
    <w:p>
      <w:r>
        <w:t>Isso, pois a legítima defesa da honra é instituto banido do sistema jurídico brasileiro, em vista de sua inconstitucionalidade chapada, representando odiosa prática discriminatória e que deve ser desconsiderada pelo juízo caso invocada no caso concreto, conforme já decidiu o [PARTE] (ADPF 779):</w:t>
      </w:r>
    </w:p>
    <w:p>
      <w:r>
        <w:t>Arguição julgada procedente para i) conferir interpretação conforme à Constituição à expressão “elementos alheios aos fatos objeto de apuração” posta no art. 400-A do Código de [PARTE], para excluir a possibilidade de invocação, pelas partes ou procuradores, de elementos referentes à vivência sexual pregressa da vítima ou ao seu modo de vida em audiência de instrução e julgamento de crimes contra a dignidade sexual e de violência contra a mulher, sob pena de nulidade do ato ou do julgamento, nos termos dos arts. 563 a 573 do Código de [PARTE]; ii) fica vedado o reconhecimento da nulidade referida no item anterior na hipótese de a defesa invocar o modo de vida da vítima ou a questionar quanto a vivência sexual pregressa com essa finalidade, considerando a impossibilidade do acusado se beneficiar da própria torpeza; iii) conferir interpretação conforme ao art. 59 do [PARTE], para assentar ser vedado ao magistrado, na fixação da pena em crimes sexuais, valorar a vida sexual pregressa da vítima ou seu modo de vida e iv) assentar ser dever do magistrado julgador atuar no sentido de impedir essa prática inconstitucional, sob pena de responsabilização civil, administrativa e penal.</w:t>
      </w:r>
    </w:p>
    <w:p>
      <w:r>
        <w:t>Chamam a atenção, portanto, os argumentos defensivos encontrados nas alegações finais do réu no sentido de que:</w:t>
      </w:r>
    </w:p>
    <w:p>
      <w:r>
        <w:t xml:space="preserve">“nenhum homem de verdade que ama, vai admitir “chifre” gozações, comentários e tomado POR VIOLENTA EMOÇÃO revidou a agressão, não por ela ser vulnerável, pois atirou seu celular no chão e lhe agrediu primeiro, não há que se falar em sexo frágil” e que “comentários na fazenda que a mesma estava tendo comportamento reprovável, ficava com troca de mensagem com o ex-marido, pessoas falando na cabeça do acusado, foi tirar satisfação, foi afrontado, teve seu celular jogado no chão, foi agredido, AGIU EM LEGÍTIMA DEFESA DE SUA HONRA E AINDA EM ESTADO DE VIOLENTA EMOÇÃO, devendo ser ABSOLVIDO”. </w:t>
      </w:r>
    </w:p>
    <w:p>
      <w:r>
        <w:t xml:space="preserve">Isso, pois além do fato de o [PARTE] já haver se manifestado em sede de precedente vinculante a respeito da impossibilidade de uso de tal argumento odioso, é de se considerar que a justificativa esbarra na própria gravidade dos fatos que se pretende ver impunes, ou seja, as agressões indubitavelmente proferidas contra a vítima. A alegação de que a agressão poderia ser justificada por sombras de traição – diz-se sombras, já que nenhuma prova fora produzida neste sentido – ou pela própria traição caso houvesse sido comprovada é irrazoável, seja pela desproporcionalidade seja pela objetificação da mulher, vista como propriedade do homem na sociedade patriarcal que se pretende desconstruir. </w:t>
      </w:r>
    </w:p>
    <w:p>
      <w:r>
        <w:t xml:space="preserve">Sem maiores digressões a respeito da argumentação defensiva que, com a devida vênia, além de não servir para justificar o crime serve para enquadrar o caso no mesmo bojo daqueles que motivaram especialmente a decisão acima mencionada do [PARTE] (ADPF 779), rejeito a aplicação do instituto da legítima defesa da honra (pela inexistência jurídica sob o manto da [PARTE]), e a violenta emoção em razão da inexistência de qualquer prova no sentido de que os fatos narrados pela defesa ocorreram ou que o réu estivesse, de fato, consumido pelo sentimento extremo. </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[PARTE]. </w:t>
      </w:r>
    </w:p>
    <w:p>
      <w:r>
        <w:t>Primeira fase</w:t>
      </w:r>
    </w:p>
    <w:p>
      <w:r>
        <w:t xml:space="preserve">No que se refere à pena base, a circunstância judicial da culpabilidade do crime será negativada, na medida em que restou comprovado que o réu praticou os delitos na presença do próprio filho e dos filhos da vítima, quando a filha comum estava no colo da vítima. </w:t>
      </w:r>
    </w:p>
    <w:p>
      <w:r>
        <w:t>O Réu ostenta bons antecedentes, pois não ostentava maus antecedentes – tecnicamente primário, já que os processos criminais anteriores foram arquivados, não havendo condenação transitada em julgado.</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w:t>
      </w:r>
    </w:p>
    <w:p>
      <w:r>
        <w:t xml:space="preserve">Quanto à conduta social, tenho que os autos não trouxeram elementos que possam exasperar ou reduzir a pena. Os motivos do crime são ordinários, restando neutra, também, essa circunstância judicial. </w:t>
      </w:r>
    </w:p>
    <w:p>
      <w:r>
        <w:t xml:space="preserve">As circunstâncias do crime serão negativadas, são normais à espécie, não fungindo ao ordinário.  </w:t>
      </w:r>
    </w:p>
    <w:p>
      <w:r>
        <w:t>Não houve nenhuma consequência especialmente gravosa ou benéfica pela prática delituosa. O comportamento da vítima em nada contribuiu para a prática do crime.</w:t>
      </w:r>
    </w:p>
    <w:p>
      <w:r>
        <w:t>Desse modo, observados os parâmetros estabelecidos no art. 59, CP, fixo a pena base em 1/6 acima do mínimo legal – reclusão de 01 (um) ano e 02 (dois) meses.</w:t>
      </w:r>
    </w:p>
    <w:p>
      <w:r>
        <w:t>Segunda fase</w:t>
      </w:r>
    </w:p>
    <w:p>
      <w:r>
        <w:t xml:space="preserve">Reconheço a agravante do artigo 62, inciso 'c' do [PARTE], pois restou comprovado que o réu agrediu a vítima de maneira furtiva, sendo certo que quando percebeu já estava se levantando da agressão. Assim, sequer pode ver o momento exato em que a agressão ocorrera. </w:t>
      </w:r>
    </w:p>
    <w:p>
      <w:r>
        <w:t>Lado outro, quanto a agravante do artigo 62, inciso 'f' do [PARTE], não há campo jurídico para sua aplicação. O fato de o crime ter sido perpetrado no âmbito da violência doméstica e familiar contra a mulher, em razão do sexo feminino já fora utilizado para a subsunção do fato ao artigo 129, §13 do [PARTE]. Não fosse isso, a pena seria menor, pois se enquadraria, o fato, no artigo §1ºdo mesmo artigo 129. Nesse sentido:</w:t>
      </w:r>
    </w:p>
    <w:p>
      <w:r>
        <w:t xml:space="preserve">APELAÇÃO CRIMINAL. VIOLÊNCIA DOMÉSTICA CONTRA MULHER. LESÃO CORPORAL. MATERIALIDADE E AUTORIA SUFICIENTEMENTE COMPROVADAS. PALAVRA DA VÍTIMA POSSUI ESPECIAL RELEVÂNCIA NOS CASOS DE VIOLÊNCIA DOMÉSTICA. CONDENAÇÃO MANTIDA. DESCLASSIFICAÇÃO PARA A MODALIDADE CULPOSA. INVIÁVEL. DOLO EVIDENTE. CONDENAÇÃO MANTIDA. PENA-BASE MANTIDA ACIMA DO MÍNIMO LEGAL. CIÚMES. AFASTAMENTO DA AGRAVANTE PREVISTA NO ART. 61, II, ALÍNEA F, CP. "BIS IN IDEM". SUBSTITUIÇÃO DA PENA PRIVATIVA DE LIBERDADE POR RESTRITIVA DE DIREITOS. INVIÁVEL. NÃO PREENCHIMENTO DOS REQUISITOS LEGAIS (ART. 44, I, DO CP E SÚMULA 588 STJ). RECURSO PARCIALMENTE PROVIDO. (...) 5. A aplicação da agravante prevista no art. 61, II, "f', do CP, em condenação pelo delito do art. 129, § 9º, do CP, configura"bis in idem", razão pela qual deve ser afastada. 6. Não é possível a substituição da pena privativa de liberdade por restritivas de direitos quando o crime foi praticado com violência ou grave ameaça à pessoa, diante da expressa vedação legal contida no art. 44, I, do CP, e do disposto na Súmula 588 do STJ. 7. Recurso parcialmente provido. (TJ - [PARTE]: [PROCESSO] Palestina, Relator: [PARTE], Data de Julgamento: 13/03/2024, 3ª Câmara de [PARTE], Data de Publicação: 13/03/2024). </w:t>
      </w:r>
    </w:p>
    <w:p>
      <w:r>
        <w:t xml:space="preserve">Portanto, evitando-se o bis in idem, afasto a aplicação da agravante pleiteada pelo Ministério Público. </w:t>
      </w:r>
    </w:p>
    <w:p>
      <w:r>
        <w:t xml:space="preserve">Reconheço a atenuante da confissão. Assevero que o réu é tecnicamente primário, conforme anotações de fls. 46/47. Não há outras atenuantes ou agravantes a serem aplicadas. </w:t>
      </w:r>
    </w:p>
    <w:p>
      <w:r>
        <w:t xml:space="preserve">Desta forma, tendo em vista a preponderância da confissão em relação à agravante do 'recurso que dificultou ou tornou impossível a defesa do ofendido' (artigo 67 do [PARTE]), retorno a pena ao patamar mínimo constante do preceito secundário – reclusão de 1 (um) ano. </w:t>
      </w:r>
    </w:p>
    <w:p>
      <w:r>
        <w:t>Terceira fase</w:t>
      </w:r>
    </w:p>
    <w:p>
      <w:r>
        <w:t xml:space="preserve">Não há causas de aumento ou redução de pena. </w:t>
      </w:r>
    </w:p>
    <w:p>
      <w:r>
        <w:t>Torno final a pena intermediária a pena final – reclusão de 01 (um) ano.</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[PARTE]). </w:t>
      </w:r>
    </w:p>
    <w:p>
      <w:r>
        <w:t xml:space="preserve">Negativada a culpabilidade do acusado em face de haver cometido o crime na presença de seus filhos e de filhos da vítima, impossibilitada a aplicação da suspensão condicional da pena (artigo 77 do [PARTE]). Entendo, neste particular, que o fato de a agressão ser perpetrada na presença de crianças afasta o interesse social de que seja concedido o benefício do Sursis, sendo necessária maior reprovabilidade à conduta. </w:t>
      </w:r>
    </w:p>
    <w:p>
      <w:r>
        <w:t xml:space="preserve">Ante o exposto, julgo PARCIALMENTE PROCEDENTE a pretensão acusatória, para (i) declarar extinta a punibilidade do crime de ameaça (artigo 147 do [PARTE]), com fulcro no artigo 107, inciso IV do [PARTE]) e (ii) condenar o Réu THIAGO HENRIQUE SILVA DE SOUZA como incurso nas sanções do art. 129, §13 DO [PARTE], à pena de 01 (um) ano de reclusão, em regime inicial aberto. </w:t>
      </w:r>
    </w:p>
    <w:p>
      <w:r>
        <w:t>Considerando a pena em concreto fixada,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 xml:space="preserve">Condeno, ainda, o réu ao pagamento das despesas e custas judiciais, ficando ressalvada a concessão da gratuidade de justiça concedida e a aplicação do art. 98, §3º do Código de [PARTE], aplicável de forma subsidiária, por força do art. 3º do Código de [PARTE]. </w:t>
      </w:r>
    </w:p>
    <w:p/>
    <w:p>
      <w:r>
        <w:t>PUBLIQUE-SE. REGISTRE-SE. INTIMEM-SE.</w:t>
      </w:r>
    </w:p>
    <w:p/>
    <w:p>
      <w:r>
        <w:t>Marilia, 07 de janeiro de 2025.</w:t>
      </w:r>
    </w:p>
    <w:p/>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