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pelo [PARTE]no uso de suas atribuições legais e com base no incluso inquérito policial, em desfavor de [PARTE]devidamente qualificado nos autos, pela prática, em tese, do crime previsto no artigo 129, §2º, inciso [PARTE]e §§ 9º e 10, do Código Penal, nos termos dos artigos 5º e 7º da Lei nº [PARTE](Lei [PARTE]da [PARTE]a denúncia em 05/06/2024; determinou-se a citação do réu (fls. 114/115).</w:t>
      </w:r>
    </w:p>
    <w:p>
      <w:r>
        <w:t>[PARTE]pessoalmente, a defesa técnica do acusado não apresentou preliminares e, no mérito, reservou-se o direito de manifestação após a instrução, sem, até o momento, impugnar diretamente os fatos. [PARTE]a designação de audiência e a oitiva das testemunhas já arroladas pela acusação (fls. 155/156).</w:t>
      </w:r>
    </w:p>
    <w:p>
      <w:r>
        <w:t xml:space="preserve">Na audiência de instrução a vítima decidiu permanecer em silêncio, o que fora acatado por este [PARTE]evitando-se a revitimização, foram ouvidas as testemunhas de acusação e o réu, em seu interrogatório, permaneceu em silêncio, utilizando-se do seu direito constitucional. </w:t>
      </w:r>
    </w:p>
    <w:p>
      <w:r>
        <w:t>Em alegações finais, o Ministério Público reiterou a pretensão condenatória, destacando que os elementos probatórios constantes dos autos, sobretudo os laudos médicos, fotografias, boletim de ocorrência e os testemunhos dos policiais militares, seriam suficientes para comprovar a materialidade e autoria do crime nos termos descritos na denúncia, e requereu a condenação do réu (fls. 224/229).</w:t>
      </w:r>
    </w:p>
    <w:p>
      <w:r>
        <w:t>A defesa, em suas alegações finais, sustentou a inexistência de prova suficiente para condenação, destacando que a vítima permaneceu em silêncio em juízo, que não houve perícia que comprovasse a alegada deformidade permanente, e que os relatos dos policiais não poderiam, por si só, suprir a fragilidade probatória da acusação, considerando, inclusive, a ausência de registros audiovisuais da suposta confissão extrajudicial. [PARTE]ao final, a absolvição do acusado por ausência de provas quanto à autoria e à materialidade, especialmente quanto à gravidade das lesões alegadas (fls. 252/260).</w:t>
      </w:r>
    </w:p>
    <w:p>
      <w:r>
        <w:t>[PARTE]o resumo do essencial.</w:t>
      </w:r>
    </w:p>
    <w:p>
      <w:r>
        <w:t xml:space="preserve">FUNDAMENTO [PARTE]preliminares ou prejudiciais a serem enfrentadas. [PARTE]que o processo teve seu trâmite regular, com a observância de todas as garantias inerentes ao contraditório e à ampla defesa. [PARTE]assim, os requisitos e as condições da ação, passo à análise do mérito. </w:t>
      </w:r>
    </w:p>
    <w:p>
      <w:r>
        <w:t>No mérito a ação é [PARTE]narrado na denúncia, no dia 28 de maio de 2024, por volta das 2h35, na residência situada à [PARTE]nº [PARTE]no município de [PARTE]o denunciado teria ofendido a integridade corporal de sua companheira, [PARTE]de [PARTE]motivado por ciúmes e desconfiança de infidelidade, no contexto de violência doméstica. De acordo com os autos, durante uma discussão, o acusado teria empurrado a vítima, derrubando-a no chão na presença das filhas do casal. Em seguida, teria se dirigido ao quarto onde ela se refugiou e desferidos socos em seu rosto, resultando em lesões descritas em laudo de tomografia como hematoma subgaleal frontal à esquerda e aumento de partes moles periorbitais, gerando deformidade permanente. As agressões teriam cessado apenas quando o acusado se dirigiu à cozinha para buscar uma faca, momento em que a vítima conseguiu evadir-se da residência.</w:t>
      </w:r>
    </w:p>
    <w:p>
      <w:r>
        <w:t>A materialidade do delito é demonstrada pelo boletim de ocorrência (fls. 6/8), pelas fotos dos autos (fls. 11/13) e documentos médicos (fls. 44/47).</w:t>
      </w:r>
    </w:p>
    <w:p>
      <w:r>
        <w:t xml:space="preserve">No que tange à autoria, as provas produzidas no bojo dos autos comprovam, de forma indene de dúvidas, a prática das lesões corporais por parte do Réu. </w:t>
      </w:r>
    </w:p>
    <w:p>
      <w:r>
        <w:t>[PARTE]da [PARTE](policial militar), informou que, em serviço, fora acionado para atendimento de ocorrência de violência doméstica, que localizou a vítima em um posto de combustível, apresentando nervosismo e hematomas no rosto; que ela teria relatado que fora agredida pelo companheiro com um soco no rosto; que em seguida, deslocou-se até a residência do casal, onde o acusado teria admitido a agressão; que ambos foram conduzidos à delegacia. [PARTE]que não portava câmera corporal, pois o equipamento ainda não havia sido distribuído em [PARTE](policial militar), disse que a vítima estava chorando e com sinais visíveis de agressão facial., quando chegou ao posto em que ela se encontrava; que segundo seu relato, ela afirmou ter sido agredida pelo companheiro durante discussão; que ao chegarem na residência, o acusado teria confirmado que agredira a vítima com um soco por desconfiar de infidelidade. [PARTE]confirmou que não havia gravação da ocorrência, pois não dispunham de câmera corporal.</w:t>
      </w:r>
    </w:p>
    <w:p>
      <w:r>
        <w:t xml:space="preserve">[PARTE]há qualquer dúvida de que o Réu ofendeu a integridade corporal da vítima, causando-lhe lesões corporais, de acordo com o conjunto probatório constante dos autos. </w:t>
      </w:r>
    </w:p>
    <w:p>
      <w:r>
        <w:t>[PARTE]nesse sentido, que a palavra dos [PARTE]não pode ser relegada a segundo plano, sendo carecedoras de toda a confiança atribuída às demais provas testemunhais. [PARTE]a [PARTE]neste sentido, produzir provas de que os militares teriam motivos para incriminar falsamente o acusado, pois a palavra do agente Público é dotada de presunção de veracidade, conforme já decidiu o Superior Tribunal de Justiça:</w:t>
      </w:r>
    </w:p>
    <w:p>
      <w:r>
        <w:t>[PARTE]- [PARTE]- [PARTE]- [PARTE]- [PARTE]- [PARTE]- [PARTE]- [PARTE]- [PARTE]- [PARTE]- [PARTE]- [PARTE]1. [PARTE]nos autos elementos suficientes para se imputar ao acusado a autoria do crime de tráfico de drogas, a manutenção da condenação é medida que se impõe. 2. As palavras dos policiais militares são dotadas de legítima presunção de veracidade, mormente se não comprovada qualquer animosidade com o acusado ou interesse escuso na sua vazia condenação. 3. [PARTE]duas condenações transitadas em julgado capazes de forjar reincidência, uma delas pode e deve ser utilizada na primeira fase dosimétrica para exasperar a pena-base pela circunstância judicial dos maus antecedentes. 4. Recurso desprovido. (STJ - [PARTE]2488497, [PARTE]de [PARTE]20/02/2024)</w:t>
      </w:r>
    </w:p>
    <w:p>
      <w:r>
        <w:t xml:space="preserve">[PARTE]não há qualquer indício de que os policiais tivessem motivos para acusar injustamente o réu, sendo certo que sequer se conheciam. Em que pese o silêncio da vítima e do réu, há provas mais que suficientes que demonstram o crime perpetrado. </w:t>
      </w:r>
    </w:p>
    <w:p>
      <w:r>
        <w:t xml:space="preserve">[PARTE]refutada, ainda, a tese de que a ausência de câmeras corporais e imagens do atendimento da ocorrência maculariam o depoimento dos policiais, na medida em que o sistema penal brasileiro não adota a teoria tarifária das provas, sendo certo que a palavra dos policiais é considerada a prova testemunhal em si mesma – e que se encontra, diga-se de passagem, em consonância com as demais provas dos autos. </w:t>
      </w:r>
    </w:p>
    <w:p>
      <w:r>
        <w:t xml:space="preserve">[PARTE]não obstante, a emendatio libelli, enquadrando os fatos no artigo 129, §13 do Código Penal, com escopo no artigo 383 do Código de Processo Penal. [PARTE]que o réu se defende dos fatos e não da capitulação jurídica lançada pelo Ministério Público. [PARTE]forma, tendo em vista que a lesão corporal fora descrita na peça acusatória a contento – em que pese a classificação ora retificada – e o exercício da ampla defesa e contraditório do réu durante toda a instrução, não há que se falar em nulidade pela emendatio ora aplicada. </w:t>
      </w:r>
    </w:p>
    <w:p>
      <w:r>
        <w:t xml:space="preserve">[PARTE]assim, que em virtude de o Réu ser companheiro da vítima, convivendo maritalmente com ela à data dos fatos, conclui-se que a conduta praticada por ele se subsumi ao preceito sancionador previsto no artigo 129, §13º do Código Penal, sendo que os fatos se deram no contexto da convivência doméstica e familiar, a incidir os preceitos normativos e, especialmente, interpretativos-principiológicos da Lei [PARTE]da [PARTE]ausência de provas quanto ao grau da lesão apontado na exordial acusatória (lesão grave imputada), não impede a condenação do réu quanto ao crime de lesão corporal de natureza leve, na medida em que comprovada a agressão, ao passo que não restou comprovado que as lesões se subsumiriam a qualquer dos incisos constantes do §1º do artigo 129 do Código Penal. </w:t>
      </w:r>
    </w:p>
    <w:p>
      <w:r>
        <w:t>Os fatos ainda são antijurídicos, posto que verberados pela lei penal, e não foi alegada nem restou provada nenhuma causa excludente de antijuridicidade dentre aquelas previstas no art. 23, [PARTE]Réu é maior de 18 (dezoito) anos, penalmente responsável (imputável), consciente da ilicitude dos fatos que praticou e lhe era exigida conduta diversa da que exerceu. [PARTE]destarte, sua culpabilidade.</w:t>
      </w:r>
    </w:p>
    <w:p>
      <w:r>
        <w:t>[PARTE]disso, a condenação quanto ao crime de lesão corporal leve no âmbito das relações domésticas e familiares contra a mulher e em razão desta condição, é a medida que se impõe.</w:t>
      </w:r>
    </w:p>
    <w:p>
      <w:r>
        <w:t>[PARTE]privilégios a serem apreciados. As circunstâncias judiciais, agravantes e atenuantes serão apreciadas quando da dosimetria da pena. [PARTE]há causa de aumento ou de diminuição de pena a ser considerada.</w:t>
      </w:r>
    </w:p>
    <w:p>
      <w:r>
        <w:t xml:space="preserve">[PARTE]que o preceito secundário utilizado será aquele em vigor à época dos fatos, já que a alteração legal de 2024 é maléfica ao réu, devendo prevalecer a pena imposta quando da prática do delito, em observância ao princípio da irretroatividade da lei penal mais gravosa. </w:t>
      </w:r>
    </w:p>
    <w:p>
      <w:r>
        <w:t xml:space="preserve">[PARTE]à dosimetria da pena, adotando-se o sistema trifásico em observância ao art. 68 do Código Penal. </w:t>
      </w:r>
    </w:p>
    <w:p>
      <w:r>
        <w:t>[PARTE]fase</w:t>
      </w:r>
    </w:p>
    <w:p>
      <w:r>
        <w:t xml:space="preserve">[PARTE]que se refere à pena base, as circunstâncias judiciais são neutras. [PARTE]modo, observados os parâmetros estabelecidos no art. 59, [PARTE]fixo a pena base no piso legal – reclusão de 01 (um) ano de reclusão – considerando-se que o crime fora cometido antes da vigência lei 14.994/2024 (09/10/2024). </w:t>
      </w:r>
    </w:p>
    <w:p>
      <w:r>
        <w:t>Segunda fase</w:t>
      </w:r>
    </w:p>
    <w:p>
      <w:r>
        <w:t xml:space="preserve">[PARTE]há agravantes ou atenuantes a serem consideradas, mantendo-se, nesta etapa, a pena base. </w:t>
      </w:r>
    </w:p>
    <w:p>
      <w:r>
        <w:t>Terceira fase</w:t>
      </w:r>
    </w:p>
    <w:p>
      <w:r>
        <w:t xml:space="preserve">[PARTE]há causas de aumento ou redução de pena. </w:t>
      </w:r>
    </w:p>
    <w:p>
      <w:r>
        <w:t>[PARTE]final a pena intermediária a pena final – reclusão de 01 (um) ano.</w:t>
      </w:r>
    </w:p>
    <w:p>
      <w:r>
        <w:t>[PARTE]a pena privativa de liberdade fixada, em consonância com os critérios apontados nos arts. 33, §§ 2º e 3º, e 59, [PARTE]estabeleço para o início do cumprimento da pena o regime aberto.</w:t>
      </w:r>
    </w:p>
    <w:p>
      <w:r>
        <w:t xml:space="preserve">[PARTE]em vista o uso de violência à pessoa, inaplicável a substituição da pena privativa de liberdade por restritiva de direitos (artigo 44 do Código Penal). </w:t>
      </w:r>
    </w:p>
    <w:p>
      <w:r>
        <w:t xml:space="preserve">[PARTE]possível, por outro lado, a suspensão condicional da pena (artigo 77 do Código Penal), na medida em que a condenação é inferior a 2 anos, sendo ainda positivas as circunstâncias judiciais. [PARTE]forma, concedo o benefício da suspensão condicional da pena pelo prazo de 2 (dois) anos, devendo cumprir a prestação de serviços comunitários em local a ser determinado pelo juízo das execuções pelo prazo de 01 (um) ano. [PARTE]que o descumprimento dos serviços comunitários poderá ensejar a revogação do benefício (artigo 81 Código Penal). </w:t>
      </w:r>
    </w:p>
    <w:p>
      <w:r>
        <w:t xml:space="preserve">[PARTE]o exposto, julgo [PARTE]a pretensão acusatória para [PARTE]o Réu [PARTE]como incurso nas sanções do art. 129, §13 [PARTE]Código Penal, à pena de 01 (um) ano de reclusão, em regime inicial aberto, com a aplicação da emendatio libelli (artigo 383 do Código de Processo Penal), concedendo-o o benefício da suspensão [PARTE]da [PARTE]pelo prazo de 2 (dois) anos, devendo cumprir a prestação de serviços comunitários em local a ser determinado pelo juízo das execuções pelo prazo de 01 (um) ano. </w:t>
      </w:r>
    </w:p>
    <w:p>
      <w:r>
        <w:t>[PARTE]a pena em concreto fixada, concedo ao Réu o direito de recorrer em liberdade.</w:t>
      </w:r>
    </w:p>
    <w:p>
      <w:r>
        <w:t>[PARTE]ainda, de estabelecer valor mínimo para reparação civil, tendo em vista inexistir contraditório a respeito ou pedido expresso da vítima (art. 387, [PARTE]e o bem ter sido a ela devolvido. [PARTE]não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[PARTE]o trânsito em julgado desta sentença:</w:t>
      </w:r>
    </w:p>
    <w:p>
      <w:r>
        <w:t>a. comunique-se o Tribunal Regional [PARTE](art. 15, [PARTE]e ao [PARTE]b. intime-se o Réu para o recolhimento da pena de multa, no prazo de 10 (dez) dias;</w:t>
      </w:r>
    </w:p>
    <w:p>
      <w:r>
        <w:t>c. expeça-se guias de execução definitiva e proceda-se às demais diligências necessárias para o início da execução penal;</w:t>
      </w:r>
    </w:p>
    <w:p>
      <w:r>
        <w:t>d. procedam-se às demais diligências e comunicações determinadas no Código de [PARTE]da [PARTE]da Justiça.</w:t>
      </w:r>
    </w:p>
    <w:p>
      <w:r>
        <w:t xml:space="preserve">[PARTE]ainda, o réu ao pagamento das despesas e custas judiciais, ficando ressalvada a concessão da gratuidade de justiça concedida e a aplicação do art. 98, §3º do Código de Processo Civil, aplicável de forma subsidiária, por força do art. 3º do Código de Processo Penal. </w:t>
      </w:r>
    </w:p>
    <w:p/>
    <w:p>
      <w:r>
        <w:t>PUBLIQUE-SE. REGISTRE-SE. INTIMEM-SE.</w:t>
      </w:r>
    </w:p>
    <w:p>
      <w:r>
        <w:t>RAFAEL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