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CUMULADA COM REPETIÇÃO PELO INDÉBITO E INDENIZAÇÃO POR DANOS MORAIS movida por ÊNIO PAULI em face da ASSOCIAÇÃO DOS APOSENTADOS MUTUALISTAS PARA BENEFÍCIOS COLETIVOS (AMBEC). Na exordial (fls. 1/21), o autor alegou ser beneficiário de pensão por morte, fonte única de sua renda, e que teria verificado descontos indevidos em seu benefício previdenciário identificados como “CONTRIB. AMBEC 0800 023 1701”, no valor de R$ 45,00 mensais desde dezembro de 2023. Sustentou jamais ter se associado à requerida, tampouco autorizado tais descontos. Afirmou ter tentado solucionar a controvérsia administrativamente, sem sucesso. Pleiteou, assim, a concessão da gratuidade da justiça, o reconhecimento da prioridade de tramitação em razão de sua condição de idoso, a inversão do ônus da prova nos termos do [PARTE] do Consumidor, a declaração da inexistência de relação jurídica entre as partes, a restituição em dobro dos valores descontados, no montante de R$ 572,05, e indenização por danos morais no valor de R$ 10.000,00. Atribuiu à causa o valor de R$ 10.895,46.</w:t>
      </w:r>
    </w:p>
    <w:p>
      <w:r>
        <w:t>Recebida a inicial, foi deferida a gratuidade da justiça e a tutela de urgência para suspender o desconto em folha referente à contribuição à AMBEC (fls. 59), além de determinada a citação da requerida.</w:t>
      </w:r>
    </w:p>
    <w:p>
      <w:r>
        <w:t xml:space="preserve">Citada, a requerida apresentou contestação às fls. 107/122, na qual alegou a regularidade da contratação, defendendo que o autor teria, sim, aderido de forma válida à associação e consentido com os descontos, por meio de instrumento específico. Requereu a improcedência dos pedidos formulados na inicial e pugnou pela manutenção dos descontos, impugnando ainda o pedido de indenização por danos morais e de repetição em dobro dos valores descontados. </w:t>
      </w:r>
    </w:p>
    <w:p>
      <w:r>
        <w:t xml:space="preserve">Intimadas, em fls. 147/150 o autor alega que o áudio juntado aos autos fora modificado, mas que não teria outras provas a produzir, ao passo que a requerida se manteve inerte.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Quanto as preliminares e prejudiciais de mérito arguidas pelo réu em contestação, deixo de as analisar, na medida em que o mérito a ação é improcedente, conforme será delineado, aplicando-se ao caso o disposto no artigo 488 do [PARTE] Civil,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</w:t>
      </w:r>
    </w:p>
    <w:p>
      <w:r>
        <w:t>Por sua vez, determina o artigo 14 do [PARTE]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Devidamente demonstrada a contratação dos serviços da requerida por voa telefônica. </w:t>
      </w:r>
    </w:p>
    <w:p>
      <w:r>
        <w:t xml:space="preserve">O autor não impugnou a voz do áudio, se limitando a dizer que ele teria sido modificado. Não obstante, quando intimado para indicar provas a produzir, disse que não haveria provas, o que denota que não se desincumbiu de seu ônus probatório, nos termos do artigo 373, II do [PARTE] Civil. </w:t>
      </w:r>
    </w:p>
    <w:p>
      <w:r>
        <w:t xml:space="preserve">Ainda 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Desta forma, o autor não se desincumbiu do ônus que lhe cabia, sendo certo que a ré, por outro lado, demonstrou de forma clara e eficaz a contratação (áudio https://g3b3a1c3857c2c7-exactdbprd01.adb.sa-vinhedo-1.oraclecloudapps.com/ords/actown/actutil/downloadaudio/949710), motivo pelo qual a improcedência é de rigor. </w:t>
      </w:r>
    </w:p>
    <w:p>
      <w:r>
        <w:t>Saliento, 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Verifica-se daí, ademais, que bastaria ao autor ter contatado a ré para o encerramento do contrato, mas preferiu a via jurisdicional para a resolução de questão que poderia ser facilmente resolvida pela via administrativa.</w:t>
      </w:r>
    </w:p>
    <w:p>
      <w:r>
        <w:t>Ante o exposto, julgo IMPROCEDENTES os pedidos exordiais e assim o faço com resolução de mérito, nos termos do artigo 487, I do [PARTE] Civil.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[PARTE] Civil).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