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dispensado (art. 38 da Lei nº 9.099/95).</w:t>
      </w:r>
    </w:p>
    <w:p>
      <w:r>
        <w:t>Fundamento e decido.</w:t>
      </w:r>
    </w:p>
    <w:p>
      <w:r>
        <w:t xml:space="preserve">Reconhecida a revelia dos réus (fls. 44), aplico-lhe os efeitos desta, reconhecendo como verdadeiros os fatos consignados em exordial. 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Com efeito, não pode a sentença deixar de ilustrar e se refletir sobre a existência de documentos, bem como se debruçar sobre os conteúdos neles existentes.</w:t>
      </w:r>
    </w:p>
    <w:p>
      <w:r>
        <w:t>Neste sentido, inclusive:</w:t>
      </w:r>
    </w:p>
    <w:p>
      <w:r>
        <w:t>STJ - "A presunção de veracidade dos fatos afirmados na inicial, em caso de revelia, é relativa, devendo o juiz atentar para a presença ou não das condições da ação e dos pressupostos processuais e para a prova de existência dos fatos da causa”. (STJ, RESP 211851/SP).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No mérito, os pedidos são PROCEDENTES.</w:t>
      </w:r>
    </w:p>
    <w:p>
      <w:r>
        <w:t xml:space="preserve">O mérito da demanda envolve nítida relação de consumo e deve ser interpretado à luz do [PARTE]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Código Consumerista). Assim, todo o influxo de normas do referido Código Principiológico são aplicáveis ao caso. </w:t>
      </w:r>
    </w:p>
    <w:p>
      <w:r>
        <w:t>Por sua vez, determina o artigo 14 do [PARTE]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Isto posto, incontroverso nos autos que a autora locou seu imóvel utilizando-se dos serviços dos réus, conforme contrato de fls. 7/23. Incontroverso, ainda, que não houve o repasse dos aluguéis recebidos da Sra. Milena Zarotti Ferreira, relativo aos meses de maio, junho, julho, agosto e setembro de 2024 aos autores, cujo valor atualizado soma R$6.847,96. </w:t>
      </w:r>
    </w:p>
    <w:p>
      <w:r>
        <w:t xml:space="preserve">Nestes termos, a condenação aos danos materiais é inconteste, na medida em que o ato ilícito dos réus (recebimento dos aluguéis e não repasse à autora), configura ato ilícito (artigo. 186 do Código Civil), devendo ser reparado o dano causado, nos termos do artigo 927 do Código Civil. </w:t>
      </w:r>
    </w:p>
    <w:p>
      <w:r>
        <w:t xml:space="preserve">Quanto aos danos morais, entendo que são devidos, na medida em que os fatos narrados, mais do que simples descumprimento contratual, revelam práticas potencialmente delituosas, na medida em que a apropriação de valores se subsome, ao menos em tese, ao crime de apropriação indébita. </w:t>
      </w:r>
    </w:p>
    <w:p>
      <w:r>
        <w:t>Assim, os fatos ultrapassam em muito os meros aborrecimentos da vida cotidiana, causando claro sofrimento ao(s) autor(es).</w:t>
      </w:r>
    </w:p>
    <w:p>
      <w:r>
        <w:t xml:space="preserve">Portanto, a condenação ao pagamento de indenização pelo dano moral experimentado merece a procedência, na medida em que se identificam o prejuízo moral suportado pelo autor (dano), o ato do agente réu, assim como o nexo de causalidade ligando um ao outro. Neste caso, a responsabilidade é objetiva, em virtude da aplicação do Código Consumerista,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Ante o exposto, com fundamento no artigo 487, inciso I, do [PARTE] Civil, JULGO PARCIALMENTE PROCEDENTES os pedidos da inicial para o fim de CONDENAR os requeridos HOUSE MÓVEIS MARÍLIA e LUCIANO MODESTO a(o):</w:t>
      </w:r>
    </w:p>
    <w:p>
      <w:r>
        <w:t>Pagamento de indenização por danos materiais no importe de R$6.847,26, com correção monetária pela tabela prática do TJ (IPCA-E) e o juros de mora pela incidência da taxa SELIC, deduzido o índice de atualização monetária (art. 406, § 1º, do CC), ambos à partir da propositura da demanda, na medida em que os valores indicados na exordial já foram atualizados até a data do protocolo;</w:t>
      </w:r>
    </w:p>
    <w:p>
      <w:r>
        <w:t>Pagamento de indenização por danos morais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citação;</w:t>
      </w:r>
    </w:p>
    <w:p>
      <w:r>
        <w:t>Sem condenação nos ônus da sucumbência (art. 55 da Lei nº 9.099/95).</w:t>
      </w:r>
    </w:p>
    <w:p>
      <w:r>
        <w:t xml:space="preserve">Oficie-se ao Ministério Público do Estado de São Paulo com a notícia de potencial prática de delito pelos réus, para apreciação e providências que entender necessárias. </w:t>
      </w:r>
    </w:p>
    <w:p>
      <w:r>
        <w:t xml:space="preserve">Em caso de interposição de Recurso Inominado,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Comunicado Conjunto nº 373/2023, (DJE de 14/06/2023, pág. 11 do Caderno Administrativo), observada a atualização de valores contida no Comunicado Conjunto nº 951/2023 (DJE de 19/12/2023, págs. 14/16 do Caderno Administrativo), em atenção às alterações da Lei nº 11.608/2003, decorrentes da Lei nº 17.785/2023, e ainda o disposto no Comunicado Conjunto nº 449/2024 (DJE de 04/07/2024, págs. 11/12 do Caderno Administrativo), recomendando-se, ainda, que a parte observe eventuais alterações normativas e utilize a planilha de cálculo do preparo para Recurso Inominado disponibilizada em: </w:t>
      </w:r>
    </w:p>
    <w:p>
      <w:r>
        <w:t>https://www.tjsp.jus.br/[PARTE]/[PARTE].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p>
      <w:r>
        <w:t>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