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inquérito policial incluso, em desfavor de DANILO FRANCISCO DE PAULA, devidamente qualificado nos autos, acusado de infringir o artigo 306, §1º, inciso I, e §2º, da Lei n° 9.503/97 ([PARTE] Brasileiro), por conduzir veículo automotor com capacidade psicomotora alterada em razão da influência de álcool.</w:t>
      </w:r>
    </w:p>
    <w:p>
      <w:r>
        <w:t>Consta na denúncia que, em 19 de abril de 2020, por volta das 20h20, na Rua [ENDEREÇO], na cidade de Marília, o denunciado conduzia uma motocicleta Dafra/Apache, placas EOK7155, quando, ao passar sobre uma valeta, perdeu o controle e caiu. Acionados ao local, policiais militares relataram ter encontrado o acusado sobre a motocicleta, apresentando sinais visíveis de embriaguez, como odor etílico, fala pastosa, olhos avermelhados e andar cambaleante. Questionado, DANILO FRANCISCO DE PAULA teria confessado o consumo de três latas de cerveja no mesmo dia e, ao realizar o teste do etilômetro, registrou-se o índice de 0,76 mg/l de álcool por litro de ar alveolar expelido, acima do limite permitido por lei.</w:t>
      </w:r>
    </w:p>
    <w:p>
      <w:r>
        <w:t>Recebida a denúncia em 13/12/2023, determinou-se a citação do réu (fls. 99/100).</w:t>
      </w:r>
    </w:p>
    <w:p>
      <w:r>
        <w:t>Citado o réu, por intermédio de sua defesa, reservou-se ao direito de argumentar sobre os fundamentos jurídicos ao final da instrução processual, apresentando negativa geral quanto a imputação. A defesa também solicitou os benefícios da Assistência Judiciária Gratuita, que foram concedidos em fls. 123/124.</w:t>
      </w:r>
    </w:p>
    <w:p>
      <w:r>
        <w:t xml:space="preserve">Durante a audiência de instrução foram ouvidas a testemunha GUILHERME RAFAEL REGINATO DA ROSA, dispensada a segunda testemunha pelas partes. Diante da ausência do réu, decretada sua revelia e prejudicado seu interrogatório. </w:t>
      </w:r>
    </w:p>
    <w:p>
      <w:r>
        <w:t xml:space="preserve">Em alegações finais, o Ministério Público solicitou a condenação do réu nos termos da denúncia, pois restou comprovada a autoria e materialidade delitiva, especialmente pelos exames juntados aos autos e depoimento de Guilherme, no sentido de que o acusado admitira a prática delitiva, o que também fora renovado em sede de interrogatório policial. </w:t>
      </w:r>
    </w:p>
    <w:p>
      <w:r>
        <w:t xml:space="preserve">Por sua vez, a defesa, em alegações finais, a falta de provas quanto aos fastos criminosos imputados ao réu, requerendo sua absolvição, especialmente pois a simples ingestão de bebidas alcoólicas e a constatação do nível de álcool no sangue do acusado não ensejaria o reconhecimento de que sua capacidade psicomotora estivesse alterada. </w:t>
      </w:r>
    </w:p>
    <w:p>
      <w:r>
        <w:t xml:space="preserve">Eis a síntese do necessário. </w:t>
      </w:r>
    </w:p>
    <w:p>
      <w:r>
        <w:t xml:space="preserve">FUNDAMENTO E DECIDO. </w:t>
      </w:r>
    </w:p>
    <w:p>
      <w:r>
        <w:t xml:space="preserve">Presentes os pressupostos processuais e condições da ação, passo à análise do mérito. </w:t>
      </w:r>
    </w:p>
    <w:p>
      <w:r>
        <w:t xml:space="preserve">No mérito, o pleito condenatório é PROCEDENTE. </w:t>
      </w:r>
    </w:p>
    <w:p>
      <w:r>
        <w:t>A materialidade delitiva encontra-se devidamente comprovada pelo boletim de ocorrência (fls. 4/6), pelo exame do etilômetro (fls. 13) e pelo laudo de constatação de embriaguez (fls. 14/16), bem como pela prova oral produzida durante a instrução do feito.</w:t>
      </w:r>
    </w:p>
    <w:p>
      <w:r>
        <w:t>Da mesma forma, a autoria delitiva, diante das provas produzidas em instrução processual, é induvidosa.</w:t>
      </w:r>
    </w:p>
    <w:p>
      <w:r>
        <w:t xml:space="preserve">Na data da ocorrência, conforme depoimento dos policiais que compareceram ao local, o réu admitiu que havia ingerido bebida alcoólica, o que fora confirmado em depoimento prestado em delegacia na data de 21/08/2020 (fls. 19/21). </w:t>
      </w:r>
    </w:p>
    <w:p>
      <w:r>
        <w:t xml:space="preserve">O policial Guilherme Rafael [PARTE] relatou que, no dia 19 de abril de 2020, foi acionado para atender a uma ocorrência de acidente de trânsito na Rua [PARTE], onde encontrou DANILO FRANCISCO DE PAULA sobre sua motocicleta, apresentando ferimentos causados pela queda. DANILO teria admitido que perdeu o controle do veículo ao passar por uma valeta e recusado atendimento médico. Guilherme observou sinais de embriaguez no acusado, que confirmou ter consumido três latas de cerveja. O teste do etilômetro indicou 0,76 mg/l de álcool. Asseverou que o réu admitiu que conduzia a moto antes do acidente. </w:t>
      </w:r>
    </w:p>
    <w:p>
      <w:r>
        <w:t xml:space="preserve">Restou comprovado, portanto, que o réu dirigiu veículo automotor com sua capacidade psicomotora alterada pelo uso de álcool com concentração acima do permitido pela lei, subsumindo-se o fato ao art. 306 do CTB. </w:t>
      </w:r>
    </w:p>
    <w:p>
      <w:r>
        <w:t xml:space="preserve">Anote-se que para a caracterização do crime do art. 306 do CTB é desnecessária a verificação de direção perigosa ou de qualquer outra conduta, bastando o Réu conduzir veículo automotor em via pública com concentração de álcool no sangue superior ao limite legal. </w:t>
      </w:r>
    </w:p>
    <w:p>
      <w:r>
        <w:t xml:space="preserve">A tese da Defensoria Pública no sentido de que o só fato de se haver constatado a presença de álcool no sangue do réu não redundaria na conclusão de que sua capacidade psicomotora estava abalada não vinga. Primeiro, pois a capacidade psicomotora estava flagrantemente alterada. Não fosse assim, o réu não teria se acidentado sozinho na data dos fatos, o que se verifica do depoimento das testemunhas ouvidas nos autos. </w:t>
      </w:r>
    </w:p>
    <w:p>
      <w:r>
        <w:t>Anoto, neste sentido, que a palavra dos Policiais Militares não pode ser relegada a segundo plano, sendo carecedoras de toda a confiança atribuída às demais provas testemunhais. Caberia a Defesa, neste sentido, produzir provas de que os militares teriam motivos para incriminar falsamente o acusado, pois a palavra do agente Público é dotada de presunção de veracidade, conforme já decidiu o Superior [PARTE]:</w:t>
      </w:r>
    </w:p>
    <w:p>
      <w:r>
        <w:t>APELAÇÃO CRIMINAL - TRÁFICO DE DROGAS - DESCLASSIFICAÇÃO - IMPOSSIBILIDADE JURÍDICA - MATERIALIDADE E AUTORIA COMPROVADAS PARA A IMPUTAÇÃO INICIAL - RELEVÂNCIA DA PALAVRA DOS POLICIAIS MILITARES - CONDENAÇÃO MANTIDA - DOSIMETRIA - FIXAÇÃO DA PENA-BASE NO MÍNIMO LEGAL - INVIABILIDADE - MAUS ANTECEDENTES E REINCIDÊNCIA - RECURSO DESPROVIDO. 1. Havendo 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Havendo duas condenações transitadas em julgado capazes de forjar reincidência, uma delas pode e deve ser utilizada na primeira fase dosimétrica para exasperar a pena-base pela circunstância judicial dos maus antecedentes. 4. Recurso desprovido. (STJ - AREsp: 2488497, Relator: Ministro REYNALDO SOARES DA FONSECA, [PARTE]: 20/02/2024)</w:t>
      </w:r>
    </w:p>
    <w:p>
      <w:r>
        <w:t>O fato ainda é antijurídico, posto que verberado pela lei penal, e não foi alegada nem restou provada nenhuma causa excludente de antijuridicidade dentre aquelas elencadas no art. 23 do CP.</w:t>
      </w:r>
    </w:p>
    <w:p>
      <w:r>
        <w:t>O Réu é maior de 18 (dezoito) anos, penalmente responsável (imputável), consciente da ilicitude dos fatos que praticou e que lhe era exigida conduta diversa da que exerceram. Presente, destarte, sua culpabilidade.</w:t>
      </w:r>
    </w:p>
    <w:p>
      <w:r>
        <w:t>Diante disso, a condenação é medida que se impõe.</w:t>
      </w:r>
    </w:p>
    <w:p>
      <w:r>
        <w:t>Não há qualificadoras ou privilégios a serem apreciados. As circunstâncias judiciais, agravantes e atenuantes serão apreciadas quando da dosimetria da pena. Também não há qualquer causa de aumento da pena, sendo reconhecida, entretanto, a confissão efetivada no local dos fatos e, posteriormente, em oitiva perante a autoridade policial.</w:t>
      </w:r>
    </w:p>
    <w:p>
      <w:r>
        <w:t xml:space="preserve">Passo à dosimetria da pena, adotando-se o sistema trifásico em observância ao art. 68 do Código Penal. </w:t>
      </w:r>
    </w:p>
    <w:p>
      <w:r>
        <w:t>Primeira fase - no que se refere à pena base, verifica-se que a culpabilidade é normal à espécie. Verifico que o Réu não ostenta maus antecedentes, sendo primário e não havendo qualquer condenação com período depurador ultrapassado. 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 Quanto à conduta social, tenho que os autos não trouxeram elementos que possam exasperar ou diminuir a pena do Réu. Os motivos do crime não foram esclarecidos. As circunstâncias do crime não podem pesar contra ou a favor do Réu. Não houve nenhuma consequência especialmente gravosa ou benéfica pela prática delituosa que já não está sendo considerada na culpabilidade. Trate-se de crime sem vítima específica.</w:t>
      </w:r>
    </w:p>
    <w:p>
      <w:r>
        <w:t xml:space="preserve">Desse modo, observados os parâmetros estabelecidos no art. 59, CP e as circunstâncias judiciais todas neutras, fixo a pena base em 6 (seis) meses de detenção; suspensão do direito de dirigir  veículo automotor pelo prazo de 2 (dois) meses e 10 (dez) dias multa. </w:t>
      </w:r>
    </w:p>
    <w:p>
      <w:r>
        <w:t xml:space="preserve">Segunda fase - não há agravantes; a atenuante da confissão espontânea não pode, nesta fase, reduzir a pena aquém do patamar instituído legalmente (Súmula 231 do STJ), mantendo-se a pena base nesta etapa. </w:t>
      </w:r>
    </w:p>
    <w:p>
      <w:r>
        <w:t>Terceira fase, não há causas de aumento ou redução, motivo pelo qual mantenho a pena base e torno-a definitiva – 6 (seis) meses de detenção; suspensão do direito de dirigir veículo automotor pelo prazo de 2 (dois) meses e 10 (dez) dias multa.</w:t>
      </w:r>
    </w:p>
    <w:p>
      <w:r>
        <w:t>Regime inicial de cumprimento de pena - considerando a pena privativa de liberdade fixada, em consonância com os critérios apontados nos arts. 33, §§ 2º e 3º, e 59, CP, estabeleço para o início do cumprimento da pena o regime aberto.</w:t>
      </w:r>
    </w:p>
    <w:p>
      <w:r>
        <w:t xml:space="preserve">Substituição da pena privativa de liberdade por restritiva de direitos. Plenamente possível a conversão da pena privativa de liberdade em restritiva de direitos, pois estabelecida em patamar não superior ao máximo legal de 04 (quatro) anos e o crime do art. 306 do CTB não se trata de delito cometido com violência ou grave ameaça a pessoa; o Réu é primário, sem maus antecedentes e a sua personalidade e conduta social, a culpabilidade, os motivos e as circunstâncias do crime indicam que a substituição é suficiente para atingir aos objetivos da pena (art. 44 incisos I, II e III do Código Penal). Assinalo que a proibição de aplicação das medidas despenalizadoras da Lei 9.099/95 (artigo. 291, §1º, I do [PARTE] Brasileiro), somente se aplicam em casos de lesão corporal culposa, fato que não ocorreu no caso concreto, já que o único atingido pelo fato fora o próprio réu. </w:t>
      </w:r>
    </w:p>
    <w:p>
      <w:r>
        <w:t>Na espécie, a condenação foi a pena de inferior a um ano de detenção e o crime já apresenta pena autônoma de multa e de suspensão da habilitação para conduzir veículo automotor, não podendo a pena privativa de liberdade ser convertida nessas, portanto.</w:t>
      </w:r>
    </w:p>
    <w:p>
      <w:r>
        <w:t xml:space="preserve">Sendo assim, nos termos dos artigos 44, § 2º, 43, IV, e 46 Código Penal, converto a pena privativa de liberdade em prestação pecuniária no valor de 1,5 salários-mínimos (totalizando R$1.567,50 – mil quinhentos e sessenta e sete reais e cinquenta centavos), a ser destinada a entidade de caráter Público ou Privado de fins Públicos, a ser definido pelo juízo das execuções penais. Saliento que o montante imposto em substituição está em consonância com a gravidade de crimes que são cometidos, diuturnamente, no âmbito do [PARTE] Brasileiro, necessitando-se de mais rigor do que o ordinário em crimes de tal espécie. </w:t>
      </w:r>
    </w:p>
    <w:p>
      <w:r>
        <w:t>Alerto, por fim, que o eventual descumprimento da pena restritiva de direitos pode levar à sua revogação, impondo-se a pena de detenção no caso (art. 44, § 4º do Código Penal).</w:t>
      </w:r>
    </w:p>
    <w:p>
      <w:r>
        <w:t>Valor unitário do dia multa – ausente prova da condição financeira do Réu, fixo o valor do dia multa no mínimo legal de 1/30 (um trinta avos) do salário mínimo vigente à época dos fatos (art. 49, § 1º, Código Penal).</w:t>
      </w:r>
    </w:p>
    <w:p>
      <w:r>
        <w:t xml:space="preserve">Ante o exposto, julgo PROCEDENTE a pretensão acusatória e CONDENO o réu DANILO FRANCISCO DE PAULA, pela prática do crime tipificado no artigo 306, §1º, inciso I, e §2º, da Lei n° 9.503/97 ([PARTE] Brasileiro), impondo-lhe a pena de 6 (seis) meses de detenção e suspensão do direito de dirigir  veículo automotor pelo prazo de 2 (dois) meses e 10 (dez) dias-multa pelo valor do piso legal, com a substituição da pena privativa de liberdade pela pena restritiva de direitos nas espécie ‘prestação pecuniária’, nos termos da fundamentação. </w:t>
      </w:r>
    </w:p>
    <w:p>
      <w:r>
        <w:t>Condeno, ainda, o réu ao pagamento das despesas e custas judiciais, ficando ressalvada a concessão da gratuidade de justiça concedida e a aplicação do art. 98, §3º do [PARTE] Civil, aplicável de forma subsidiária, por força do art. 3º do [PARTE] Penal.</w:t>
      </w:r>
    </w:p>
    <w:p>
      <w:r>
        <w:t>Desnecessária a prisão cautelar do Réu, posto que respondeu todo o processo em liberdade e não se alteraram as circunstâncias fáticas e jurídicas, não se justificando, portanto, sua prisão processual.</w:t>
      </w:r>
    </w:p>
    <w:p>
      <w:r>
        <w:t xml:space="preserve">Deixa-se, ainda, de estabelecer valor mínimo para reparação civil, tendo em vista inexistir vítima (art. 387, IV, CPP). </w:t>
      </w:r>
    </w:p>
    <w:p>
      <w:r>
        <w:t>Transitada em julgado a presente sentença:</w:t>
      </w:r>
    </w:p>
    <w:p>
      <w:r>
        <w:t>Comunique-se o Tribunal Regional Eleitoral (art. 15, III, CF) e ao IIRG;</w:t>
      </w:r>
    </w:p>
    <w:p>
      <w:r>
        <w:t>Intime-se o Réu para o recolhimento da pena de multa, no prazo de 10 (dez) dias;</w:t>
      </w:r>
    </w:p>
    <w:p>
      <w:r>
        <w:t xml:space="preserve">Expeça-se guia de recolhimento definitivo e procedam-se às demais diligências necessárias para o início da execução penal; </w:t>
      </w:r>
    </w:p>
    <w:p>
      <w:r>
        <w:t xml:space="preserve">Tomem-se as providências necessárias parta o início do cumprimento da pena, intimando-se o Réu para entregar sua CNH, no prazo de 48 (quarenta e oito) horas (art. 293, § 1º, CTB); </w:t>
      </w:r>
    </w:p>
    <w:p>
      <w:r>
        <w:t>Procedam-se às demais diligências e comunicações determinadas no [PARTE] da Egrégia Corregedoria-[PARTE].</w:t>
      </w:r>
    </w:p>
    <w:p>
      <w:r>
        <w:t>PUBLIQUE-SE. REGISTRE-SE. INTIMEM-SE.</w:t>
      </w:r>
    </w:p>
    <w:p>
      <w:r>
        <w:t>RAFAEL SALVIANO SILVEIRA</w:t>
      </w:r>
    </w:p>
    <w:p>
      <w:r>
        <w:t>JUIZ SUBSTITUTO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