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⚠️ CASO SENSÍVEL - FORTEMENTE ANONIMIZADO ⚠️</w:t>
      </w:r>
    </w:p>
    <w:p/>
    <w:p/>
    <w:p>
      <w:r>
        <w:t>╔══════════════════════════════════════════════════════════════╗</w:t>
      </w:r>
    </w:p>
    <w:p>
      <w:r>
        <w:t>║  ⚠️  CASO SENSÍVEL - PROTEÇÃO ESPECIAL DE DADOS             ║</w:t>
      </w:r>
    </w:p>
    <w:p>
      <w:r>
        <w:t>║                                                              ║</w:t>
      </w:r>
    </w:p>
    <w:p>
      <w:r>
        <w:t>║  Este arquivo foi FORTEMENTE ANONIMIZADO.                   ║</w:t>
      </w:r>
    </w:p>
    <w:p>
      <w:r>
        <w:t>║  Narrativa fática foi REMOVIDA para proteção de vítimas.    ║</w:t>
      </w:r>
    </w:p>
    <w:p>
      <w:r>
        <w:t>║  Mantido apenas: enquadramento jurídico e fundamentação.    ║</w:t>
      </w:r>
    </w:p>
    <w:p>
      <w:r>
        <w:t>╚══════════════════════════════════════════════════════════════╝</w:t>
      </w:r>
    </w:p>
    <w:p/>
    <w:p>
      <w:r>
        <w:t>[FATOS REMOVIDOS POR SEGURANÇA - CASO SENSÍVEL]</w:t>
      </w:r>
    </w:p>
    <w:p>
      <w:r>
        <w:t xml:space="preserve">FUNDAMENTO E DECIDO. 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 xml:space="preserve">No mérito o pleito condenatório é PROCEDENTE. </w:t>
      </w:r>
    </w:p>
    <w:p>
      <w:r>
        <w:t xml:space="preserve">A materialidade esta demonstrada pelo Boletim de ocorrência (fls. 1/2); auto de exibição e apreensão (fls. 3), e laudos de fls. 11/18, bem como pelos demais elementos de provas colhidos nesta etapa. </w:t>
      </w:r>
    </w:p>
    <w:p>
      <w:r>
        <w:t xml:space="preserve">A autoria também é indene de dúvidas. </w:t>
      </w:r>
    </w:p>
    <w:p>
      <w:r>
        <w:t xml:space="preserve">A testemunha FÁBIO disse que fora convocado para uma operação que visava o combate à prática de jogos de azar; que se deslocou ao bar de propriedade da ré e foram recebidos por ela, sendo que esta se identificou como dono do estabelecimento; que a máquina estava visível e que ao ser questionada, disse que era responsável pelo bar que mantinha a referida máquina. </w:t>
      </w:r>
    </w:p>
    <w:p>
      <w:r>
        <w:t xml:space="preserve">No mesmo sentido, a testemunha AGIVAN confirmou o que narrado por seu parceiro à época dos fatos. </w:t>
      </w:r>
    </w:p>
    <w:p>
      <w:r>
        <w:t xml:space="preserve">A ré, em seu interrogatório disse que era proprietária do bar e que não era dona da máquina, mas que ela estava de fato em seu poder; que foi deixada por outra pessoa para uso com diversas finalidades. </w:t>
      </w:r>
    </w:p>
    <w:p>
      <w:r>
        <w:t>Verifica-se, assim, que a ré era proprietária do bar, sendo certo que a máquina, conforme laudos periciais, demonstram que havia uma pré-programação computadorizada que permitia o pagamento de prêmios após a coleta de determinado numerário, conforme se verifica das fls. 13, no laudo. Assim, a vitória dependeria da sorte de o apostador iniciar sua participação quando o valor estivesse próximo ao determinado previamente.</w:t>
      </w:r>
    </w:p>
    <w:p>
      <w:r>
        <w:t xml:space="preserve">Não há dúvidas, assim, que a ré praticou a contravenção penal do artigo 50 do Decreto-Lei 3688/1941. </w:t>
      </w:r>
    </w:p>
    <w:p>
      <w:r>
        <w:t xml:space="preserve">Passo à dosimetria da pena, adotando-se o sistema trifásico em observância ao art. 68 do Código Penal. </w:t>
      </w:r>
    </w:p>
    <w:p>
      <w:r>
        <w:t>Primeira fase</w:t>
      </w:r>
    </w:p>
    <w:p>
      <w:r>
        <w:t>As circunstâncias judiciais são neutras, pois normais à espécie delitivaDesse modo, observados os parâmetros estabelecidos no art. 59 do Código Penal, fixo a pena base no piso legal – 10 (dez) dias-multa.</w:t>
      </w:r>
    </w:p>
    <w:p>
      <w:r>
        <w:t>Segunda fase</w:t>
      </w:r>
    </w:p>
    <w:p>
      <w:r>
        <w:t>Sem circunstâncias agravantes ou atenuantes</w:t>
      </w:r>
    </w:p>
    <w:p>
      <w:r>
        <w:t>Terceira fase</w:t>
      </w:r>
    </w:p>
    <w:p>
      <w:r>
        <w:t xml:space="preserve">Não há causas de aumento ou redução de pena. </w:t>
      </w:r>
    </w:p>
    <w:p>
      <w:r>
        <w:t>Torno final a pena intermediária a pena final – 10 dias-multa.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Ante o exposto, julgo PROCEDENTE a pretensão acusatória, para condenar a ré ADRIANA DOS SANTOS pela prática da contravenção penal do artigo 50 do DL 3.688/1941, impondo-lhe a pena de 10 (dez) dias-multa no piso legal (1/30 do salário-mínimo)</w:t>
      </w:r>
    </w:p>
    <w:p>
      <w:r>
        <w:t>Considerando a pena em concreto fixada, bem como a ausência de pedido do Ministério Público para a prisão cautelar, e diante da ausência dos elementos autorizadores desta, concedo ao Réu o direito de recorrer em liberdade.</w:t>
      </w:r>
    </w:p>
    <w:p>
      <w:r>
        <w:t>Deixa-se, ainda, de estabelecer valor mínimo para reparação civil, tendo em vista inexistir contraditório a respeito ou pedido expresso da vítima (art. 387, IV, CPP), e o bem ter sido a ela devolvido.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comunique-se o Tribunal Regional Eleitoral (art. 15, III, CF) e ao IIRG;</w:t>
      </w:r>
    </w:p>
    <w:p>
      <w:r>
        <w:t>intime-se o Réu para o recolhimento da pena de multa, no prazo de 10 (dez) dias;</w:t>
      </w:r>
    </w:p>
    <w:p>
      <w:r>
        <w:t>expeça-se guias de execução definitiva e proceda-se às demais diligências necessárias para o início da execução penal;</w:t>
      </w:r>
    </w:p>
    <w:p>
      <w:r>
        <w:t>procedam-se às demais diligências e comunicações determinadas no [PARTE] da Egrégia Corregedoria-[PARTE].</w:t>
      </w:r>
    </w:p>
    <w:p>
      <w:r>
        <w:t>Condeno, ainda, o réu ao pagamento das despesas e custas judiciais – artigo 804 do [PARTE] Penal.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