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RUBENS MARINHO DA CRUZ, devidamente qualificado nos autos, acusado da prática do crime previsto no ARTIGO 171, CAPUT, DO CÓDIGO PENAL.</w:t>
      </w:r>
    </w:p>
    <w:p>
      <w:r>
        <w:t>Citado pessoalmente, a Defesa técnica do réu, por intermédio da Defensoria Pública, apresentou resposta à acusação alegando, em síntese, tratar-se de estratégia processual o não oferecimento de teses de mérito neste momento, reservando-se para o momento oportuno, ao final da instrução, para esclarecimento dos fatos e afirmação da inocência. Requereu, ainda, a produção de provas, inclusive orais, e o benefício da assistência judiciária gratuita.</w:t>
      </w:r>
    </w:p>
    <w:p>
      <w:r>
        <w:t xml:space="preserve">Na audiência de instrução foram ouvidas as testemunhas e tomado o interrogatório do réu. </w:t>
      </w:r>
    </w:p>
    <w:p>
      <w:r>
        <w:t>Foram ouvidas a vítima e testemunhas de acusação e defesa, bem como procedido o interrogatório do réu.</w:t>
      </w:r>
    </w:p>
    <w:p>
      <w:r>
        <w:t>Em alegações finais, o Ministério Público do Estado de São Paulo requereu a condenação do réu nos termos da denúncia, sustentando que restaram demonstrados o dolo e os elementos do tipo penal descrito no artigo 171, caput, do Código Penal, inexistindo excludentes de ilicitude ou de culpabilidade.</w:t>
      </w:r>
    </w:p>
    <w:p>
      <w:r>
        <w:t>A defesa, por sua vez, arguiu preliminarmente a nulidade da decisão que revogou o benefício da suspensão condicional do processo, alegando ausência de contraditório e ampla defesa, eis que não houve prévia oitiva. Requereu, assim, a extinção da punibilidade em razão do cumprimento integral das condições do “sursis” processual, com fundamento no artigo 89, § 5º, da Lei 9.099/95. No mérito, pugnou pela absolvição do acusado com fulcro no artigo 386, incisos III e VII, do [PARTE] Penal, sustentando ausência de provas quanto ao dolo antecedente necessário à configuração do crime de estelionato. Subsidiariamente, requereu o reconhecimento da forma privilegiada do delito (art. 171, § 1º, do CP), diante da primariedade do réu e do pequeno valor do prejuízo (R$ 613,00), inferior ao salário-mínimo vigente à época dos fatos. Requereu, ainda, a fixação da pena no mínimo legal, aplicação do regime inicial aberto e substituição da pena privativa de liberdade por restritivas de direitos, caso sobrevenha condenação.</w:t>
      </w:r>
    </w:p>
    <w:p>
      <w:r>
        <w:t>Eis o resumo do essencial.</w:t>
      </w:r>
    </w:p>
    <w:p>
      <w:r>
        <w:t>FUNDAMENTO E DECIDO.</w:t>
      </w:r>
    </w:p>
    <w:p>
      <w:r>
        <w:t xml:space="preserve">Rejeito as preliminares da Defensoria Pública na medida em que as prorrogações do período de sursi são determinados pela lei, não havendo a perenização da condição de réu, mas a majoração do período de prova para a concessão do benefício ao réu (artigo 81, §2º do Código Penal). Ademais, no que diz respeito a inexistência de oitiva do réu, também nada há a declarar sob o prisma da nulidade, na medida em que a lei não determina a oitiva prévia do acusado para se declarar A revogação do benefício em virtude do descumprimento das obrigações assumidas.  </w:t>
      </w:r>
    </w:p>
    <w:p>
      <w:r>
        <w:t>No mérito, a pretensão punitiva estatal é IMPROCEDENTE.</w:t>
      </w:r>
    </w:p>
    <w:p>
      <w:r>
        <w:t>Consta dos autos que, no dia 1º de fevereiro de 2014, por volta das 11h45, na Rua [ENDEREÇO], em Marília/SP, o denunciado teria obtido vantagem ilícita no valor de R$ 613,00 em prejuízo da empresa “Copevel - [PARTE] e Acessórios para Veículos Ltda.”, mediante fraude. Segundo a narrativa da denúncia, o acusado compareceu ao estabelecimento e adquiriu peças e serviços para o veículo Santana Quantum, placas BJN-8471, comprometendo-se a efetuar o pagamento em nome da Igreja Evangélica [PARTE], na qual teria se identificado como tesoureiro. No entanto, ao ser procurada pela vítima após o não pagamento, a mencionada igreja informou que o acusado já não integrava seus quadros desde 19 de agosto de 2013. Além disso, foi esclarecido por um pastor que o veículo em questão era de uso particular do acusado, não pertencendo à instituição religiosa.</w:t>
      </w:r>
    </w:p>
    <w:p>
      <w:r>
        <w:t xml:space="preserve">Não houve a comprovação de que as elementares do tipo penal, motivo pelo qual a absolvição é a medida que se impõe. </w:t>
      </w:r>
    </w:p>
    <w:p>
      <w:r>
        <w:t xml:space="preserve">O representante da vítima, Cláudio Dias Camossi disse que o réu levou seu veículo para realizar os serviços e que teria sido emitida duplicata em nome da igreja; que o réu trabalhava na tesouraria da igreja; que antes o réu já tinha feito tais serviços em nome da igreja e que nessas outras oportunidades haviam recebido pelos serviços; que a função do réu na tesouraria era levar cestas básicas a pessoas da igreja, dentre outros; que o pastor disse que o veículo não era da igreja; que o réu teria pago R$113,00 para a empresa. </w:t>
      </w:r>
    </w:p>
    <w:p>
      <w:r>
        <w:t xml:space="preserve">A testemunha Valdeir [PARTE] disse que foram notificados sobre os fatos e que ele comunicou que o réu não trabalhava mais na igreja e que soube da dívida; que ele trabalhava na igreja e que não teve mais contato com ele; que o réu não tinha autorização pata que o réu fizesse a dívida em nome da empresa. </w:t>
      </w:r>
    </w:p>
    <w:p>
      <w:r>
        <w:t xml:space="preserve">Em seu interrogatório o réu disse que trabalhava na igreja e que era comum realizar reparos em seu carro e demais funcionários que se utilizavam do veículo particular para os serviços da empresa; que trabalhava na tesouraria; que recebia ajuda de custo e a igreja pagava ajuda de custo do veículo, incluindo quebra do carro; que arrumavam o carro, tiravam nota e apresentavam na empresa, que pagava tais reparos diretamente à oficina; que ia até pagar pelo serviço quando soube da negativa da igreja, mas que ficou sem dinheiro e não conseguiu mais pagar. </w:t>
      </w:r>
    </w:p>
    <w:p>
      <w:r>
        <w:t xml:space="preserve">De se verificar, pelo contexto probatório apresentado, que o réu trabalhava, de fato, na igreja no setor ‘tesouraria’, sendo certo que, conforme afirmado pelo próprio representante da empresa – contrariando o que disse a testemunha – o réu já havia feito outros serviços e a igreja havia pago por tais serviços nos veículos. </w:t>
      </w:r>
    </w:p>
    <w:p>
      <w:r>
        <w:t xml:space="preserve">Depreende-se, assim, que o réu tinha autorização para contrair a dívida em nome da empresa, em que pese a firmação contrária de Valdeir. Somado a isso, tem-se que ficou demonstrado que o réu realizava serviços com seu carro particular para a igreja (como levar cestas básicas, o que fora afirmado por Cláudio, confirmando o narrado pelo réu em seu depoimento. </w:t>
      </w:r>
    </w:p>
    <w:p>
      <w:r>
        <w:t xml:space="preserve">Por certo, tendo em vista o aproveitamento do veículo particular para realizar serviços em benefício da igreja, deve ser observado o princípio da alteridade no âmbito do direito laboral (considerando-se que era empregado celetista), sendo certo que os riscos e os custos do serviço devem ser suportados pelo empregador, o que significa que o combustível e os reparos do veículo do empregado eram mesmo de obrigação da igreja. </w:t>
      </w:r>
    </w:p>
    <w:p>
      <w:r>
        <w:t xml:space="preserve">Desta forma, restou demonstrada da elementar “induzindo ou mantendo alguém em erro”, já que se extrai das provas que o réu mantinha autorização para contratar junto à vítima, o que já havia, inclusive, ocorrido em outras oportunidades. </w:t>
      </w:r>
    </w:p>
    <w:p>
      <w:r>
        <w:t xml:space="preserve">Ante o exposto, julgo IMPROCEDENTE a pretensão acusatória, para ABSOLVER o réu RUBENS MARINHO DA CRUZ, com fundamento no art. 386, inciso VII do [PARTE] Penal, do crime a ela imputado nesta ação. </w:t>
      </w:r>
    </w:p>
    <w:p>
      <w:r>
        <w:t>Sem condenação ao pagamento das custas e despesas processuais.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