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200"/>
        <w:rPr>
          <w:color w:val="000000"/>
        </w:rPr>
      </w:pPr>
      <w:r>
        <w:rPr>
          <w:color w:val="000000"/>
        </w:rPr>
        <w:t>Synthèse charte informatique</w:t>
      </w:r>
    </w:p>
    <w:p>
      <w:pPr>
        <w:pStyle w:val="Heading1"/>
        <w:rPr>
          <w:color w:val="000000"/>
        </w:rPr>
      </w:pPr>
      <w:r>
        <w:rPr>
          <w:color w:val="000000"/>
          <w:sz w:val="18"/>
        </w:rPr>
        <w:t>Gabin Courdy</w:t>
        <w:br/>
        <w:t>BTS SIO1</w:t>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rPr>
      </w:pPr>
      <w:r>
        <w:rPr>
          <w:color w:val="000000"/>
          <w:sz w:val="24"/>
        </w:rPr>
        <w:t>La charte informatique est un contrat rédigé par l’entreprise, qui réglemente l’usage des moyens informatiques mis à la disposition des salariés.</w:t>
      </w:r>
    </w:p>
    <w:p>
      <w:pPr>
        <w:pStyle w:val="Normal"/>
        <w:rPr>
          <w:color w:val="000000"/>
          <w:sz w:val="24"/>
        </w:rPr>
      </w:pPr>
      <w:r>
        <w:rPr>
          <w:color w:val="000000"/>
          <w:sz w:val="24"/>
        </w:rPr>
      </w:r>
    </w:p>
    <w:p>
      <w:pPr>
        <w:pStyle w:val="Heading2"/>
        <w:rPr>
          <w:color w:val="000000"/>
        </w:rPr>
      </w:pPr>
      <w:r>
        <w:rPr>
          <w:color w:val="000000"/>
        </w:rPr>
        <w:t>Quelles pratiques encadre-t-elle ?</w:t>
      </w:r>
    </w:p>
    <w:p>
      <w:pPr>
        <w:pStyle w:val="Normal"/>
        <w:rPr>
          <w:color w:val="000000"/>
        </w:rPr>
      </w:pPr>
      <w:r>
        <w:rPr>
          <w:color w:val="000000"/>
          <w:sz w:val="24"/>
        </w:rPr>
        <w:t>La charte informatique encadre la navigation sur Internet, les logiciels autorisés sur les postes de travail.</w:t>
      </w:r>
    </w:p>
    <w:p>
      <w:pPr>
        <w:pStyle w:val="Normal"/>
        <w:rPr>
          <w:color w:val="000000"/>
        </w:rPr>
      </w:pPr>
      <w:r>
        <w:rPr>
          <w:color w:val="000000"/>
          <w:sz w:val="24"/>
        </w:rPr>
        <w:t>En ce qui concerne les données de l’entreprise, la charte réglemente aussi les droits d’accès des salariés aux différentes catégories de données stockées au sein de l’entreprise, et les informe du traitement de leurs propres données une fois la charte signée.</w:t>
        <w:br/>
      </w:r>
    </w:p>
    <w:p>
      <w:pPr>
        <w:pStyle w:val="Heading2"/>
        <w:rPr>
          <w:color w:val="000000"/>
        </w:rPr>
      </w:pPr>
      <w:r>
        <w:rPr>
          <w:color w:val="000000"/>
        </w:rPr>
        <w:t>Quel est son rôle ?</w:t>
      </w:r>
    </w:p>
    <w:p>
      <w:pPr>
        <w:pStyle w:val="Normal"/>
        <w:rPr>
          <w:color w:val="000000"/>
        </w:rPr>
      </w:pPr>
      <w:r>
        <w:rPr>
          <w:color w:val="000000"/>
          <w:sz w:val="24"/>
        </w:rPr>
        <w:t>La charte informatique sert de contrat pour garantir le respect des règles de l’entreprise.</w:t>
      </w:r>
    </w:p>
    <w:p>
      <w:pPr>
        <w:pStyle w:val="Normal"/>
        <w:rPr>
          <w:color w:val="000000"/>
        </w:rPr>
      </w:pPr>
      <w:r>
        <w:rPr>
          <w:color w:val="000000"/>
          <w:sz w:val="24"/>
        </w:rPr>
        <w:t>Du côté des salariés, non seulement elle encadre l‘usage des moyens informatiques à disposition, mais elle les informe aussi du traitement de leurs données personnelles. Du côté de l’entreprise, non seulement ce contrat garantit le respect des règles, mais sa signature est aussi le recueil du consentement des salariés traitement de leurs données par l’entreprise.</w:t>
        <w:br/>
      </w:r>
    </w:p>
    <w:p>
      <w:pPr>
        <w:pStyle w:val="Heading2"/>
        <w:widowControl/>
        <w:spacing w:lineRule="auto" w:line="276"/>
        <w:rPr>
          <w:color w:val="000000"/>
        </w:rPr>
      </w:pPr>
      <w:r>
        <w:rPr>
          <w:color w:val="000000"/>
        </w:rPr>
        <w:t>La charte informatique est-elle obligatoire dans une entreprise ?</w:t>
      </w:r>
    </w:p>
    <w:p>
      <w:pPr>
        <w:pStyle w:val="Normal"/>
        <w:rPr>
          <w:color w:val="000000"/>
        </w:rPr>
      </w:pPr>
      <w:r>
        <w:rPr>
          <w:color w:val="000000"/>
          <w:sz w:val="24"/>
        </w:rPr>
        <w:t>La charte informatique est un document obligatoire pour toute entreprise fournissant des moyens informatiques à ses salariés, et toute entreprise traitant des données personnelles.</w:t>
      </w:r>
    </w:p>
    <w:p>
      <w:pPr>
        <w:pStyle w:val="Heading2"/>
        <w:rPr>
          <w:color w:val="000000"/>
        </w:rPr>
      </w:pPr>
      <w:r>
        <w:rPr>
          <w:color w:val="000000"/>
        </w:rPr>
        <w:t>Quelles sont les formalités à faire pour que la charte soit recevable devant un juge ?</w:t>
      </w:r>
    </w:p>
    <w:p>
      <w:pPr>
        <w:pStyle w:val="Normal"/>
        <w:rPr>
          <w:color w:val="000000"/>
        </w:rPr>
      </w:pPr>
      <w:r>
        <w:rPr>
          <w:color w:val="000000"/>
          <w:sz w:val="24"/>
        </w:rPr>
        <w:t>L’entreprise a deux options pour que la charte informatique soit recevable par un juge (et de ce fait, qu’il soit légalement obligatoire que les salariés la respecte) : elle peut l’annexer au contrat de travail, ou/et au règlement intérieur.</w:t>
      </w:r>
    </w:p>
    <w:p>
      <w:pPr>
        <w:pStyle w:val="Heading1"/>
        <w:rPr>
          <w:color w:val="000000"/>
        </w:rPr>
      </w:pPr>
      <w:r>
        <w:rPr>
          <w:color w:val="000000"/>
        </w:rPr>
      </w:r>
    </w:p>
    <w:p>
      <w:pPr>
        <w:pStyle w:val="Heading1"/>
        <w:rPr>
          <w:color w:val="000000"/>
        </w:rPr>
      </w:pPr>
      <w:r>
        <w:rPr>
          <w:color w:val="000000"/>
        </w:rPr>
      </w:r>
    </w:p>
    <w:p>
      <w:pPr>
        <w:pStyle w:val="Heading2"/>
        <w:rPr>
          <w:color w:val="000000"/>
        </w:rPr>
      </w:pPr>
      <w:r>
        <w:rPr>
          <w:color w:val="000000"/>
        </w:rPr>
        <w:t>Quel est son contenu (annexe 2) ?</w:t>
      </w:r>
    </w:p>
    <w:p>
      <w:pPr>
        <w:pStyle w:val="Normal"/>
        <w:rPr>
          <w:color w:val="000000"/>
        </w:rPr>
      </w:pPr>
      <w:r>
        <w:rPr>
          <w:color w:val="000000"/>
          <w:sz w:val="24"/>
        </w:rPr>
        <w:t>La charte informatique se compose de plusieurs instructions. On peut résumer son contenu par ce sommaire :</w:t>
      </w:r>
    </w:p>
    <w:p>
      <w:pPr>
        <w:pStyle w:val="Normal"/>
        <w:rPr>
          <w:color w:val="000000"/>
          <w:sz w:val="24"/>
        </w:rPr>
      </w:pPr>
      <w:r>
        <w:rPr>
          <w:color w:val="000000"/>
          <w:sz w:val="24"/>
        </w:rPr>
      </w:r>
    </w:p>
    <w:p>
      <w:pPr>
        <w:pStyle w:val="ListParagraph"/>
        <w:widowControl/>
        <w:numPr>
          <w:ilvl w:val="0"/>
          <w:numId w:val="1"/>
        </w:numPr>
        <w:spacing w:lineRule="auto" w:line="276" w:before="0" w:afterAutospacing="0" w:after="0"/>
        <w:contextualSpacing/>
        <w:rPr>
          <w:color w:val="000000"/>
        </w:rPr>
      </w:pPr>
      <w:r>
        <w:rPr>
          <w:color w:val="000000"/>
          <w:sz w:val="22"/>
        </w:rPr>
        <w:t>Objectifs</w:t>
      </w:r>
    </w:p>
    <w:p>
      <w:pPr>
        <w:pStyle w:val="ListParagraph"/>
        <w:widowControl/>
        <w:numPr>
          <w:ilvl w:val="1"/>
          <w:numId w:val="1"/>
        </w:numPr>
        <w:spacing w:lineRule="auto" w:line="276" w:before="0" w:afterAutospacing="0" w:after="0"/>
        <w:contextualSpacing/>
        <w:rPr>
          <w:color w:val="000000"/>
        </w:rPr>
      </w:pPr>
      <w:r>
        <w:rPr>
          <w:color w:val="000000"/>
          <w:sz w:val="22"/>
        </w:rPr>
        <w:t>L’encadrement de l’usage des moyens informatiques de l’entreprise.</w:t>
      </w:r>
    </w:p>
    <w:p>
      <w:pPr>
        <w:pStyle w:val="ListParagraph"/>
        <w:widowControl/>
        <w:numPr>
          <w:ilvl w:val="1"/>
          <w:numId w:val="1"/>
        </w:numPr>
        <w:spacing w:lineRule="auto" w:line="276" w:before="0" w:afterAutospacing="0" w:after="0"/>
        <w:contextualSpacing/>
        <w:rPr>
          <w:color w:val="000000"/>
        </w:rPr>
      </w:pPr>
      <w:r>
        <w:rPr>
          <w:color w:val="000000"/>
          <w:sz w:val="22"/>
        </w:rPr>
        <w:t>Les règles de sécurité.</w:t>
      </w:r>
    </w:p>
    <w:p>
      <w:pPr>
        <w:pStyle w:val="ListParagraph"/>
        <w:widowControl/>
        <w:numPr>
          <w:ilvl w:val="1"/>
          <w:numId w:val="1"/>
        </w:numPr>
        <w:spacing w:lineRule="auto" w:line="276" w:before="0" w:afterAutospacing="0" w:after="0"/>
        <w:contextualSpacing/>
        <w:rPr>
          <w:color w:val="000000"/>
        </w:rPr>
      </w:pPr>
      <w:r>
        <w:rPr>
          <w:color w:val="000000"/>
          <w:sz w:val="22"/>
        </w:rPr>
        <w:t>Le contrôle de l’organisation sur l’activité numérique des salariés.</w:t>
        <w:br/>
      </w:r>
    </w:p>
    <w:p>
      <w:pPr>
        <w:pStyle w:val="ListParagraph"/>
        <w:widowControl/>
        <w:numPr>
          <w:ilvl w:val="0"/>
          <w:numId w:val="1"/>
        </w:numPr>
        <w:spacing w:lineRule="auto" w:line="276" w:before="0" w:afterAutospacing="0" w:after="0"/>
        <w:contextualSpacing/>
        <w:rPr>
          <w:color w:val="000000"/>
        </w:rPr>
      </w:pPr>
      <w:r>
        <w:rPr>
          <w:color w:val="000000"/>
          <w:sz w:val="22"/>
        </w:rPr>
        <w:t>Définitions de termes clés techniques</w:t>
      </w:r>
    </w:p>
    <w:p>
      <w:pPr>
        <w:pStyle w:val="ListParagraph"/>
        <w:widowControl/>
        <w:numPr>
          <w:ilvl w:val="0"/>
          <w:numId w:val="1"/>
        </w:numPr>
        <w:spacing w:lineRule="auto" w:line="276" w:before="0" w:afterAutospacing="0" w:after="0"/>
        <w:contextualSpacing/>
        <w:rPr>
          <w:color w:val="000000"/>
        </w:rPr>
      </w:pPr>
      <w:r>
        <w:rPr>
          <w:color w:val="000000"/>
          <w:sz w:val="22"/>
        </w:rPr>
        <w:t>Objet et portée</w:t>
      </w:r>
    </w:p>
    <w:p>
      <w:pPr>
        <w:pStyle w:val="ListParagraph"/>
        <w:widowControl/>
        <w:numPr>
          <w:ilvl w:val="1"/>
          <w:numId w:val="1"/>
        </w:numPr>
        <w:spacing w:lineRule="auto" w:line="276" w:before="0" w:afterAutospacing="0" w:after="0"/>
        <w:contextualSpacing/>
        <w:rPr>
          <w:color w:val="000000"/>
        </w:rPr>
      </w:pPr>
      <w:r>
        <w:rPr>
          <w:color w:val="000000"/>
          <w:sz w:val="22"/>
        </w:rPr>
        <w:t>Sur quelles pratiques et obligations des salariés porte la charte ?</w:t>
      </w:r>
    </w:p>
    <w:p>
      <w:pPr>
        <w:pStyle w:val="ListParagraph"/>
        <w:widowControl/>
        <w:numPr>
          <w:ilvl w:val="1"/>
          <w:numId w:val="1"/>
        </w:numPr>
        <w:spacing w:lineRule="auto" w:line="276" w:before="0" w:afterAutospacing="0" w:after="0"/>
        <w:contextualSpacing/>
        <w:rPr>
          <w:color w:val="000000"/>
        </w:rPr>
      </w:pPr>
      <w:r>
        <w:rPr>
          <w:color w:val="000000"/>
          <w:sz w:val="22"/>
        </w:rPr>
        <w:t>À qui s’applique-t-elle ?</w:t>
      </w:r>
    </w:p>
    <w:p>
      <w:pPr>
        <w:pStyle w:val="ListParagraph"/>
        <w:widowControl/>
        <w:numPr>
          <w:ilvl w:val="0"/>
          <w:numId w:val="1"/>
        </w:numPr>
        <w:spacing w:lineRule="auto" w:line="276" w:before="0" w:afterAutospacing="0" w:after="0"/>
        <w:contextualSpacing/>
        <w:rPr>
          <w:color w:val="000000"/>
        </w:rPr>
      </w:pPr>
      <w:r>
        <w:rPr>
          <w:color w:val="000000"/>
          <w:sz w:val="22"/>
        </w:rPr>
        <w:t>Usages</w:t>
      </w:r>
    </w:p>
    <w:p>
      <w:pPr>
        <w:pStyle w:val="ListParagraph"/>
        <w:widowControl/>
        <w:numPr>
          <w:ilvl w:val="1"/>
          <w:numId w:val="1"/>
        </w:numPr>
        <w:spacing w:lineRule="auto" w:line="276" w:before="0" w:afterAutospacing="0" w:after="0"/>
        <w:contextualSpacing/>
        <w:rPr>
          <w:color w:val="000000"/>
        </w:rPr>
      </w:pPr>
      <w:r>
        <w:rPr>
          <w:color w:val="000000"/>
          <w:sz w:val="22"/>
        </w:rPr>
        <w:t>Les moyens informatiques à disposition des salariés</w:t>
      </w:r>
    </w:p>
    <w:p>
      <w:pPr>
        <w:pStyle w:val="ListParagraph"/>
        <w:widowControl/>
        <w:numPr>
          <w:ilvl w:val="1"/>
          <w:numId w:val="1"/>
        </w:numPr>
        <w:spacing w:lineRule="auto" w:line="276" w:before="0" w:afterAutospacing="0" w:after="0"/>
        <w:contextualSpacing/>
        <w:rPr>
          <w:color w:val="000000"/>
        </w:rPr>
      </w:pPr>
      <w:r>
        <w:rPr>
          <w:color w:val="000000"/>
          <w:sz w:val="22"/>
        </w:rPr>
        <w:t>Les règles à respecter et les pratiques autorisées</w:t>
      </w:r>
    </w:p>
    <w:p>
      <w:pPr>
        <w:pStyle w:val="ListParagraph"/>
        <w:widowControl/>
        <w:numPr>
          <w:ilvl w:val="1"/>
          <w:numId w:val="1"/>
        </w:numPr>
        <w:spacing w:lineRule="auto" w:line="276" w:before="0" w:afterAutospacing="0" w:after="0"/>
        <w:contextualSpacing/>
        <w:rPr>
          <w:color w:val="000000"/>
        </w:rPr>
      </w:pPr>
      <w:r>
        <w:rPr>
          <w:color w:val="000000"/>
          <w:sz w:val="22"/>
        </w:rPr>
        <w:t>Les fonctions du système d’information</w:t>
      </w:r>
    </w:p>
    <w:p>
      <w:pPr>
        <w:pStyle w:val="ListParagraph"/>
        <w:widowControl/>
        <w:numPr>
          <w:ilvl w:val="0"/>
          <w:numId w:val="1"/>
        </w:numPr>
        <w:spacing w:lineRule="auto" w:line="276" w:before="0" w:afterAutospacing="0" w:after="0"/>
        <w:contextualSpacing/>
        <w:rPr>
          <w:color w:val="000000"/>
        </w:rPr>
      </w:pPr>
      <w:r>
        <w:rPr>
          <w:color w:val="000000"/>
          <w:sz w:val="22"/>
        </w:rPr>
        <w:t>Obligations des salariés</w:t>
      </w:r>
    </w:p>
    <w:p>
      <w:pPr>
        <w:pStyle w:val="ListParagraph"/>
        <w:widowControl/>
        <w:numPr>
          <w:ilvl w:val="1"/>
          <w:numId w:val="1"/>
        </w:numPr>
        <w:spacing w:lineRule="auto" w:line="276" w:before="0" w:afterAutospacing="0" w:after="0"/>
        <w:contextualSpacing/>
        <w:rPr>
          <w:color w:val="000000"/>
        </w:rPr>
      </w:pPr>
      <w:r>
        <w:rPr>
          <w:color w:val="000000"/>
          <w:sz w:val="22"/>
        </w:rPr>
        <w:t>Bon sens dans les pratiques</w:t>
      </w:r>
    </w:p>
    <w:p>
      <w:pPr>
        <w:pStyle w:val="ListParagraph"/>
        <w:widowControl/>
        <w:numPr>
          <w:ilvl w:val="1"/>
          <w:numId w:val="1"/>
        </w:numPr>
        <w:spacing w:lineRule="auto" w:line="276" w:before="0" w:afterAutospacing="0" w:after="0"/>
        <w:contextualSpacing/>
        <w:rPr>
          <w:color w:val="000000"/>
        </w:rPr>
      </w:pPr>
      <w:r>
        <w:rPr>
          <w:color w:val="000000"/>
          <w:sz w:val="22"/>
        </w:rPr>
        <w:t>Obligations techniques spécifiques à suivre</w:t>
      </w:r>
    </w:p>
    <w:p>
      <w:pPr>
        <w:pStyle w:val="ListParagraph"/>
        <w:widowControl/>
        <w:numPr>
          <w:ilvl w:val="0"/>
          <w:numId w:val="1"/>
        </w:numPr>
        <w:spacing w:lineRule="auto" w:line="276" w:before="0" w:afterAutospacing="0" w:after="0"/>
        <w:contextualSpacing/>
        <w:rPr>
          <w:color w:val="000000"/>
        </w:rPr>
      </w:pPr>
      <w:r>
        <w:rPr>
          <w:color w:val="000000"/>
          <w:sz w:val="22"/>
        </w:rPr>
        <w:t>Le contrôle de l’entreprise</w:t>
      </w:r>
    </w:p>
    <w:p>
      <w:pPr>
        <w:pStyle w:val="ListParagraph"/>
        <w:widowControl/>
        <w:numPr>
          <w:ilvl w:val="1"/>
          <w:numId w:val="1"/>
        </w:numPr>
        <w:spacing w:lineRule="auto" w:line="276" w:before="0" w:afterAutospacing="0" w:after="0"/>
        <w:contextualSpacing/>
        <w:rPr>
          <w:color w:val="000000"/>
        </w:rPr>
      </w:pPr>
      <w:r>
        <w:rPr>
          <w:color w:val="000000"/>
          <w:sz w:val="22"/>
        </w:rPr>
        <w:t>Liste des mesures de contrôle</w:t>
      </w:r>
    </w:p>
    <w:p>
      <w:pPr>
        <w:pStyle w:val="ListParagraph"/>
        <w:widowControl/>
        <w:numPr>
          <w:ilvl w:val="1"/>
          <w:numId w:val="1"/>
        </w:numPr>
        <w:spacing w:lineRule="auto" w:line="276" w:before="0" w:afterAutospacing="0" w:after="0"/>
        <w:contextualSpacing/>
        <w:rPr>
          <w:color w:val="000000"/>
        </w:rPr>
      </w:pPr>
      <w:r>
        <w:rPr>
          <w:color w:val="000000"/>
          <w:sz w:val="22"/>
        </w:rPr>
        <w:t>Conditions de leur mise en œuvre</w:t>
      </w:r>
    </w:p>
    <w:p>
      <w:pPr>
        <w:pStyle w:val="ListParagraph"/>
        <w:widowControl/>
        <w:numPr>
          <w:ilvl w:val="0"/>
          <w:numId w:val="1"/>
        </w:numPr>
        <w:spacing w:lineRule="auto" w:line="276" w:before="0" w:afterAutospacing="0" w:after="0"/>
        <w:contextualSpacing/>
        <w:rPr>
          <w:color w:val="000000"/>
        </w:rPr>
      </w:pPr>
      <w:r>
        <w:rPr>
          <w:color w:val="000000"/>
          <w:sz w:val="22"/>
        </w:rPr>
        <w:t>Sanctions</w:t>
      </w:r>
    </w:p>
    <w:p>
      <w:pPr>
        <w:pStyle w:val="ListParagraph"/>
        <w:widowControl/>
        <w:numPr>
          <w:ilvl w:val="1"/>
          <w:numId w:val="1"/>
        </w:numPr>
        <w:spacing w:lineRule="auto" w:line="276" w:before="0" w:afterAutospacing="0" w:after="0"/>
        <w:contextualSpacing/>
        <w:rPr>
          <w:color w:val="000000"/>
        </w:rPr>
      </w:pPr>
      <w:r>
        <w:rPr>
          <w:color w:val="000000"/>
          <w:sz w:val="22"/>
        </w:rPr>
        <w:t>Application des sanctions selon la gravité de l’infraction</w:t>
      </w:r>
    </w:p>
    <w:p>
      <w:pPr>
        <w:pStyle w:val="ListParagraph"/>
        <w:widowControl/>
        <w:numPr>
          <w:ilvl w:val="1"/>
          <w:numId w:val="1"/>
        </w:numPr>
        <w:spacing w:lineRule="auto" w:line="276" w:before="0" w:afterAutospacing="0" w:after="0"/>
        <w:contextualSpacing/>
        <w:rPr>
          <w:color w:val="000000"/>
        </w:rPr>
      </w:pPr>
      <w:r>
        <w:rPr>
          <w:color w:val="000000"/>
          <w:sz w:val="22"/>
        </w:rPr>
        <w:t>Sanctions civiles et pénales</w:t>
      </w:r>
    </w:p>
    <w:p>
      <w:pPr>
        <w:pStyle w:val="ListParagraph"/>
        <w:widowControl/>
        <w:numPr>
          <w:ilvl w:val="0"/>
          <w:numId w:val="1"/>
        </w:numPr>
        <w:spacing w:lineRule="auto" w:line="276" w:before="0" w:afterAutospacing="0" w:after="0"/>
        <w:contextualSpacing/>
        <w:rPr>
          <w:color w:val="000000"/>
        </w:rPr>
      </w:pPr>
      <w:r>
        <w:rPr>
          <w:color w:val="000000"/>
          <w:sz w:val="22"/>
        </w:rPr>
        <w:t>Opposabilité de la charte</w:t>
      </w:r>
    </w:p>
    <w:p>
      <w:pPr>
        <w:pStyle w:val="ListParagraph"/>
        <w:widowControl/>
        <w:numPr>
          <w:ilvl w:val="1"/>
          <w:numId w:val="1"/>
        </w:numPr>
        <w:spacing w:lineRule="auto" w:line="276" w:before="0" w:afterAutospacing="0" w:after="0"/>
        <w:contextualSpacing/>
        <w:rPr>
          <w:color w:val="000000"/>
        </w:rPr>
      </w:pPr>
      <w:r>
        <w:rPr>
          <w:color w:val="000000"/>
          <w:sz w:val="22"/>
        </w:rPr>
        <w:t>Consentement signé par les salariés</w:t>
      </w:r>
    </w:p>
    <w:p>
      <w:pPr>
        <w:pStyle w:val="ListParagraph"/>
        <w:widowControl/>
        <w:numPr>
          <w:ilvl w:val="1"/>
          <w:numId w:val="1"/>
        </w:numPr>
        <w:spacing w:lineRule="auto" w:line="276" w:before="0" w:afterAutospacing="0" w:after="0"/>
        <w:contextualSpacing/>
        <w:rPr>
          <w:color w:val="000000"/>
        </w:rPr>
      </w:pPr>
      <w:r>
        <w:rPr>
          <w:color w:val="000000"/>
          <w:sz w:val="22"/>
        </w:rPr>
        <w:t>Annexion au règlement intérieur</w:t>
      </w:r>
    </w:p>
    <w:p>
      <w:pPr>
        <w:pStyle w:val="ListParagraph"/>
        <w:widowControl/>
        <w:numPr>
          <w:ilvl w:val="1"/>
          <w:numId w:val="1"/>
        </w:numPr>
        <w:spacing w:lineRule="auto" w:line="276" w:before="0" w:afterAutospacing="0" w:after="200"/>
        <w:contextualSpacing/>
        <w:rPr>
          <w:color w:val="000000"/>
        </w:rPr>
      </w:pPr>
      <w:r>
        <w:rPr>
          <w:color w:val="000000"/>
          <w:sz w:val="22"/>
        </w:rPr>
        <w:t>Annexion au contrat d’entreprise</w:t>
      </w:r>
    </w:p>
    <w:sectPr>
      <w:type w:val="nextPage"/>
      <w:pgSz w:w="11906" w:h="16838"/>
      <w:pgMar w:left="1701" w:right="850" w:gutter="0" w:header="0" w:top="1134" w:footer="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09" w:hanging="360"/>
      </w:pPr>
      <w:rPr/>
    </w:lvl>
    <w:lvl w:ilvl="1">
      <w:start w:val="1"/>
      <w:numFmt w:val="bullet"/>
      <w:lvlText w:val="·"/>
      <w:lvlJc w:val="left"/>
      <w:pPr>
        <w:tabs>
          <w:tab w:val="num" w:pos="0"/>
        </w:tabs>
        <w:ind w:left="1429" w:hanging="360"/>
      </w:pPr>
      <w:rPr>
        <w:rFonts w:ascii="Symbol" w:hAnsi="Symbol" w:cs="Symbol" w:hint="default"/>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ucida Sans"/>
        <w:lang w:val="fr-CH" w:eastAsia="zh-CN" w:bidi="hi-IN"/>
      </w:rPr>
    </w:rPrDefault>
    <w:pPrDefault>
      <w:pPr>
        <w:suppressAutoHyphens w:val="true"/>
      </w:pPr>
    </w:pPrDefault>
  </w:docDefaults>
  <w:style w:type="paragraph" w:styleId="Normal">
    <w:name w:val="Normal"/>
    <w:qFormat/>
    <w:pPr>
      <w:widowControl w:val="false"/>
      <w:pBdr/>
      <w:bidi w:val="0"/>
      <w:spacing w:lineRule="auto" w:line="240" w:before="0" w:after="0"/>
      <w:jc w:val="left"/>
    </w:pPr>
    <w:rPr>
      <w:rFonts w:ascii="Arial" w:hAnsi="Arial" w:eastAsia="Arial" w:cs="Lucida Sans"/>
      <w:color w:val="auto"/>
      <w:kern w:val="0"/>
      <w:sz w:val="20"/>
      <w:szCs w:val="20"/>
      <w:lang w:val="fr-CH" w:eastAsia="zh-CN" w:bidi="hi-IN"/>
    </w:rPr>
  </w:style>
  <w:style w:type="paragraph" w:styleId="Heading1" w:default="1">
    <w:name w:val="Heading 1"/>
    <w:basedOn w:val="Normal"/>
    <w:next w:val="Normal"/>
    <w:qFormat/>
    <w:pPr>
      <w:keepNext w:val="true"/>
      <w:keepLines/>
      <w:widowControl/>
      <w:spacing w:lineRule="auto" w:line="276" w:beforeAutospacing="0" w:before="480" w:afterAutospacing="0" w:after="200"/>
      <w:outlineLvl w:val="0"/>
    </w:pPr>
    <w:rPr>
      <w:sz w:val="40"/>
    </w:rPr>
  </w:style>
  <w:style w:type="paragraph" w:styleId="Heading2">
    <w:name w:val="Heading 2"/>
    <w:basedOn w:val="Normal"/>
    <w:next w:val="Normal"/>
    <w:qFormat/>
    <w:pPr>
      <w:keepNext w:val="true"/>
      <w:keepLines/>
      <w:pBdr/>
      <w:spacing w:beforeAutospacing="0" w:before="360" w:afterAutospacing="0" w:after="200"/>
      <w:outlineLvl w:val="1"/>
    </w:pPr>
    <w:rPr>
      <w:rFonts w:ascii="Arial" w:hAnsi="Arial" w:eastAsia="Arial"/>
      <w:sz w:val="34"/>
    </w:rPr>
  </w:style>
  <w:style w:type="paragraph" w:styleId="Heading3">
    <w:name w:val="Heading 3"/>
    <w:basedOn w:val="Normal"/>
    <w:next w:val="Normal"/>
    <w:qFormat/>
    <w:pPr>
      <w:keepNext w:val="true"/>
      <w:keepLines/>
      <w:pBdr/>
      <w:spacing w:beforeAutospacing="0" w:before="320" w:afterAutospacing="0" w:after="200"/>
      <w:outlineLvl w:val="2"/>
    </w:pPr>
    <w:rPr>
      <w:rFonts w:ascii="Arial" w:hAnsi="Arial" w:eastAsia="Arial"/>
      <w:sz w:val="30"/>
    </w:rPr>
  </w:style>
  <w:style w:type="paragraph" w:styleId="Heading4">
    <w:name w:val="Heading 4"/>
    <w:basedOn w:val="Normal"/>
    <w:next w:val="Normal"/>
    <w:qFormat/>
    <w:pPr>
      <w:keepNext w:val="true"/>
      <w:keepLines/>
      <w:pBdr/>
      <w:spacing w:beforeAutospacing="0" w:before="320" w:afterAutospacing="0" w:after="200"/>
      <w:outlineLvl w:val="3"/>
    </w:pPr>
    <w:rPr>
      <w:rFonts w:ascii="Arial" w:hAnsi="Arial" w:eastAsia="Arial"/>
      <w:b/>
      <w:sz w:val="26"/>
    </w:rPr>
  </w:style>
  <w:style w:type="paragraph" w:styleId="Heading5">
    <w:name w:val="Heading 5"/>
    <w:basedOn w:val="Normal"/>
    <w:next w:val="Normal"/>
    <w:qFormat/>
    <w:pPr>
      <w:keepNext w:val="true"/>
      <w:keepLines/>
      <w:pBdr/>
      <w:spacing w:beforeAutospacing="0" w:before="320" w:afterAutospacing="0" w:after="200"/>
      <w:outlineLvl w:val="4"/>
    </w:pPr>
    <w:rPr>
      <w:rFonts w:ascii="Arial" w:hAnsi="Arial" w:eastAsia="Arial"/>
      <w:b/>
      <w:sz w:val="24"/>
    </w:rPr>
  </w:style>
  <w:style w:type="paragraph" w:styleId="Heading6">
    <w:name w:val="Heading 6"/>
    <w:basedOn w:val="Normal"/>
    <w:next w:val="Normal"/>
    <w:qFormat/>
    <w:pPr>
      <w:keepNext w:val="true"/>
      <w:keepLines/>
      <w:pBdr/>
      <w:spacing w:beforeAutospacing="0" w:before="320" w:afterAutospacing="0" w:after="200"/>
      <w:outlineLvl w:val="5"/>
    </w:pPr>
    <w:rPr>
      <w:rFonts w:ascii="Arial" w:hAnsi="Arial" w:eastAsia="Arial"/>
      <w:b/>
      <w:sz w:val="22"/>
    </w:rPr>
  </w:style>
  <w:style w:type="paragraph" w:styleId="Heading7">
    <w:name w:val="Heading 7"/>
    <w:basedOn w:val="Normal"/>
    <w:next w:val="Normal"/>
    <w:qFormat/>
    <w:pPr>
      <w:keepNext w:val="true"/>
      <w:keepLines/>
      <w:pBdr/>
      <w:spacing w:beforeAutospacing="0" w:before="320" w:afterAutospacing="0" w:after="200"/>
      <w:outlineLvl w:val="6"/>
    </w:pPr>
    <w:rPr>
      <w:rFonts w:ascii="Arial" w:hAnsi="Arial" w:eastAsia="Arial"/>
      <w:b/>
      <w:i/>
      <w:sz w:val="22"/>
    </w:rPr>
  </w:style>
  <w:style w:type="paragraph" w:styleId="Heading8">
    <w:name w:val="Heading 8"/>
    <w:basedOn w:val="Normal"/>
    <w:next w:val="Normal"/>
    <w:qFormat/>
    <w:pPr>
      <w:keepNext w:val="true"/>
      <w:keepLines/>
      <w:pBdr/>
      <w:spacing w:beforeAutospacing="0" w:before="320" w:afterAutospacing="0" w:after="200"/>
      <w:outlineLvl w:val="7"/>
    </w:pPr>
    <w:rPr>
      <w:rFonts w:ascii="Arial" w:hAnsi="Arial" w:eastAsia="Arial"/>
      <w:i/>
      <w:sz w:val="22"/>
    </w:rPr>
  </w:style>
  <w:style w:type="paragraph" w:styleId="Heading9">
    <w:name w:val="Heading 9"/>
    <w:basedOn w:val="Normal"/>
    <w:next w:val="Normal"/>
    <w:qFormat/>
    <w:pPr>
      <w:keepNext w:val="true"/>
      <w:keepLines/>
      <w:pBdr/>
      <w:spacing w:beforeAutospacing="0" w:before="320" w:afterAutospacing="0" w:after="200"/>
      <w:outlineLvl w:val="8"/>
    </w:pPr>
    <w:rPr>
      <w:rFonts w:ascii="Arial" w:hAnsi="Arial" w:eastAsia="Arial"/>
      <w:i/>
      <w:sz w:val="21"/>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pBdr/>
      <w:spacing w:beforeAutospacing="0" w:before="300" w:afterAutospacing="0" w:after="200"/>
      <w:contextualSpacing/>
    </w:pPr>
    <w:rPr>
      <w:sz w:val="48"/>
    </w:rPr>
  </w:style>
  <w:style w:type="paragraph" w:styleId="Subtitle">
    <w:name w:val="Subtitle"/>
    <w:basedOn w:val="Normal"/>
    <w:next w:val="Normal"/>
    <w:qFormat/>
    <w:pPr>
      <w:pBdr/>
      <w:spacing w:beforeAutospacing="0" w:before="200" w:afterAutospacing="0" w:after="200"/>
    </w:pPr>
    <w:rPr>
      <w:sz w:val="24"/>
    </w:rPr>
  </w:style>
  <w:style w:type="paragraph" w:styleId="Quote">
    <w:name w:val="Quote"/>
    <w:basedOn w:val="Normal"/>
    <w:next w:val="Normal"/>
    <w:qFormat/>
    <w:pPr>
      <w:pBdr/>
      <w:ind w:left="720" w:right="72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fill="F2F2F2"/>
      <w:spacing w:before="0" w:after="0"/>
      <w:ind w:left="720" w:right="720"/>
    </w:pPr>
    <w:rPr>
      <w:i/>
    </w:rPr>
  </w:style>
  <w:style w:type="paragraph" w:styleId="En-tteetpieddepage">
    <w:name w:val="En-tête et pied de page"/>
    <w:basedOn w:val="Normal"/>
    <w:qFormat/>
    <w:pPr/>
    <w:rPr/>
  </w:style>
  <w:style w:type="paragraph" w:styleId="Header">
    <w:name w:val="Header"/>
    <w:basedOn w:val="Normal"/>
    <w:pPr>
      <w:pBdr/>
      <w:tabs>
        <w:tab w:val="clear" w:pos="708"/>
        <w:tab w:val="center" w:pos="7143" w:leader="none"/>
        <w:tab w:val="right" w:pos="14287" w:leader="none"/>
      </w:tabs>
      <w:spacing w:lineRule="auto" w:line="240" w:before="0" w:afterAutospacing="0" w:after="0"/>
    </w:pPr>
    <w:rPr/>
  </w:style>
  <w:style w:type="paragraph" w:styleId="Footer">
    <w:name w:val="Footer"/>
    <w:basedOn w:val="Normal"/>
    <w:pPr>
      <w:pBdr/>
      <w:tabs>
        <w:tab w:val="clear" w:pos="708"/>
        <w:tab w:val="center" w:pos="7143" w:leader="none"/>
        <w:tab w:val="right" w:pos="14287" w:leader="none"/>
      </w:tabs>
      <w:spacing w:lineRule="auto" w:line="240" w:before="0" w:afterAutospacing="0" w:after="0"/>
    </w:pPr>
    <w:rPr/>
  </w:style>
  <w:style w:type="paragraph" w:styleId="Caption1">
    <w:name w:val="caption1"/>
    <w:basedOn w:val="Normal"/>
    <w:next w:val="Normal"/>
    <w:qFormat/>
    <w:pPr>
      <w:pBdr/>
      <w:spacing w:lineRule="auto" w:line="276"/>
    </w:pPr>
    <w:rPr>
      <w:b/>
      <w:color w:val="4F81BD"/>
      <w:sz w:val="18"/>
    </w:rPr>
  </w:style>
  <w:style w:type="paragraph" w:styleId="FootnoteText">
    <w:name w:val="Footnote Text"/>
    <w:basedOn w:val="Normal"/>
    <w:pPr>
      <w:pBdr/>
      <w:spacing w:lineRule="auto" w:line="240" w:before="0" w:afterAutospacing="0" w:after="40"/>
    </w:pPr>
    <w:rPr>
      <w:sz w:val="18"/>
    </w:rPr>
  </w:style>
  <w:style w:type="paragraph" w:styleId="EndnoteText">
    <w:name w:val="Endnote Text"/>
    <w:basedOn w:val="Normal"/>
    <w:pPr>
      <w:pBdr/>
      <w:spacing w:lineRule="auto" w:line="240" w:before="0" w:afterAutospacing="0" w:after="0"/>
    </w:pPr>
    <w:rPr>
      <w:sz w:val="20"/>
    </w:rPr>
  </w:style>
  <w:style w:type="paragraph" w:styleId="TOC1">
    <w:name w:val="TOC 1"/>
    <w:basedOn w:val="Normal"/>
    <w:next w:val="Normal"/>
    <w:pPr>
      <w:pBdr/>
      <w:spacing w:before="0" w:afterAutospacing="0" w:after="57"/>
      <w:ind w:hanging="0" w:left="0" w:right="0"/>
    </w:pPr>
    <w:rPr/>
  </w:style>
  <w:style w:type="paragraph" w:styleId="TOC2">
    <w:name w:val="TOC 2"/>
    <w:basedOn w:val="Normal"/>
    <w:next w:val="Normal"/>
    <w:pPr>
      <w:pBdr/>
      <w:spacing w:before="0" w:afterAutospacing="0" w:after="57"/>
      <w:ind w:hanging="0" w:left="283" w:right="0"/>
    </w:pPr>
    <w:rPr/>
  </w:style>
  <w:style w:type="paragraph" w:styleId="TOC3">
    <w:name w:val="TOC 3"/>
    <w:basedOn w:val="Normal"/>
    <w:next w:val="Normal"/>
    <w:pPr>
      <w:pBdr/>
      <w:spacing w:before="0" w:afterAutospacing="0" w:after="57"/>
      <w:ind w:hanging="0" w:left="567" w:right="0"/>
    </w:pPr>
    <w:rPr/>
  </w:style>
  <w:style w:type="paragraph" w:styleId="TOC4">
    <w:name w:val="TOC 4"/>
    <w:basedOn w:val="Normal"/>
    <w:next w:val="Normal"/>
    <w:pPr>
      <w:pBdr/>
      <w:spacing w:before="0" w:afterAutospacing="0" w:after="57"/>
      <w:ind w:hanging="0" w:left="850" w:right="0"/>
    </w:pPr>
    <w:rPr/>
  </w:style>
  <w:style w:type="paragraph" w:styleId="TOC5">
    <w:name w:val="TOC 5"/>
    <w:basedOn w:val="Normal"/>
    <w:next w:val="Normal"/>
    <w:pPr>
      <w:pBdr/>
      <w:spacing w:before="0" w:afterAutospacing="0" w:after="57"/>
      <w:ind w:hanging="0" w:left="1134" w:right="0"/>
    </w:pPr>
    <w:rPr/>
  </w:style>
  <w:style w:type="paragraph" w:styleId="TOC6">
    <w:name w:val="TOC 6"/>
    <w:basedOn w:val="Normal"/>
    <w:next w:val="Normal"/>
    <w:pPr>
      <w:pBdr/>
      <w:spacing w:before="0" w:afterAutospacing="0" w:after="57"/>
      <w:ind w:hanging="0" w:left="1417" w:right="0"/>
    </w:pPr>
    <w:rPr/>
  </w:style>
  <w:style w:type="paragraph" w:styleId="TOC7">
    <w:name w:val="TOC 7"/>
    <w:basedOn w:val="Normal"/>
    <w:next w:val="Normal"/>
    <w:pPr>
      <w:pBdr/>
      <w:spacing w:before="0" w:afterAutospacing="0" w:after="57"/>
      <w:ind w:hanging="0" w:left="1701" w:right="0"/>
    </w:pPr>
    <w:rPr/>
  </w:style>
  <w:style w:type="paragraph" w:styleId="TOC8">
    <w:name w:val="TOC 8"/>
    <w:basedOn w:val="Normal"/>
    <w:next w:val="Normal"/>
    <w:pPr>
      <w:pBdr/>
      <w:spacing w:before="0" w:afterAutospacing="0" w:after="57"/>
      <w:ind w:hanging="0" w:left="1984" w:right="0"/>
    </w:pPr>
    <w:rPr/>
  </w:style>
  <w:style w:type="paragraph" w:styleId="TOC9">
    <w:name w:val="TOC 9"/>
    <w:basedOn w:val="Normal"/>
    <w:next w:val="Normal"/>
    <w:pPr>
      <w:pBdr/>
      <w:spacing w:before="0" w:afterAutospacing="0" w:after="57"/>
      <w:ind w:hanging="0" w:left="2268" w:right="0"/>
    </w:pPr>
    <w:rPr/>
  </w:style>
  <w:style w:type="paragraph" w:styleId="IndexHeading">
    <w:name w:val="Index Heading"/>
    <w:basedOn w:val="Titre"/>
    <w:pPr/>
    <w:rPr/>
  </w:style>
  <w:style w:type="paragraph" w:styleId="TOCHeading">
    <w:name w:val="TOC Heading"/>
    <w:qFormat/>
    <w:pPr>
      <w:widowControl w:val="false"/>
      <w:pBdr/>
      <w:bidi w:val="0"/>
      <w:spacing w:lineRule="auto" w:line="240" w:before="0" w:after="0"/>
      <w:jc w:val="left"/>
    </w:pPr>
    <w:rPr>
      <w:rFonts w:ascii="Arial" w:hAnsi="Arial" w:eastAsia="Arial" w:cs="Lucida Sans"/>
      <w:color w:val="auto"/>
      <w:kern w:val="0"/>
      <w:sz w:val="20"/>
      <w:szCs w:val="20"/>
      <w:lang w:val="fr-CH" w:eastAsia="zh-CN" w:bidi="hi-IN"/>
    </w:rPr>
  </w:style>
  <w:style w:type="paragraph" w:styleId="TableofFigures">
    <w:name w:val="Table of Figures"/>
    <w:basedOn w:val="Normal"/>
    <w:next w:val="Normal"/>
    <w:pPr>
      <w:pBdr/>
      <w:spacing w:before="0" w:afterAutospacing="0" w:after="0"/>
    </w:pPr>
    <w:rPr/>
  </w:style>
  <w:style w:type="paragraph" w:styleId="NoSpacing">
    <w:name w:val="No Spacing"/>
    <w:basedOn w:val="Normal"/>
    <w:qFormat/>
    <w:pPr>
      <w:pBdr/>
      <w:spacing w:lineRule="auto" w:line="240" w:before="0" w:afterAutospacing="0" w:after="0"/>
    </w:pPr>
    <w:rPr/>
  </w:style>
  <w:style w:type="paragraph" w:styleId="ListParagraph">
    <w:name w:val="List Paragraph"/>
    <w:basedOn w:val="Normal"/>
    <w:qFormat/>
    <w:pPr>
      <w:pBdr/>
      <w:spacing w:before="0" w:after="0"/>
      <w:ind w:left="72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LibreOffice/24.2.0.3$Windows_X86_64 LibreOffice_project/da48488a73ddd66ea24cf16bbc4f7b9c08e9bea1</Application>
  <AppVersion>15.0000</AppVersion>
  <Pages>3</Pages>
  <Words>424</Words>
  <Characters>2311</Characters>
  <CharactersWithSpaces>2673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2024-03-12T10:15:56Z</dcterms:created>
  <dc:creator/>
  <dc:description/>
  <dc:language>fr-FR</dc:language>
  <cp:lastModifiedBy/>
  <cp:lastPrinted>2024-03-12T22:04:47Z</cp:lastPrinted>
  <dcterms:modified xsi:type="dcterms:W3CDTF">2024-03-12T22:05:00Z</dcterms:modified>
  <cp:revision>7</cp:revision>
  <dc:subject/>
  <dc:title/>
</cp:coreProperties>
</file>