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https://www.milenio.com/negocios/inaes-9-1-millones-micronegocios-mexico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KAREN GUZMÁN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b w:val="1"/>
          <w:color w:val="777777"/>
          <w:sz w:val="18"/>
          <w:szCs w:val="18"/>
        </w:rPr>
      </w:pPr>
      <w:r w:rsidDel="00000000" w:rsidR="00000000" w:rsidRPr="00000000">
        <w:rPr>
          <w:b w:val="1"/>
          <w:color w:val="777777"/>
          <w:sz w:val="18"/>
          <w:szCs w:val="18"/>
          <w:rtl w:val="0"/>
        </w:rPr>
        <w:t xml:space="preserve">Ciudad de México / 27.08.2019 17:05:54</w:t>
      </w:r>
    </w:p>
    <w:p w:rsidR="00000000" w:rsidDel="00000000" w:rsidP="00000000" w:rsidRDefault="00000000" w:rsidRPr="00000000" w14:paraId="00000005">
      <w:pPr>
        <w:pBdr>
          <w:top w:color="auto" w:space="4" w:sz="0" w:val="none"/>
        </w:pBdr>
        <w:shd w:fill="ffffff" w:val="clear"/>
        <w:spacing w:after="16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En México existen 9.1 millones de micronegocios, de los cuales más del 80 por ciento están integrados por un dueño y un trabajador, de acuerdo con datos del Instituto Nacional de la Economía Social (Inaes) de la </w:t>
      </w:r>
      <w:hyperlink r:id="rId7">
        <w:r w:rsidDel="00000000" w:rsidR="00000000" w:rsidRPr="00000000">
          <w:rPr>
            <w:color w:val="548dd4"/>
            <w:sz w:val="27"/>
            <w:szCs w:val="27"/>
            <w:u w:val="single"/>
            <w:rtl w:val="0"/>
          </w:rPr>
          <w:t xml:space="preserve">Secretaría del Bienestar</w:t>
        </w:r>
      </w:hyperlink>
      <w:r w:rsidDel="00000000" w:rsidR="00000000" w:rsidRPr="00000000">
        <w:rPr>
          <w:color w:val="333333"/>
          <w:sz w:val="27"/>
          <w:szCs w:val="27"/>
          <w:rtl w:val="0"/>
        </w:rPr>
        <w:t xml:space="preserve">, por lo que buscan que el sector se consolide para beneficio de más personas.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Humberto Cerdio, coordinador de fomento y desarrollo empresarial del Inaes, mencionó que de los micronegocios, el 21.6 por ciento están integrados por tres personas incluido el dueño; 7.51 por tres trabajadores y el dueño; mientras que el 0.03 por ciento tienen entre 10 y 15 trabajadores</w:t>
      </w:r>
    </w:p>
    <w:p w:rsidR="00000000" w:rsidDel="00000000" w:rsidP="00000000" w:rsidRDefault="00000000" w:rsidRPr="00000000" w14:paraId="0000000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En el marco de la cuarta reunión de cooperativas populares organizada por Prybe, el directivo mencionó que el 68 por ciento de los micronegocios no cuentan con un local propio y fueron establecidos principalmente por propietarios que buscaban incrementar sus ingresos mensuales, por tradición familiar o bien, falta de empleo. </w:t>
      </w:r>
    </w:p>
    <w:p w:rsidR="00000000" w:rsidDel="00000000" w:rsidP="00000000" w:rsidRDefault="00000000" w:rsidRPr="00000000" w14:paraId="0000000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“No se tiene un local, los dueños de puestos, taquerías o negocios pequeños trabajan en sus casas o en un puesto en la calle porque en términos generales no se tienen los recursos para comprar o rentar un local en las zonas donde existen los clientes, por lo que no tiene los elementos para crecer”. </w:t>
      </w:r>
    </w:p>
    <w:p w:rsidR="00000000" w:rsidDel="00000000" w:rsidP="00000000" w:rsidRDefault="00000000" w:rsidRPr="00000000" w14:paraId="0000000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En tanto, Cerdio agregó que el 60 por ciento de los negocios micronegocios en México no son nuevos, tienen más de cinco años de antigüedad y sus dueños se encuentran entre los 40 y los 49 años. Además, destacó que 1.5 millones de personas de la tercera edad tienen algún negocio personal. </w:t>
      </w:r>
    </w:p>
    <w:p w:rsidR="00000000" w:rsidDel="00000000" w:rsidP="00000000" w:rsidRDefault="00000000" w:rsidRPr="00000000" w14:paraId="0000000C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“De los micronegocios en términos generales no generan las condiciones de bienestar que se busca al emprender y otro factor es la falta de la economía de escala porque se trabaja de manera individual en lugar de trabajar en grupo”, indicó. </w:t>
      </w:r>
    </w:p>
    <w:p w:rsidR="00000000" w:rsidDel="00000000" w:rsidP="00000000" w:rsidRDefault="00000000" w:rsidRPr="00000000" w14:paraId="0000000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33333"/>
          <w:sz w:val="27"/>
          <w:szCs w:val="27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http://www.2006-2012.economia.gob.mx/mexico-emprende/empresas/microempresario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Las microempresas son todos aquellos negocios que tienen menos de 10 trabajadores, generan anualmente ventas hasta por 4 millones de pesos y representan el 95 por ciento del total de las empresas y el 40 por ciento del empleo en el país; además, producen el 15 por ciento del Producto Interno Bruto.</w:t>
      </w:r>
    </w:p>
    <w:p w:rsidR="00000000" w:rsidDel="00000000" w:rsidP="00000000" w:rsidRDefault="00000000" w:rsidRPr="00000000" w14:paraId="00000011">
      <w:pPr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De acuerdo al último Censo Económico publicado por el Instituto Nacional de Estadística y Geografía (INEGI), del universo de unidades económicas en México: </w:t>
      </w:r>
    </w:p>
    <w:p w:rsidR="00000000" w:rsidDel="00000000" w:rsidP="00000000" w:rsidRDefault="00000000" w:rsidRPr="00000000" w14:paraId="00000013">
      <w:pPr>
        <w:ind w:firstLine="72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a) el 95.2% son microempresas</w:t>
      </w:r>
    </w:p>
    <w:p w:rsidR="00000000" w:rsidDel="00000000" w:rsidP="00000000" w:rsidRDefault="00000000" w:rsidRPr="00000000" w14:paraId="00000014">
      <w:pPr>
        <w:ind w:firstLine="72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b) generan el 45.6% del empleo</w:t>
      </w:r>
    </w:p>
    <w:p w:rsidR="00000000" w:rsidDel="00000000" w:rsidP="00000000" w:rsidRDefault="00000000" w:rsidRPr="00000000" w14:paraId="00000015">
      <w:pPr>
        <w:ind w:firstLine="72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c) contribuyen con 15% del valor agregado de la economía</w:t>
      </w:r>
    </w:p>
    <w:p w:rsidR="00000000" w:rsidDel="00000000" w:rsidP="00000000" w:rsidRDefault="00000000" w:rsidRPr="00000000" w14:paraId="00000016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666666"/>
          <w:sz w:val="18"/>
          <w:szCs w:val="18"/>
          <w:highlight w:val="white"/>
        </w:rPr>
      </w:pP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https://www.jalisco.gob.mx/es/jalisco/municipios/tamazula-de-gordiano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2336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106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2501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2324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666666"/>
          <w:sz w:val="18"/>
          <w:szCs w:val="18"/>
          <w:highlight w:val="whit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https://iieg.gob.mx/contenido/Municipios/TamazuladeGordiano.pdf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048250" cy="4124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2717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666666"/>
          <w:sz w:val="18"/>
          <w:szCs w:val="18"/>
          <w:highlight w:val="white"/>
        </w:rPr>
      </w:pPr>
      <w:hyperlink r:id="rId1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http://www.tamazuladegordiano.gob.mx/new/transparencia2/articulo8/articulo8-5.htm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3975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color w:val="666666"/>
          <w:sz w:val="18"/>
          <w:szCs w:val="18"/>
          <w:highlight w:val="white"/>
        </w:rPr>
        <w:drawing>
          <wp:inline distB="114300" distT="114300" distL="114300" distR="114300">
            <wp:extent cx="5734050" cy="3505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666666"/>
          <w:sz w:val="18"/>
          <w:szCs w:val="18"/>
          <w:highlight w:val="white"/>
        </w:rPr>
      </w:pPr>
      <w:hyperlink r:id="rId2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http://cuentame.inegi.org.mx/monografias/informacion/jal/poblacion/default.aspx?tema=me%26e=14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7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75"/>
        <w:tblGridChange w:id="0">
          <w:tblGrid>
            <w:gridCol w:w="7775"/>
          </w:tblGrid>
        </w:tblGridChange>
      </w:tblGrid>
      <w:tr>
        <w:trPr>
          <w:trHeight w:val="57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575"/>
              <w:tblGridChange w:id="0">
                <w:tblGrid>
                  <w:gridCol w:w="7575"/>
                </w:tblGrid>
              </w:tblGridChange>
            </w:tblGrid>
            <w:tr>
              <w:trPr>
                <w:trHeight w:val="574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rFonts w:ascii="Verdana" w:cs="Verdana" w:eastAsia="Verdana" w:hAnsi="Verdana"/>
                      <w:color w:val="666666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266.574495770983" w:type="dxa"/>
                    <w:jc w:val="left"/>
                    <w:tblBorders>
                      <w:top w:color="ff9900" w:space="0" w:sz="6" w:val="single"/>
                      <w:left w:color="ff9900" w:space="0" w:sz="6" w:val="single"/>
                      <w:bottom w:color="ff9900" w:space="0" w:sz="6" w:val="single"/>
                      <w:right w:color="ff9900" w:space="0" w:sz="6" w:val="single"/>
                      <w:insideH w:color="ff9900" w:space="0" w:sz="6" w:val="single"/>
                      <w:insideV w:color="ff9900" w:space="0" w:sz="6" w:val="single"/>
                    </w:tblBorders>
                    <w:tblLayout w:type="fixed"/>
                    <w:tblLook w:val="0600"/>
                  </w:tblPr>
                  <w:tblGrid>
                    <w:gridCol w:w="2370.8541065200125"/>
                    <w:gridCol w:w="3168.9172014312767"/>
                    <w:gridCol w:w="1726.8031878196941"/>
                    <w:tblGridChange w:id="0">
                      <w:tblGrid>
                        <w:gridCol w:w="2370.8541065200125"/>
                        <w:gridCol w:w="3168.9172014312767"/>
                        <w:gridCol w:w="1726.8031878196941"/>
                      </w:tblGrid>
                    </w:tblGridChange>
                  </w:tblGrid>
                  <w:tr>
                    <w:trPr>
                      <w:trHeight w:val="83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ff9900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ffffff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Clave del municipio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ff9900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ffffff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Municipio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ff9900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rPr>
                            <w:rFonts w:ascii="Verdana" w:cs="Verdana" w:eastAsia="Verdana" w:hAnsi="Verdana"/>
                            <w:b w:val="1"/>
                            <w:color w:val="ffffff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ffffff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Habitantes</w:t>
                        </w:r>
                      </w:p>
                      <w:p w:rsidR="00000000" w:rsidDel="00000000" w:rsidP="00000000" w:rsidRDefault="00000000" w:rsidRPr="00000000" w14:paraId="0000002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ffffff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(año 2015)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Acatic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21 530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Acatlán de Juárez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22 261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Ahualulco de Mercado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23 362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Amacueca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5 385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Amatitán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15 344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Ameca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60 951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Arandas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77 116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Atemajac de Brizuela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6 717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Atengo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5 475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Atenguillo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3 899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Atotonilco el Alto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60 480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Atoyac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8 264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Autlán de Navarro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60 572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Ayotlán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37 963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Ayutla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12 453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Bolaños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7 341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Cabo Corrientes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10 303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Cañadas de Obregón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4 110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Casimiro Castillo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21 584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Chapala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50 738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Chimaltitán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3 383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Chiquilistlán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6 102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Cihuatlán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41 300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Cocula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26 687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Colotlán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17 865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Concepción de Buenos Aires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6 088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Cuautitlán de García Barragán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18 138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Cuautla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2 120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Cuquío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17 980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Degollado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21 479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Ejutla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1 862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El Arenal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19 900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El Grullo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24 312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El Limón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5 379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El Salto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183 437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Encarnación de Díaz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53 555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Etzatlán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19 847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Gómez Farías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14 278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Guachinango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4 184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039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Guadalajara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1 460 148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Hostotipaquillo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9 761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Huejúcar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5 633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Huejuquilla el Alto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8 787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Ixtlahuacán de los Membrillos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53 045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Ixtlahuacán del Río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19 070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Jalostotitlán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33 777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Jamay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24 753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Jesús María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19 469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Jilotlán de los Dolores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9 917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Jocotepec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46 521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Juanacatlán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17 955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Juchitlán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5 638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018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La Barca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65 055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043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La Huerta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24 563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La Manzanilla de la Paz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3 688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Lagos de Moreno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164 981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Magdalena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22 643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Mascota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14 477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Mazamitla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13 799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Mexticacán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5 088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Mezquitic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19 452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Mixtlán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3 526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Ocotlán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99 461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Ojuelos de Jalisco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32 357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Pihuamo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11 192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Poncitlán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51 944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Puerto Vallarta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275 640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Quitupan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8 379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Cristóbal de la Barranca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3 117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Diego de Alejandría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7 349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Gabriel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16 105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125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Ignacio Cerro Gordo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18 952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Juan de los Lagos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69 725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007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Juanito de Escobedo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9 420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Julián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15 890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Marcos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3 783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Martín de Bolaños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3 122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Martín Hidalgo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27 777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078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Miguel el Alto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32 960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Pedro Tlaquepaque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664 193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 Sebastián del Oeste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5 643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Santa María de los Ángeles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3 033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056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Santa María del Oro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2 028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Sayula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36 778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Tala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80 365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Talpa de Allende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15 126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Tamazula de Gordiano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38 396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Tapalpa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19 506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Tecalitlán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16 579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Techaluta de Montenegro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3 703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088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Tecolotlán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17 257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Tenamaxtlán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7 005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Teocaltiche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41 278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Teocuitatlán de Corona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10 317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Tepatitlán de Morelos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141 322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Tequila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42 009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Teuchitlán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9 608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Tizapán el Alto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20 961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Tlajomulco de Zúñiga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549 442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099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Tolimán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10 310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Tomatlán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35 824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Tonalá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536 111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Tonaya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5 960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Tonila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7 919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Totatiche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4 412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Tototlán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23 171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Tuxcacuesco 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4 229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107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Tuxcueca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6 156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Tuxpan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34 535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109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Unión de San Antonio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17 915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Unión de Tula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13 446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Valle de Guadalupe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6 924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7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Valle de Juárez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5 389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Villa Corona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17 824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115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Villa Guerrero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5 417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116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Villa Hidalgo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20 257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068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Villa Purificación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10 704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118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Yahualica de González Gallo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8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22 586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119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Zacoalco de Torres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28 205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120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Zapopan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5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1 332 272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6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121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7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Zapotiltic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8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29 190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9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122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A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Zapotitlán de Vadillo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B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7 027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C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123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D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Zapotlán del Rey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E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17 893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F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023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0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Zapotlán el Grande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1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105 423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2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124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3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Zapotlanejo</w:t>
                        </w:r>
                      </w:p>
                    </w:tc>
                    <w:tc>
                      <w:tcPr>
                        <w:tcBorders>
                          <w:top w:color="ff9900" w:space="0" w:sz="6" w:val="single"/>
                          <w:left w:color="ff9900" w:space="0" w:sz="6" w:val="single"/>
                          <w:bottom w:color="ff9900" w:space="0" w:sz="6" w:val="single"/>
                          <w:right w:color="ff9900" w:space="0" w:sz="6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A4">
                        <w:pPr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666666"/>
                            <w:sz w:val="20"/>
                            <w:szCs w:val="20"/>
                            <w:highlight w:val="white"/>
                            <w:rtl w:val="0"/>
                          </w:rPr>
                          <w:t xml:space="preserve"> 68 519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5">
                  <w:pPr>
                    <w:rPr>
                      <w:rFonts w:ascii="Verdana" w:cs="Verdana" w:eastAsia="Verdana" w:hAnsi="Verdana"/>
                      <w:i w:val="1"/>
                      <w:color w:val="0000ff"/>
                      <w:sz w:val="16"/>
                      <w:szCs w:val="16"/>
                      <w:highlight w:val="white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999999"/>
                      <w:sz w:val="14"/>
                      <w:szCs w:val="14"/>
                      <w:highlight w:val="white"/>
                      <w:rtl w:val="0"/>
                    </w:rPr>
                    <w:t xml:space="preserve">FUENTE: INEGI. Encuesta Intercensal 2015. </w:t>
                  </w:r>
                  <w:hyperlink r:id="rId22">
                    <w:r w:rsidDel="00000000" w:rsidR="00000000" w:rsidRPr="00000000">
                      <w:rPr>
                        <w:rFonts w:ascii="Verdana" w:cs="Verdana" w:eastAsia="Verdana" w:hAnsi="Verdana"/>
                        <w:i w:val="1"/>
                        <w:color w:val="0000ff"/>
                        <w:sz w:val="16"/>
                        <w:szCs w:val="16"/>
                        <w:highlight w:val="white"/>
                        <w:u w:val="single"/>
                        <w:rtl w:val="0"/>
                      </w:rPr>
                      <w:t xml:space="preserve">Consultar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jc w:val="center"/>
              <w:rPr>
                <w:rFonts w:ascii="Verdana" w:cs="Verdana" w:eastAsia="Verdana" w:hAnsi="Verdana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after="200" w:before="200" w:lineRule="auto"/>
        <w:rPr>
          <w:rFonts w:ascii="Verdana" w:cs="Verdana" w:eastAsia="Verdana" w:hAnsi="Verdana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highlight w:val="white"/>
          <w:rtl w:val="0"/>
        </w:rPr>
        <w:t xml:space="preserve"> </w:t>
      </w:r>
    </w:p>
    <w:tbl>
      <w:tblPr>
        <w:tblStyle w:val="Table4"/>
        <w:tblW w:w="6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0"/>
        <w:tblGridChange w:id="0">
          <w:tblGrid>
            <w:gridCol w:w="6350"/>
          </w:tblGrid>
        </w:tblGridChange>
      </w:tblGrid>
      <w:tr>
        <w:trPr>
          <w:trHeight w:val="17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00" w:before="200" w:lineRule="auto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• ¿Qué porcentaje de la población total del país vive en Jalisco?</w:t>
            </w:r>
          </w:p>
          <w:p w:rsidR="00000000" w:rsidDel="00000000" w:rsidP="00000000" w:rsidRDefault="00000000" w:rsidRPr="00000000" w14:paraId="000001A9">
            <w:pPr>
              <w:spacing w:after="200" w:before="200" w:lineRule="auto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• Localiza la entidad más poblada del país, ¿cuántos habitantes más tiene que Jalisco?</w:t>
            </w:r>
          </w:p>
          <w:p w:rsidR="00000000" w:rsidDel="00000000" w:rsidP="00000000" w:rsidRDefault="00000000" w:rsidRPr="00000000" w14:paraId="000001AA">
            <w:pPr>
              <w:spacing w:after="200" w:before="200" w:lineRule="auto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• Respecto a la entidad menos poblada, ¿cuántos habitantes más tiene Jalisco?</w:t>
            </w:r>
          </w:p>
        </w:tc>
      </w:tr>
    </w:tbl>
    <w:p w:rsidR="00000000" w:rsidDel="00000000" w:rsidP="00000000" w:rsidRDefault="00000000" w:rsidRPr="00000000" w14:paraId="000001AB">
      <w:pPr>
        <w:spacing w:after="200" w:before="200" w:lineRule="auto"/>
        <w:rPr>
          <w:rFonts w:ascii="Verdana" w:cs="Verdana" w:eastAsia="Verdana" w:hAnsi="Verdana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1"/>
          <w:szCs w:val="21"/>
          <w:highlight w:val="white"/>
          <w:rtl w:val="0"/>
        </w:rPr>
        <w:t xml:space="preserve">Habitantes por edad y sexo</w:t>
      </w:r>
    </w:p>
    <w:tbl>
      <w:tblPr>
        <w:tblStyle w:val="Table5"/>
        <w:tblW w:w="6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0"/>
        <w:tblGridChange w:id="0">
          <w:tblGrid>
            <w:gridCol w:w="6350"/>
          </w:tblGrid>
        </w:tblGridChange>
      </w:tblGrid>
      <w:tr>
        <w:trPr>
          <w:trHeight w:val="4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00" w:before="200" w:lineRule="auto"/>
              <w:jc w:val="center"/>
              <w:rPr>
                <w:rFonts w:ascii="Verdana" w:cs="Verdana" w:eastAsia="Verdana" w:hAnsi="Verdana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3429000" cy="2286000"/>
                  <wp:effectExtent b="0" l="0" r="0" t="0"/>
                  <wp:docPr id="5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ind w:left="0" w:firstLine="0"/>
        <w:rPr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22" Type="http://schemas.openxmlformats.org/officeDocument/2006/relationships/hyperlink" Target="http://www3.inegi.org.mx/sistemas/tabuladosbasicos/default.aspx?c=33725&amp;s=est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cuentame.inegi.org.mx/monografias/informacion/jal/poblacion/default.aspx?tema=me%26e=14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image" Target="media/image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lisco.gob.mx/es/jalisco/municipios/tamazula-de-gordiano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iieg.gob.mx/contenido/Municipios/TamazuladeGordiano.pdf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www.milenio.com/negocios/inaes-9-1-millones-micronegocios-mexico" TargetMode="External"/><Relationship Id="rId18" Type="http://schemas.openxmlformats.org/officeDocument/2006/relationships/hyperlink" Target="http://www.tamazuladegordiano.gob.mx/new/transparencia2/articulo8/articulo8-5.htm" TargetMode="External"/><Relationship Id="rId7" Type="http://schemas.openxmlformats.org/officeDocument/2006/relationships/hyperlink" Target="https://www.milenio.com/buscador?text=secretaria+de+bienestar" TargetMode="External"/><Relationship Id="rId8" Type="http://schemas.openxmlformats.org/officeDocument/2006/relationships/hyperlink" Target="http://www.2006-2012.economia.gob.mx/mexico-emprende/empresas/microempres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