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C64" w:rsidRDefault="00C763E0">
      <w:pPr>
        <w:spacing w:after="5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126C64" w:rsidRDefault="00C763E0">
      <w:pPr>
        <w:spacing w:after="0" w:line="259" w:lineRule="auto"/>
        <w:ind w:left="-5" w:right="0"/>
        <w:jc w:val="left"/>
      </w:pPr>
      <w:r>
        <w:rPr>
          <w:b/>
          <w:sz w:val="32"/>
        </w:rPr>
        <w:t xml:space="preserve">Metodologie di Programmazione per il Web </w:t>
      </w:r>
      <w:r>
        <w:rPr>
          <w:sz w:val="32"/>
        </w:rPr>
        <w:t xml:space="preserve"> </w:t>
      </w:r>
    </w:p>
    <w:p w:rsidR="00126C64" w:rsidRDefault="00C763E0">
      <w:pPr>
        <w:spacing w:after="0" w:line="259" w:lineRule="auto"/>
        <w:ind w:left="-5" w:right="0"/>
        <w:jc w:val="left"/>
      </w:pPr>
      <w:r>
        <w:rPr>
          <w:b/>
          <w:sz w:val="32"/>
        </w:rPr>
        <w:t xml:space="preserve">Progetto d’Esame </w:t>
      </w:r>
      <w:proofErr w:type="spellStart"/>
      <w:r>
        <w:rPr>
          <w:b/>
          <w:sz w:val="32"/>
        </w:rPr>
        <w:t>a.a</w:t>
      </w:r>
      <w:proofErr w:type="spellEnd"/>
      <w:r>
        <w:rPr>
          <w:b/>
          <w:sz w:val="32"/>
        </w:rPr>
        <w:t xml:space="preserve">. 2018/2019 </w:t>
      </w:r>
    </w:p>
    <w:p w:rsidR="00126C64" w:rsidRDefault="00C763E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126C64" w:rsidRDefault="00C763E0">
      <w:pPr>
        <w:spacing w:after="0" w:line="259" w:lineRule="auto"/>
        <w:ind w:left="-5" w:right="7446"/>
        <w:jc w:val="left"/>
      </w:pPr>
      <w:r>
        <w:rPr>
          <w:b/>
        </w:rPr>
        <w:t xml:space="preserve">Versione definitiva </w:t>
      </w:r>
      <w:r>
        <w:rPr>
          <w:b/>
          <w:sz w:val="32"/>
        </w:rPr>
        <w:t xml:space="preserve"> </w:t>
      </w:r>
    </w:p>
    <w:p w:rsidR="00126C64" w:rsidRDefault="00C763E0">
      <w:pPr>
        <w:spacing w:after="0" w:line="259" w:lineRule="auto"/>
        <w:ind w:left="-5" w:right="0"/>
        <w:jc w:val="left"/>
      </w:pPr>
      <w:r>
        <w:rPr>
          <w:b/>
        </w:rPr>
        <w:t>Descrizione e motivazione del progetto</w:t>
      </w:r>
      <w:r>
        <w:t xml:space="preserve">:  </w:t>
      </w:r>
    </w:p>
    <w:p w:rsidR="00126C64" w:rsidRDefault="00C763E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126C64" w:rsidRDefault="00C763E0">
      <w:pPr>
        <w:ind w:left="-5" w:right="0"/>
      </w:pPr>
      <w:r>
        <w:t xml:space="preserve">Si vuole realizzare un sito Web per una società di vendita di libri, fumetti, videogiochi, </w:t>
      </w:r>
      <w:proofErr w:type="spellStart"/>
      <w:r>
        <w:t>Cd</w:t>
      </w:r>
      <w:proofErr w:type="spellEnd"/>
      <w:r>
        <w:t xml:space="preserve">, vinile e Dvd </w:t>
      </w:r>
      <w:r>
        <w:t xml:space="preserve">on-line (sul modello di IBS). Il cliente che vi ha contattato per questo lavoro, non ha </w:t>
      </w:r>
      <w:proofErr w:type="spellStart"/>
      <w:r>
        <w:t>skills</w:t>
      </w:r>
      <w:proofErr w:type="spellEnd"/>
      <w:r>
        <w:t xml:space="preserve"> informatici, di conseguenza i requisiti che propone possono essere talvolta ambigui o comunque lasciare adito a diverse interpretazioni. Allo stesso modo, i requ</w:t>
      </w:r>
      <w:r>
        <w:t xml:space="preserve">isiti sono presentati senza un particolare ordine logico. In caso di ambiguità, è necessario fare delle scelte e giustificarle nella relazione di progetto. </w:t>
      </w:r>
    </w:p>
    <w:p w:rsidR="00126C64" w:rsidRDefault="00C763E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126C64" w:rsidRDefault="00C763E0">
      <w:pPr>
        <w:ind w:left="-5" w:right="0"/>
      </w:pPr>
      <w:r>
        <w:t>Si noti che lo scopo di questo lavoro consiste, oltre che della verifica delle nozioni apprese, a</w:t>
      </w:r>
      <w:r>
        <w:t xml:space="preserve">nche della maturità scientifica sviluppata, che si riflette nelle scelte effettuate. </w:t>
      </w:r>
    </w:p>
    <w:p w:rsidR="00126C64" w:rsidRDefault="00C763E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126C64" w:rsidRDefault="00C763E0">
      <w:pPr>
        <w:spacing w:after="0" w:line="259" w:lineRule="auto"/>
        <w:ind w:left="-5" w:right="0"/>
        <w:jc w:val="left"/>
      </w:pPr>
      <w:r>
        <w:rPr>
          <w:b/>
        </w:rPr>
        <w:t xml:space="preserve">Requisiti </w:t>
      </w:r>
    </w:p>
    <w:p w:rsidR="00126C64" w:rsidRPr="00BC0EE2" w:rsidRDefault="00C763E0">
      <w:pPr>
        <w:spacing w:after="0" w:line="259" w:lineRule="auto"/>
        <w:ind w:left="0" w:right="0" w:firstLine="0"/>
        <w:jc w:val="left"/>
        <w:rPr>
          <w:color w:val="70AD47" w:themeColor="accent6"/>
        </w:rPr>
      </w:pPr>
      <w:r w:rsidRPr="00BC0EE2">
        <w:rPr>
          <w:color w:val="70AD47" w:themeColor="accent6"/>
        </w:rPr>
        <w:t xml:space="preserve"> </w:t>
      </w:r>
    </w:p>
    <w:p w:rsidR="00126C64" w:rsidRPr="00BC0EE2" w:rsidRDefault="00C763E0">
      <w:pPr>
        <w:ind w:left="-5" w:right="0"/>
        <w:rPr>
          <w:strike/>
          <w:color w:val="70AD47" w:themeColor="accent6"/>
        </w:rPr>
      </w:pPr>
      <w:r w:rsidRPr="00BC0EE2">
        <w:rPr>
          <w:strike/>
          <w:color w:val="70AD47" w:themeColor="accent6"/>
        </w:rPr>
        <w:t>Il sito permette agli utenti di effettuare solamente degli acquisti (in altre parole, un utente non può vendere a sua volta; può solo acquistare). Il gesto</w:t>
      </w:r>
      <w:r w:rsidRPr="00BC0EE2">
        <w:rPr>
          <w:strike/>
          <w:color w:val="70AD47" w:themeColor="accent6"/>
        </w:rPr>
        <w:t xml:space="preserve">re del sito è unico. </w:t>
      </w:r>
      <w:r w:rsidRPr="00BC0EE2">
        <w:rPr>
          <w:strike/>
          <w:color w:val="70AD47" w:themeColor="accent6"/>
        </w:rPr>
        <w:t xml:space="preserve"> </w:t>
      </w:r>
    </w:p>
    <w:p w:rsidR="00126C64" w:rsidRDefault="00C763E0">
      <w:pPr>
        <w:spacing w:after="0" w:line="259" w:lineRule="auto"/>
        <w:ind w:left="0" w:right="0" w:firstLine="0"/>
        <w:jc w:val="left"/>
      </w:pPr>
      <w:r>
        <w:t xml:space="preserve">  </w:t>
      </w:r>
    </w:p>
    <w:p w:rsidR="00126C64" w:rsidRDefault="00C763E0">
      <w:pPr>
        <w:ind w:left="-5" w:right="0"/>
      </w:pPr>
      <w:r>
        <w:t xml:space="preserve">Il gestore può mettere on-line un articolo specificando, attraverso una pagina dedicata, i seguenti attributi: </w:t>
      </w:r>
    </w:p>
    <w:p w:rsidR="00126C64" w:rsidRDefault="00C763E0">
      <w:pPr>
        <w:spacing w:after="0" w:line="259" w:lineRule="auto"/>
        <w:ind w:left="0" w:right="0" w:firstLine="0"/>
        <w:jc w:val="left"/>
      </w:pPr>
      <w:r>
        <w:t xml:space="preserve">  </w:t>
      </w:r>
    </w:p>
    <w:p w:rsidR="00126C64" w:rsidRPr="00BC0EE2" w:rsidRDefault="00C763E0">
      <w:pPr>
        <w:numPr>
          <w:ilvl w:val="0"/>
          <w:numId w:val="1"/>
        </w:numPr>
        <w:ind w:right="698" w:hanging="360"/>
        <w:rPr>
          <w:strike/>
          <w:color w:val="70AD47" w:themeColor="accent6"/>
        </w:rPr>
      </w:pPr>
      <w:r w:rsidRPr="00BC0EE2">
        <w:rPr>
          <w:strike/>
          <w:color w:val="70AD47" w:themeColor="accent6"/>
        </w:rPr>
        <w:t xml:space="preserve">Un identificativo </w:t>
      </w:r>
    </w:p>
    <w:p w:rsidR="00126C64" w:rsidRPr="00BC0EE2" w:rsidRDefault="00C763E0">
      <w:pPr>
        <w:numPr>
          <w:ilvl w:val="0"/>
          <w:numId w:val="1"/>
        </w:numPr>
        <w:ind w:right="698" w:hanging="360"/>
        <w:rPr>
          <w:color w:val="70AD47" w:themeColor="accent6"/>
        </w:rPr>
      </w:pPr>
      <w:r w:rsidRPr="00BC0EE2">
        <w:rPr>
          <w:strike/>
          <w:color w:val="70AD47" w:themeColor="accent6"/>
        </w:rPr>
        <w:t xml:space="preserve">la sua categoria commerciale (libri, fumetti, videogiochi, </w:t>
      </w:r>
      <w:proofErr w:type="spellStart"/>
      <w:r w:rsidRPr="00BC0EE2">
        <w:rPr>
          <w:strike/>
          <w:color w:val="70AD47" w:themeColor="accent6"/>
        </w:rPr>
        <w:t>Cd</w:t>
      </w:r>
      <w:proofErr w:type="spellEnd"/>
      <w:r w:rsidRPr="00BC0EE2">
        <w:rPr>
          <w:strike/>
          <w:color w:val="70AD47" w:themeColor="accent6"/>
        </w:rPr>
        <w:t>, vinile e Dvd</w:t>
      </w:r>
      <w:proofErr w:type="gramStart"/>
      <w:r w:rsidRPr="00BC0EE2">
        <w:rPr>
          <w:strike/>
          <w:color w:val="70AD47" w:themeColor="accent6"/>
        </w:rPr>
        <w:t>),  3</w:t>
      </w:r>
      <w:proofErr w:type="gramEnd"/>
      <w:r w:rsidRPr="00BC0EE2">
        <w:rPr>
          <w:strike/>
          <w:color w:val="70AD47" w:themeColor="accent6"/>
        </w:rPr>
        <w:t>)</w:t>
      </w:r>
      <w:r w:rsidRPr="00BC0EE2">
        <w:rPr>
          <w:rFonts w:ascii="Arial" w:eastAsia="Arial" w:hAnsi="Arial" w:cs="Arial"/>
          <w:strike/>
          <w:color w:val="70AD47" w:themeColor="accent6"/>
        </w:rPr>
        <w:t xml:space="preserve"> </w:t>
      </w:r>
      <w:r w:rsidRPr="00BC0EE2">
        <w:rPr>
          <w:strike/>
          <w:color w:val="70AD47" w:themeColor="accent6"/>
        </w:rPr>
        <w:t>la foto del prodotto e una sua descrizione</w:t>
      </w:r>
      <w:r w:rsidRPr="00BC0EE2">
        <w:rPr>
          <w:color w:val="70AD47" w:themeColor="accent6"/>
        </w:rPr>
        <w:t xml:space="preserve">,  </w:t>
      </w:r>
    </w:p>
    <w:p w:rsidR="00126C64" w:rsidRPr="00BC0EE2" w:rsidRDefault="00C763E0">
      <w:pPr>
        <w:numPr>
          <w:ilvl w:val="0"/>
          <w:numId w:val="2"/>
        </w:numPr>
        <w:ind w:right="0" w:hanging="360"/>
        <w:rPr>
          <w:strike/>
          <w:color w:val="70AD47" w:themeColor="accent6"/>
        </w:rPr>
      </w:pPr>
      <w:r w:rsidRPr="00BC0EE2">
        <w:rPr>
          <w:strike/>
          <w:color w:val="70AD47" w:themeColor="accent6"/>
        </w:rPr>
        <w:t xml:space="preserve">il costo, </w:t>
      </w:r>
    </w:p>
    <w:p w:rsidR="00126C64" w:rsidRDefault="00C763E0">
      <w:pPr>
        <w:numPr>
          <w:ilvl w:val="0"/>
          <w:numId w:val="2"/>
        </w:numPr>
        <w:ind w:right="0" w:hanging="360"/>
      </w:pPr>
      <w:r>
        <w:t xml:space="preserve">il costo di spedizione (a prezzi diversi, a seconda del tipo di spedizione: posta ordinaria o corriere).  </w:t>
      </w:r>
    </w:p>
    <w:p w:rsidR="00126C64" w:rsidRDefault="00C763E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126C64" w:rsidRPr="00BC0EE2" w:rsidRDefault="00C763E0">
      <w:pPr>
        <w:ind w:left="-5" w:right="0"/>
        <w:rPr>
          <w:strike/>
          <w:color w:val="70AD47" w:themeColor="accent6"/>
        </w:rPr>
      </w:pPr>
      <w:r w:rsidRPr="00BC0EE2">
        <w:rPr>
          <w:strike/>
          <w:color w:val="70AD47" w:themeColor="accent6"/>
        </w:rPr>
        <w:t>Il prodotto è descritto da attributi diversi a seconda del tipo. Per esempio, un libro avr</w:t>
      </w:r>
      <w:r w:rsidRPr="00BC0EE2">
        <w:rPr>
          <w:strike/>
          <w:color w:val="70AD47" w:themeColor="accent6"/>
        </w:rPr>
        <w:t xml:space="preserve">à un autore, un </w:t>
      </w:r>
      <w:proofErr w:type="gramStart"/>
      <w:r w:rsidRPr="00BC0EE2">
        <w:rPr>
          <w:strike/>
          <w:color w:val="70AD47" w:themeColor="accent6"/>
        </w:rPr>
        <w:t>titolo,  un</w:t>
      </w:r>
      <w:proofErr w:type="gramEnd"/>
      <w:r w:rsidRPr="00BC0EE2">
        <w:rPr>
          <w:strike/>
          <w:color w:val="70AD47" w:themeColor="accent6"/>
        </w:rPr>
        <w:t xml:space="preserve"> editore, un numero ISBN, il numero di pagine e l’anno di uscita.</w:t>
      </w:r>
      <w:r w:rsidRPr="00BC0EE2">
        <w:rPr>
          <w:color w:val="70AD47" w:themeColor="accent6"/>
        </w:rPr>
        <w:t xml:space="preserve"> </w:t>
      </w:r>
      <w:r>
        <w:t xml:space="preserve">Un </w:t>
      </w:r>
      <w:proofErr w:type="spellStart"/>
      <w:r>
        <w:t>Cd</w:t>
      </w:r>
      <w:proofErr w:type="spellEnd"/>
      <w:r>
        <w:t xml:space="preserve"> e il corrispondente vinile avranno l’autore e il titolo, i titoli delle canzoni e la durata di ciascuna, l’anno di uscita. </w:t>
      </w:r>
      <w:r w:rsidRPr="00BC0EE2">
        <w:rPr>
          <w:strike/>
          <w:color w:val="70AD47" w:themeColor="accent6"/>
        </w:rPr>
        <w:t>Il Dvd avrà un titolo, un direttor</w:t>
      </w:r>
      <w:r w:rsidRPr="00BC0EE2">
        <w:rPr>
          <w:strike/>
          <w:color w:val="70AD47" w:themeColor="accent6"/>
        </w:rPr>
        <w:t xml:space="preserve">e e i nomi di almeno 3 attori (ma non più di 6), l’anno di uscita e il genere (Dramma, sentimentale, fantascienza, giallo, documentario, ecc.) </w:t>
      </w:r>
    </w:p>
    <w:p w:rsidR="00126C64" w:rsidRDefault="00C763E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126C64" w:rsidRPr="00BC0EE2" w:rsidRDefault="00C763E0">
      <w:pPr>
        <w:ind w:left="-5" w:right="0"/>
        <w:rPr>
          <w:color w:val="auto"/>
        </w:rPr>
      </w:pPr>
      <w:r w:rsidRPr="00BC0EE2">
        <w:rPr>
          <w:strike/>
          <w:color w:val="70AD47" w:themeColor="accent6"/>
        </w:rPr>
        <w:t>Qualora la giacenza di un prodotto scenda sotto le X (valore a scelta dello studente) unità, la pagina deve vi</w:t>
      </w:r>
      <w:r w:rsidRPr="00BC0EE2">
        <w:rPr>
          <w:strike/>
          <w:color w:val="70AD47" w:themeColor="accent6"/>
        </w:rPr>
        <w:t>sualizzare un messaggio del tipo “Solo X istanze di questo prodotto sono disponibili”.</w:t>
      </w:r>
      <w:r w:rsidRPr="00BC0EE2">
        <w:rPr>
          <w:color w:val="70AD47" w:themeColor="accent6"/>
        </w:rPr>
        <w:t xml:space="preserve"> </w:t>
      </w:r>
      <w:r w:rsidRPr="00BC0EE2">
        <w:rPr>
          <w:strike/>
          <w:color w:val="70AD47" w:themeColor="accent6"/>
        </w:rPr>
        <w:t xml:space="preserve">Nel caso in cui il prodotto sia esaurito, la pagina deve mostrare un messaggio corrispondente, ma deve offrire all’utente la possibilità di prenotarlo (questo vuol dire </w:t>
      </w:r>
      <w:r w:rsidRPr="00BC0EE2">
        <w:rPr>
          <w:strike/>
          <w:color w:val="70AD47" w:themeColor="accent6"/>
        </w:rPr>
        <w:t>che il gestore può ricevere o un ordine o una prenotazione).</w:t>
      </w:r>
      <w:r>
        <w:t xml:space="preserve"> </w:t>
      </w:r>
      <w:r w:rsidRPr="00BC0EE2">
        <w:rPr>
          <w:color w:val="auto"/>
        </w:rPr>
        <w:t xml:space="preserve">Quando la giacenza del prodotto sia nuovamente maggiore di zero, l’utente che si era prenotato deve ricevere </w:t>
      </w:r>
      <w:proofErr w:type="gramStart"/>
      <w:r w:rsidRPr="00BC0EE2">
        <w:rPr>
          <w:color w:val="auto"/>
        </w:rPr>
        <w:t>un e-mail</w:t>
      </w:r>
      <w:proofErr w:type="gramEnd"/>
      <w:r w:rsidRPr="00BC0EE2">
        <w:rPr>
          <w:color w:val="auto"/>
        </w:rPr>
        <w:t xml:space="preserve">, che lo avvisa che ora è possibile effettuare l’acquisto. </w:t>
      </w:r>
    </w:p>
    <w:p w:rsidR="00126C64" w:rsidRDefault="00C763E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126C64" w:rsidRDefault="00C763E0">
      <w:pPr>
        <w:ind w:left="-5" w:right="0"/>
      </w:pPr>
      <w:r>
        <w:lastRenderedPageBreak/>
        <w:t>L’acquisto di u</w:t>
      </w:r>
      <w:r>
        <w:t>n prodotto avviene esclusivamente per mezzo di carta di credito. Quando il gestore riceve un ordine d’acquisto, invia gli estremi della carta di credito (proprietario, numero di carta, scadenza e codice sicurezza) a un gestore di carte di credito separato,</w:t>
      </w:r>
      <w:r>
        <w:t xml:space="preserve"> che approva o rifiuta il pagamento. Le ragioni di un rifiuto sono: attributi errati o superamento del tetto mensile.  </w:t>
      </w:r>
    </w:p>
    <w:p w:rsidR="00126C64" w:rsidRDefault="00C763E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126C64" w:rsidRDefault="00C763E0">
      <w:pPr>
        <w:ind w:left="-5" w:right="0"/>
      </w:pPr>
      <w:r>
        <w:t>Un utente può registrarsi memorizzando i propri dati anagrafici, l’indirizzo di spedizione e la carta di credito (numero, data scadenz</w:t>
      </w:r>
      <w:r>
        <w:t xml:space="preserve">a, codice </w:t>
      </w:r>
      <w:proofErr w:type="gramStart"/>
      <w:r>
        <w:t>di  tre</w:t>
      </w:r>
      <w:proofErr w:type="gramEnd"/>
      <w:r>
        <w:t xml:space="preserve"> cifre e intestatario).  </w:t>
      </w:r>
    </w:p>
    <w:p w:rsidR="00126C64" w:rsidRDefault="00C763E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126C64" w:rsidRDefault="00C763E0">
      <w:pPr>
        <w:ind w:left="-5" w:right="0"/>
      </w:pPr>
      <w:r w:rsidRPr="00BC0EE2">
        <w:rPr>
          <w:strike/>
          <w:color w:val="70AD47" w:themeColor="accent6"/>
        </w:rPr>
        <w:t xml:space="preserve">Un utente anonimo può visionare il catalogo offerto dal gestore, effettuando un semplice </w:t>
      </w:r>
      <w:proofErr w:type="spellStart"/>
      <w:r w:rsidRPr="00BC0EE2">
        <w:rPr>
          <w:strike/>
          <w:color w:val="70AD47" w:themeColor="accent6"/>
        </w:rPr>
        <w:t>browsing</w:t>
      </w:r>
      <w:proofErr w:type="spellEnd"/>
      <w:r w:rsidRPr="00BC0EE2">
        <w:rPr>
          <w:strike/>
          <w:color w:val="70AD47" w:themeColor="accent6"/>
        </w:rPr>
        <w:t xml:space="preserve"> per categoria, oppure specificando un prodotto (anche parzialmente specificato): per esempio il nome di un autore</w:t>
      </w:r>
      <w:r w:rsidRPr="00BC0EE2">
        <w:rPr>
          <w:strike/>
          <w:color w:val="70AD47" w:themeColor="accent6"/>
        </w:rPr>
        <w:t xml:space="preserve"> (“Umberto Eco”, “Eco”) o di un attore (“Robert De Niro”, “De Niro”) o una canzone (“Lucy in the </w:t>
      </w:r>
      <w:proofErr w:type="spellStart"/>
      <w:r w:rsidRPr="00BC0EE2">
        <w:rPr>
          <w:strike/>
          <w:color w:val="70AD47" w:themeColor="accent6"/>
        </w:rPr>
        <w:t>sky</w:t>
      </w:r>
      <w:proofErr w:type="spellEnd"/>
      <w:r w:rsidRPr="00BC0EE2">
        <w:rPr>
          <w:strike/>
          <w:color w:val="70AD47" w:themeColor="accent6"/>
        </w:rPr>
        <w:t xml:space="preserve"> with </w:t>
      </w:r>
      <w:proofErr w:type="spellStart"/>
      <w:r w:rsidRPr="00BC0EE2">
        <w:rPr>
          <w:strike/>
          <w:color w:val="70AD47" w:themeColor="accent6"/>
        </w:rPr>
        <w:t>diamonds</w:t>
      </w:r>
      <w:proofErr w:type="spellEnd"/>
      <w:r w:rsidRPr="00BC0EE2">
        <w:rPr>
          <w:strike/>
          <w:color w:val="70AD47" w:themeColor="accent6"/>
        </w:rPr>
        <w:t xml:space="preserve">”, “Lucy in the </w:t>
      </w:r>
      <w:proofErr w:type="spellStart"/>
      <w:r w:rsidRPr="00BC0EE2">
        <w:rPr>
          <w:strike/>
          <w:color w:val="70AD47" w:themeColor="accent6"/>
        </w:rPr>
        <w:t>sky</w:t>
      </w:r>
      <w:proofErr w:type="spellEnd"/>
      <w:r w:rsidRPr="00BC0EE2">
        <w:rPr>
          <w:strike/>
          <w:color w:val="70AD47" w:themeColor="accent6"/>
        </w:rPr>
        <w:t>”), un videogioco (“</w:t>
      </w:r>
      <w:proofErr w:type="spellStart"/>
      <w:r w:rsidRPr="00BC0EE2">
        <w:rPr>
          <w:strike/>
          <w:color w:val="70AD47" w:themeColor="accent6"/>
        </w:rPr>
        <w:t>Civilization</w:t>
      </w:r>
      <w:proofErr w:type="spellEnd"/>
      <w:r w:rsidRPr="00BC0EE2">
        <w:rPr>
          <w:strike/>
          <w:color w:val="70AD47" w:themeColor="accent6"/>
        </w:rPr>
        <w:t xml:space="preserve"> IV” o “</w:t>
      </w:r>
      <w:proofErr w:type="spellStart"/>
      <w:r w:rsidRPr="00BC0EE2">
        <w:rPr>
          <w:strike/>
          <w:color w:val="70AD47" w:themeColor="accent6"/>
        </w:rPr>
        <w:t>Civilization</w:t>
      </w:r>
      <w:proofErr w:type="spellEnd"/>
      <w:r w:rsidRPr="00BC0EE2">
        <w:rPr>
          <w:strike/>
          <w:color w:val="70AD47" w:themeColor="accent6"/>
        </w:rPr>
        <w:t xml:space="preserve">” per considerare le versioni I, II, III, ecc.) o il personaggio di un </w:t>
      </w:r>
      <w:r w:rsidRPr="00BC0EE2">
        <w:rPr>
          <w:strike/>
          <w:color w:val="70AD47" w:themeColor="accent6"/>
        </w:rPr>
        <w:t>fumetto (“Spiderman” oppure “Spider”).</w:t>
      </w:r>
      <w:r w:rsidRPr="00BC0EE2">
        <w:rPr>
          <w:color w:val="70AD47" w:themeColor="accent6"/>
        </w:rPr>
        <w:t xml:space="preserve"> </w:t>
      </w:r>
      <w:r>
        <w:t xml:space="preserve">La ricerca può essere raffinata per “prezzo: crescente”, “prezzo: decrescente”, “media recensioni clienti” </w:t>
      </w:r>
      <w:proofErr w:type="gramStart"/>
      <w:r>
        <w:t>e “</w:t>
      </w:r>
      <w:proofErr w:type="gramEnd"/>
      <w:r>
        <w:t xml:space="preserve">Ultimi arrivi”.  </w:t>
      </w:r>
    </w:p>
    <w:p w:rsidR="00126C64" w:rsidRDefault="00C763E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126C64" w:rsidRDefault="00C763E0">
      <w:pPr>
        <w:ind w:left="-5" w:right="0"/>
      </w:pPr>
      <w:bookmarkStart w:id="0" w:name="_GoBack"/>
      <w:r w:rsidRPr="00BC0EE2">
        <w:rPr>
          <w:strike/>
          <w:color w:val="70AD47" w:themeColor="accent6"/>
        </w:rPr>
        <w:t>Una volta che l’utente accede a un articolo, deve poter visionare le recensioni di altr</w:t>
      </w:r>
      <w:r w:rsidRPr="00BC0EE2">
        <w:rPr>
          <w:strike/>
          <w:color w:val="70AD47" w:themeColor="accent6"/>
        </w:rPr>
        <w:t>i clienti (una recensione ha da 1 a 4 stelle e un</w:t>
      </w:r>
      <w:bookmarkEnd w:id="0"/>
      <w:r>
        <w:t xml:space="preserve"> testo obbligatorio di lunghezza finita, minimo 80 caratteri e massimo 512). Se lo desidera, deve poter ordinare le recensioni per </w:t>
      </w:r>
      <w:r>
        <w:rPr>
          <w:i/>
        </w:rPr>
        <w:t>stelle</w:t>
      </w:r>
      <w:r>
        <w:t xml:space="preserve"> sia in ordine crescente che decrescente. Allo stesso modo, l’utente p</w:t>
      </w:r>
      <w:r>
        <w:t xml:space="preserve">uò ordinare (crescente/decrescente) gli articoli risultanti dalla ricerca per prezzo o nome. </w:t>
      </w:r>
    </w:p>
    <w:p w:rsidR="00126C64" w:rsidRDefault="00C763E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126C64" w:rsidRDefault="00C763E0">
      <w:pPr>
        <w:ind w:left="-5" w:right="0"/>
      </w:pPr>
      <w:r>
        <w:t xml:space="preserve">Per effettuare l’acquisto di un prodotto, l’utente deve essere registrato.  </w:t>
      </w:r>
    </w:p>
    <w:p w:rsidR="00126C64" w:rsidRDefault="00C763E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126C64" w:rsidRDefault="00C763E0">
      <w:pPr>
        <w:ind w:left="-5" w:right="0"/>
      </w:pPr>
      <w:r>
        <w:t>Un utente registrato può lasciare una recensione su di un prodotto se lo desidera</w:t>
      </w:r>
      <w:r>
        <w:t xml:space="preserve"> (non si controlla se l’utente ha acquistato l’articolo o meno). </w:t>
      </w:r>
    </w:p>
    <w:p w:rsidR="00126C64" w:rsidRDefault="00C763E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126C64" w:rsidRDefault="00C763E0">
      <w:pPr>
        <w:ind w:left="-5" w:right="0"/>
      </w:pPr>
      <w:r>
        <w:t xml:space="preserve"> Si progetti il sito con le opportune tecnologie client/side (HTML5, XML, DHTML, </w:t>
      </w:r>
      <w:proofErr w:type="spellStart"/>
      <w:r>
        <w:t>Javascript</w:t>
      </w:r>
      <w:proofErr w:type="spellEnd"/>
      <w:r>
        <w:t xml:space="preserve">, Bootstrap, …) e server/side (PHP, …) </w:t>
      </w:r>
      <w:r>
        <w:t xml:space="preserve">viste a lezione, tenendo presente che la parte di amministrazione deve essere sviluppata con tecnologia J2EE.  </w:t>
      </w:r>
    </w:p>
    <w:p w:rsidR="00126C64" w:rsidRDefault="00C763E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126C64" w:rsidRDefault="00C763E0">
      <w:pPr>
        <w:ind w:left="-5" w:right="0"/>
      </w:pPr>
      <w:r>
        <w:t xml:space="preserve">Si progetti inoltre anche la base di dati necessaria presentando, in sede di discussione, il modello concettuale EER ed il relativo modello logico/relazionale.  </w:t>
      </w:r>
    </w:p>
    <w:p w:rsidR="00126C64" w:rsidRDefault="00C763E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126C64" w:rsidRDefault="00C763E0">
      <w:pPr>
        <w:ind w:left="-5" w:right="0"/>
      </w:pPr>
      <w:r>
        <w:t xml:space="preserve">Nella valutazione finale verranno considerate le seguenti caratteristiche:  </w:t>
      </w:r>
    </w:p>
    <w:p w:rsidR="00126C64" w:rsidRDefault="00C763E0">
      <w:pPr>
        <w:numPr>
          <w:ilvl w:val="0"/>
          <w:numId w:val="3"/>
        </w:numPr>
        <w:spacing w:after="293"/>
        <w:ind w:right="0" w:hanging="230"/>
      </w:pPr>
      <w:r>
        <w:t xml:space="preserve">strutturazione </w:t>
      </w:r>
      <w:r>
        <w:t xml:space="preserve">delle pagine secondo lo standard di separazione contenuto/presentazione  </w:t>
      </w:r>
    </w:p>
    <w:p w:rsidR="00126C64" w:rsidRDefault="00C763E0">
      <w:pPr>
        <w:numPr>
          <w:ilvl w:val="0"/>
          <w:numId w:val="3"/>
        </w:numPr>
        <w:spacing w:after="296"/>
        <w:ind w:right="0" w:hanging="230"/>
      </w:pPr>
      <w:r>
        <w:t xml:space="preserve">completezza delle pagine rispetto ai requisiti  </w:t>
      </w:r>
    </w:p>
    <w:p w:rsidR="00126C64" w:rsidRDefault="00C763E0">
      <w:pPr>
        <w:numPr>
          <w:ilvl w:val="0"/>
          <w:numId w:val="3"/>
        </w:numPr>
        <w:spacing w:after="296"/>
        <w:ind w:right="0" w:hanging="230"/>
      </w:pPr>
      <w:r>
        <w:t xml:space="preserve">adeguatezza delle scelte client/side versus server/side  </w:t>
      </w:r>
    </w:p>
    <w:p w:rsidR="00126C64" w:rsidRDefault="00C763E0">
      <w:pPr>
        <w:numPr>
          <w:ilvl w:val="0"/>
          <w:numId w:val="3"/>
        </w:numPr>
        <w:spacing w:after="291"/>
        <w:ind w:right="0" w:hanging="230"/>
      </w:pPr>
      <w:r>
        <w:t xml:space="preserve">adeguatezza dello schema dati progettato  </w:t>
      </w:r>
    </w:p>
    <w:p w:rsidR="00126C64" w:rsidRDefault="00C763E0">
      <w:pPr>
        <w:numPr>
          <w:ilvl w:val="0"/>
          <w:numId w:val="3"/>
        </w:numPr>
        <w:ind w:right="0" w:hanging="230"/>
      </w:pPr>
      <w:r>
        <w:t>adeguatezza delle operazioni pre</w:t>
      </w:r>
      <w:r>
        <w:t xml:space="preserve">viste rispetto allo schema dati ed ai requisiti. </w:t>
      </w:r>
    </w:p>
    <w:p w:rsidR="00126C64" w:rsidRDefault="00C763E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126C64" w:rsidRDefault="00C763E0">
      <w:pPr>
        <w:numPr>
          <w:ilvl w:val="0"/>
          <w:numId w:val="3"/>
        </w:numPr>
        <w:ind w:right="0" w:hanging="230"/>
      </w:pPr>
      <w:r>
        <w:t xml:space="preserve">documento di progetto e demo. </w:t>
      </w:r>
    </w:p>
    <w:p w:rsidR="00126C64" w:rsidRDefault="00C763E0">
      <w:pPr>
        <w:spacing w:after="21" w:line="259" w:lineRule="auto"/>
        <w:ind w:left="0" w:right="0" w:firstLine="0"/>
        <w:jc w:val="left"/>
      </w:pPr>
      <w:r>
        <w:lastRenderedPageBreak/>
        <w:t xml:space="preserve"> </w:t>
      </w:r>
    </w:p>
    <w:p w:rsidR="00126C64" w:rsidRDefault="00C763E0">
      <w:pPr>
        <w:ind w:left="-5" w:right="0"/>
      </w:pPr>
      <w:proofErr w:type="gramStart"/>
      <w:r>
        <w:t>E’</w:t>
      </w:r>
      <w:proofErr w:type="gramEnd"/>
      <w:r>
        <w:t xml:space="preserve"> possibile fare uso dei </w:t>
      </w:r>
      <w:proofErr w:type="spellStart"/>
      <w:r>
        <w:t>framework</w:t>
      </w:r>
      <w:proofErr w:type="spellEnd"/>
      <w:r>
        <w:t xml:space="preserve"> visti a lezione.  </w:t>
      </w:r>
    </w:p>
    <w:p w:rsidR="00126C64" w:rsidRDefault="00C763E0">
      <w:pPr>
        <w:spacing w:after="0" w:line="259" w:lineRule="auto"/>
        <w:ind w:left="0" w:right="0" w:firstLine="0"/>
      </w:pPr>
      <w:r>
        <w:rPr>
          <w:b/>
        </w:rPr>
        <w:t xml:space="preserve">  </w:t>
      </w:r>
    </w:p>
    <w:sectPr w:rsidR="00126C64">
      <w:footerReference w:type="even" r:id="rId7"/>
      <w:footerReference w:type="default" r:id="rId8"/>
      <w:footerReference w:type="first" r:id="rId9"/>
      <w:pgSz w:w="12240" w:h="15840"/>
      <w:pgMar w:top="1448" w:right="1436" w:bottom="1530" w:left="1440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3E0" w:rsidRDefault="00C763E0">
      <w:pPr>
        <w:spacing w:after="0" w:line="240" w:lineRule="auto"/>
      </w:pPr>
      <w:r>
        <w:separator/>
      </w:r>
    </w:p>
  </w:endnote>
  <w:endnote w:type="continuationSeparator" w:id="0">
    <w:p w:rsidR="00C763E0" w:rsidRDefault="00C76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C64" w:rsidRDefault="00C763E0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126C64" w:rsidRDefault="00C763E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C64" w:rsidRDefault="00C763E0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35CB2" w:rsidRPr="00D35CB2">
      <w:rPr>
        <w:rFonts w:ascii="Calibri" w:eastAsia="Calibri" w:hAnsi="Calibri" w:cs="Calibri"/>
        <w:noProof/>
        <w:sz w:val="22"/>
      </w:rPr>
      <w:t>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126C64" w:rsidRDefault="00C763E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C64" w:rsidRDefault="00C763E0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126C64" w:rsidRDefault="00C763E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3E0" w:rsidRDefault="00C763E0">
      <w:pPr>
        <w:spacing w:after="0" w:line="240" w:lineRule="auto"/>
      </w:pPr>
      <w:r>
        <w:separator/>
      </w:r>
    </w:p>
  </w:footnote>
  <w:footnote w:type="continuationSeparator" w:id="0">
    <w:p w:rsidR="00C763E0" w:rsidRDefault="00C76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82CA6"/>
    <w:multiLevelType w:val="hybridMultilevel"/>
    <w:tmpl w:val="4B1CDEBE"/>
    <w:lvl w:ilvl="0" w:tplc="A3404A70">
      <w:start w:val="1"/>
      <w:numFmt w:val="decimal"/>
      <w:lvlText w:val="%1."/>
      <w:lvlJc w:val="left"/>
      <w:pPr>
        <w:ind w:left="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0B890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BF6D3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B000C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C88FD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9FE53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DF09A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ED0C5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86A25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E35592"/>
    <w:multiLevelType w:val="hybridMultilevel"/>
    <w:tmpl w:val="F1E0E98E"/>
    <w:lvl w:ilvl="0" w:tplc="7A08211C">
      <w:start w:val="4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A1A51F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52C5D0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274CB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B6073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38008C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5D29ED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FB4425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9B2907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3E6069"/>
    <w:multiLevelType w:val="hybridMultilevel"/>
    <w:tmpl w:val="AC944266"/>
    <w:lvl w:ilvl="0" w:tplc="C3D8A94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4FE587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1ECA20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FEA08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2AC777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70836A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0A0C4C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60870C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FD89C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C64"/>
    <w:rsid w:val="00126C64"/>
    <w:rsid w:val="00930073"/>
    <w:rsid w:val="00BC0EE2"/>
    <w:rsid w:val="00C763E0"/>
    <w:rsid w:val="00D3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7943BC2-D32D-4FC2-B730-9D68BC5C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after="3" w:line="248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Barbierato</dc:creator>
  <cp:keywords/>
  <cp:lastModifiedBy>Gabor Galazzo</cp:lastModifiedBy>
  <cp:revision>4</cp:revision>
  <dcterms:created xsi:type="dcterms:W3CDTF">2019-05-28T09:33:00Z</dcterms:created>
  <dcterms:modified xsi:type="dcterms:W3CDTF">2019-05-28T10:48:00Z</dcterms:modified>
</cp:coreProperties>
</file>