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459C85" w14:textId="77777777" w:rsidR="00AB7656" w:rsidRDefault="00000000">
      <w:pPr>
        <w:spacing w:after="0" w:line="259" w:lineRule="auto"/>
        <w:ind w:left="2870" w:right="0" w:firstLine="730"/>
        <w:jc w:val="left"/>
        <w:rPr>
          <w:sz w:val="28"/>
          <w:szCs w:val="28"/>
        </w:rPr>
      </w:pPr>
      <w:r>
        <w:rPr>
          <w:b/>
          <w:sz w:val="28"/>
          <w:szCs w:val="28"/>
        </w:rPr>
        <w:t xml:space="preserve">Marble Press, LLC </w:t>
      </w:r>
    </w:p>
    <w:p w14:paraId="49925F8D" w14:textId="77777777" w:rsidR="00AB7656" w:rsidRDefault="00000000">
      <w:pPr>
        <w:pStyle w:val="BodyText"/>
        <w:ind w:left="0" w:right="0" w:firstLine="0"/>
        <w:jc w:val="center"/>
        <w:rPr>
          <w:b/>
          <w:sz w:val="28"/>
          <w:szCs w:val="28"/>
        </w:rPr>
      </w:pPr>
      <w:r>
        <w:rPr>
          <w:b/>
          <w:sz w:val="28"/>
          <w:szCs w:val="28"/>
        </w:rPr>
        <w:t>Book Publishing Agreement</w:t>
      </w:r>
    </w:p>
    <w:p w14:paraId="0F6877C5" w14:textId="77777777" w:rsidR="00AB7656" w:rsidRDefault="00000000">
      <w:pPr>
        <w:pStyle w:val="v1msonormal"/>
        <w:shd w:val="clear" w:color="auto" w:fill="FFFFFF"/>
        <w:spacing w:after="240"/>
        <w:jc w:val="both"/>
        <w:rPr>
          <w:color w:val="FF0000"/>
        </w:rPr>
      </w:pPr>
      <w:r>
        <w:t xml:space="preserve">This Agreement (the “Agreement”), dated as of </w:t>
      </w:r>
      <w:r>
        <w:rPr>
          <w:color w:val="FF0000"/>
        </w:rPr>
        <w:t>2025-11-11</w:t>
      </w:r>
      <w:r>
        <w:t xml:space="preserve"> (the “Effective Date”), is made by and between </w:t>
      </w:r>
      <w:r>
        <w:rPr>
          <w:color w:val="FF0000"/>
        </w:rPr>
        <w:t>Benjamin Gillenwater</w:t>
      </w:r>
      <w:r>
        <w:t xml:space="preserve"> (“Author”) </w:t>
      </w:r>
      <w:r>
        <w:rPr>
          <w:color w:val="FF0000"/>
        </w:rPr>
        <w:t>2976 E State St, #120-2078</w:t>
      </w:r>
      <w:r>
        <w:t xml:space="preserve">, </w:t>
      </w:r>
      <w:r>
        <w:rPr>
          <w:color w:val="FF0000"/>
        </w:rPr>
        <w:t>Eagle</w:t>
      </w:r>
      <w:r>
        <w:t xml:space="preserve"> </w:t>
      </w:r>
      <w:r>
        <w:rPr>
          <w:color w:val="FF0000"/>
        </w:rPr>
        <w:t>Idaho</w:t>
      </w:r>
      <w:r>
        <w:t xml:space="preserve"> </w:t>
      </w:r>
      <w:r>
        <w:rPr>
          <w:color w:val="FF0000"/>
        </w:rPr>
        <w:t>83616</w:t>
      </w:r>
      <w:r>
        <w:t>, and Marble Press, LLC (“Publisher”), a Delaware Limited Liability Company, whose principal office is located at 2260 Hanover Str. Palo Alto, CA 94306.</w:t>
      </w:r>
    </w:p>
    <w:p w14:paraId="35C78859" w14:textId="77777777" w:rsidR="00AB7656" w:rsidRDefault="00000000">
      <w:pPr>
        <w:pStyle w:val="v1msonormal"/>
        <w:shd w:val="clear" w:color="auto" w:fill="FFFFFF"/>
        <w:spacing w:before="0" w:beforeAutospacing="0" w:after="240" w:afterAutospacing="0"/>
        <w:jc w:val="center"/>
      </w:pPr>
      <w:r>
        <w:rPr>
          <w:b/>
          <w:bCs/>
        </w:rPr>
        <w:t>Recitals</w:t>
      </w:r>
    </w:p>
    <w:p w14:paraId="42C6989F" w14:textId="77777777" w:rsidR="00AB7656" w:rsidRDefault="00000000">
      <w:pPr>
        <w:spacing w:after="240" w:line="247" w:lineRule="auto"/>
        <w:ind w:left="0" w:right="0" w:firstLine="706"/>
        <w:rPr>
          <w:i/>
          <w:iCs/>
          <w:color w:val="FF0000"/>
        </w:rPr>
      </w:pPr>
      <w:r>
        <w:t xml:space="preserve">WHEREAS, the Author is or will be the proprietor of an illustrated picture book, tentatively entitled </w:t>
      </w:r>
      <w:r>
        <w:rPr>
          <w:color w:val="FF0000"/>
        </w:rPr>
        <w:t xml:space="preserve">Your Family's Digital North Star </w:t>
      </w:r>
      <w:r>
        <w:t xml:space="preserve"> (“Book”).</w:t>
      </w:r>
    </w:p>
    <w:p w14:paraId="57D9E0E1" w14:textId="77777777" w:rsidR="00AB7656" w:rsidRDefault="00000000">
      <w:pPr>
        <w:spacing w:after="240" w:line="240" w:lineRule="auto"/>
        <w:ind w:left="0" w:right="0" w:firstLine="706"/>
      </w:pPr>
      <w:r>
        <w:t xml:space="preserve">WHEREAS, the Book is a </w:t>
      </w:r>
      <w:r>
        <w:rPr>
          <w:color w:val="FF0000"/>
        </w:rPr>
        <w:t>200-page nonfiction manuscript offering practical guidance for parents and caregivers on how to support children in developing safe, balanced, and responsible digital habits.</w:t>
      </w:r>
      <w:r>
        <w:t>.</w:t>
      </w:r>
    </w:p>
    <w:p w14:paraId="5C94FEC3" w14:textId="77777777" w:rsidR="00AB7656" w:rsidRDefault="00000000">
      <w:pPr>
        <w:spacing w:after="240" w:line="240" w:lineRule="auto"/>
        <w:ind w:left="0" w:right="0" w:firstLine="706"/>
      </w:pPr>
      <w:r>
        <w:t>WHEREAS, the Author desires to have the Publisher publish and the Publisher desires to publish the Book on the terms and conditions set forth herein.</w:t>
      </w:r>
    </w:p>
    <w:p w14:paraId="5AFE75AD" w14:textId="77777777" w:rsidR="00AB7656" w:rsidRDefault="00000000">
      <w:pPr>
        <w:spacing w:after="240" w:line="240" w:lineRule="auto"/>
        <w:ind w:left="0" w:right="0" w:firstLine="706"/>
      </w:pPr>
      <w:r>
        <w:t>NOW, THEREFORE, in consideration of the mutual covenants, terms, and conditions set forth herein, and for other good and valuable consideration, the receipt and adequacy of which are hereby acknowledged, the parties hereto agree as follows:</w:t>
      </w:r>
    </w:p>
    <w:p w14:paraId="6EF54AD5" w14:textId="77777777" w:rsidR="00AB7656" w:rsidRDefault="00000000">
      <w:pPr>
        <w:pStyle w:val="BodyText"/>
        <w:ind w:left="0" w:firstLine="0"/>
        <w:jc w:val="center"/>
        <w:rPr>
          <w:b/>
          <w:bCs/>
        </w:rPr>
      </w:pPr>
      <w:r>
        <w:rPr>
          <w:b/>
          <w:bCs/>
        </w:rPr>
        <w:t>Agreement</w:t>
      </w:r>
    </w:p>
    <w:p w14:paraId="5344B72D" w14:textId="77777777" w:rsidR="00AB7656" w:rsidRDefault="00000000">
      <w:pPr>
        <w:pStyle w:val="BodyText"/>
        <w:numPr>
          <w:ilvl w:val="0"/>
          <w:numId w:val="2"/>
        </w:numPr>
        <w:ind w:left="0" w:firstLine="720"/>
        <w:rPr>
          <w:b/>
          <w:bCs/>
        </w:rPr>
      </w:pPr>
      <w:r>
        <w:rPr>
          <w:u w:val="single"/>
        </w:rPr>
        <w:t>Author's Grant of Rights</w:t>
      </w:r>
      <w:r>
        <w:t>. Subject to the terms and conditions of this Agreement, the Author grants to the Publisher for the full term of the US copyright in the Book, including any renewals and extensions thereof, the exclusive right throughout the world to:</w:t>
      </w:r>
    </w:p>
    <w:p w14:paraId="0E342579" w14:textId="74C5D392" w:rsidR="00AB7656" w:rsidRDefault="00000000">
      <w:pPr>
        <w:pStyle w:val="BodyText"/>
        <w:numPr>
          <w:ilvl w:val="1"/>
          <w:numId w:val="2"/>
        </w:numPr>
        <w:ind w:left="0" w:firstLine="1440"/>
        <w:rPr>
          <w:b/>
          <w:bCs/>
        </w:rPr>
      </w:pPr>
      <w:r>
        <w:t xml:space="preserve">print, publish, and sell the Book in print book throughout the </w:t>
      </w:r>
      <w:r w:rsidR="00505869">
        <w:rPr>
          <w:color w:val="FF0000"/>
        </w:rPr>
        <w:t>World in all languages</w:t>
      </w:r>
      <w:r>
        <w:rPr>
          <w:color w:val="2C363A"/>
        </w:rPr>
        <w:t xml:space="preserve"> </w:t>
      </w:r>
      <w:r>
        <w:t>in the following editions:</w:t>
      </w:r>
    </w:p>
    <w:p w14:paraId="018E4A8F" w14:textId="77777777" w:rsidR="00AB7656" w:rsidRDefault="00000000">
      <w:pPr>
        <w:pStyle w:val="BodyText"/>
        <w:numPr>
          <w:ilvl w:val="2"/>
          <w:numId w:val="2"/>
        </w:numPr>
        <w:ind w:left="2520" w:hanging="270"/>
        <w:rPr>
          <w:b/>
          <w:bCs/>
        </w:rPr>
      </w:pPr>
      <w:r>
        <w:t>trade hardcover;</w:t>
      </w:r>
    </w:p>
    <w:p w14:paraId="4ACEFAE2" w14:textId="77777777" w:rsidR="00AB7656" w:rsidRDefault="00000000">
      <w:pPr>
        <w:pStyle w:val="BodyText"/>
        <w:numPr>
          <w:ilvl w:val="2"/>
          <w:numId w:val="2"/>
        </w:numPr>
        <w:ind w:left="2520" w:hanging="274"/>
        <w:rPr>
          <w:b/>
          <w:bCs/>
        </w:rPr>
      </w:pPr>
      <w:r>
        <w:t>trade paperback;</w:t>
      </w:r>
    </w:p>
    <w:p w14:paraId="017B8D05" w14:textId="77777777" w:rsidR="00AB7656" w:rsidRDefault="00000000">
      <w:pPr>
        <w:pStyle w:val="BodyText"/>
        <w:numPr>
          <w:ilvl w:val="2"/>
          <w:numId w:val="2"/>
        </w:numPr>
        <w:ind w:left="2520" w:hanging="274"/>
        <w:rPr>
          <w:b/>
          <w:bCs/>
        </w:rPr>
      </w:pPr>
      <w:r>
        <w:t>mass market paperback</w:t>
      </w:r>
    </w:p>
    <w:p w14:paraId="7BDD9A62" w14:textId="77777777" w:rsidR="00AB7656" w:rsidRDefault="00000000">
      <w:pPr>
        <w:pStyle w:val="BodyText"/>
        <w:numPr>
          <w:ilvl w:val="2"/>
          <w:numId w:val="2"/>
        </w:numPr>
        <w:ind w:left="2520" w:hanging="274"/>
        <w:rPr>
          <w:b/>
          <w:bCs/>
        </w:rPr>
      </w:pPr>
      <w:r>
        <w:t>board book</w:t>
      </w:r>
    </w:p>
    <w:p w14:paraId="7F7889D3" w14:textId="7A76F09F" w:rsidR="00AB7656" w:rsidRDefault="00000000">
      <w:pPr>
        <w:pStyle w:val="BodyText"/>
        <w:numPr>
          <w:ilvl w:val="1"/>
          <w:numId w:val="2"/>
        </w:numPr>
        <w:ind w:left="0" w:firstLine="1440"/>
        <w:rPr>
          <w:b/>
          <w:bCs/>
          <w:color w:val="auto"/>
        </w:rPr>
      </w:pPr>
      <w:r>
        <w:t>authorize on the Author’s behalf the right to print, publish, and sell the Book throughout the</w:t>
      </w:r>
      <w:r>
        <w:rPr>
          <w:color w:val="2C363A"/>
        </w:rPr>
        <w:t xml:space="preserve"> </w:t>
      </w:r>
      <w:r w:rsidR="00505869">
        <w:rPr>
          <w:color w:val="FF0000"/>
        </w:rPr>
        <w:t>World in all languages</w:t>
      </w:r>
      <w:r>
        <w:rPr>
          <w:color w:val="2C363A"/>
        </w:rPr>
        <w:t>.</w:t>
      </w:r>
    </w:p>
    <w:p w14:paraId="4E4C6281" w14:textId="77777777" w:rsidR="00AB7656" w:rsidRDefault="00000000">
      <w:pPr>
        <w:pStyle w:val="BodyText"/>
        <w:numPr>
          <w:ilvl w:val="2"/>
          <w:numId w:val="2"/>
        </w:numPr>
        <w:ind w:left="2610" w:hanging="450"/>
        <w:rPr>
          <w:b/>
          <w:bCs/>
        </w:rPr>
      </w:pPr>
      <w:r>
        <w:t>in hardcover, paperback, and large-type reprint editions;</w:t>
      </w:r>
    </w:p>
    <w:p w14:paraId="636BDCA2" w14:textId="77777777" w:rsidR="00AB7656" w:rsidRDefault="00000000">
      <w:pPr>
        <w:pStyle w:val="BodyText"/>
        <w:numPr>
          <w:ilvl w:val="2"/>
          <w:numId w:val="2"/>
        </w:numPr>
        <w:ind w:left="2610" w:hanging="450"/>
        <w:rPr>
          <w:b/>
          <w:bCs/>
        </w:rPr>
      </w:pPr>
      <w:r>
        <w:lastRenderedPageBreak/>
        <w:t>as selections, condensations, or abridgments in anthologies, textbook editions, or book digests;</w:t>
      </w:r>
    </w:p>
    <w:p w14:paraId="3BFC10AA" w14:textId="77777777" w:rsidR="00AB7656" w:rsidRDefault="00000000">
      <w:pPr>
        <w:pStyle w:val="BodyText"/>
        <w:numPr>
          <w:ilvl w:val="2"/>
          <w:numId w:val="2"/>
        </w:numPr>
        <w:ind w:left="2610" w:hanging="450"/>
        <w:rPr>
          <w:b/>
          <w:bCs/>
        </w:rPr>
      </w:pPr>
      <w:r>
        <w:t>outside the U.S. (foreign language rights);</w:t>
      </w:r>
    </w:p>
    <w:p w14:paraId="50180D1E" w14:textId="77777777" w:rsidR="00AB7656" w:rsidRDefault="00000000">
      <w:pPr>
        <w:pStyle w:val="BodyText"/>
        <w:numPr>
          <w:ilvl w:val="2"/>
          <w:numId w:val="2"/>
        </w:numPr>
        <w:ind w:left="2610" w:hanging="450"/>
        <w:rPr>
          <w:b/>
          <w:bCs/>
        </w:rPr>
      </w:pPr>
      <w:r>
        <w:t>through book clubs in complete, condensed, or abridged editions;</w:t>
      </w:r>
    </w:p>
    <w:p w14:paraId="45BC1D0D" w14:textId="77777777" w:rsidR="00AB7656" w:rsidRDefault="00000000">
      <w:pPr>
        <w:pStyle w:val="BodyText"/>
        <w:numPr>
          <w:ilvl w:val="2"/>
          <w:numId w:val="2"/>
        </w:numPr>
        <w:ind w:left="2610" w:hanging="450"/>
        <w:rPr>
          <w:b/>
          <w:bCs/>
        </w:rPr>
      </w:pPr>
      <w:r>
        <w:t>as an excerpt in magazines, newspapers, and other periodicals before the first publication of the US trade hardcover edition of the Book in the English language ("First Serial Rights"). The Author shall have approval of the periodical and excerpt for any such license;</w:t>
      </w:r>
    </w:p>
    <w:p w14:paraId="5CB35DCD" w14:textId="77777777" w:rsidR="00AB7656" w:rsidRDefault="00000000">
      <w:pPr>
        <w:pStyle w:val="BodyText"/>
        <w:numPr>
          <w:ilvl w:val="2"/>
          <w:numId w:val="2"/>
        </w:numPr>
        <w:ind w:left="2610" w:hanging="450"/>
        <w:rPr>
          <w:b/>
          <w:bCs/>
        </w:rPr>
      </w:pPr>
      <w:r>
        <w:t>as an excerpt in magazines, newspapers, and other periodicals after the first publication of the US trade hardcover edition of the Book in the English language (“Second Serial Rights”);</w:t>
      </w:r>
    </w:p>
    <w:p w14:paraId="682278C2" w14:textId="77777777" w:rsidR="00AB7656" w:rsidRDefault="00000000">
      <w:pPr>
        <w:pStyle w:val="BodyText"/>
        <w:numPr>
          <w:ilvl w:val="2"/>
          <w:numId w:val="2"/>
        </w:numPr>
        <w:ind w:left="2610" w:hanging="450"/>
        <w:rPr>
          <w:b/>
          <w:bCs/>
        </w:rPr>
      </w:pPr>
      <w:r>
        <w:t>for use as premiums or giveaways;</w:t>
      </w:r>
    </w:p>
    <w:p w14:paraId="0D7F8AEA" w14:textId="77777777" w:rsidR="00AB7656" w:rsidRDefault="00000000">
      <w:pPr>
        <w:pStyle w:val="BodyText"/>
        <w:numPr>
          <w:ilvl w:val="2"/>
          <w:numId w:val="2"/>
        </w:numPr>
        <w:ind w:left="2610" w:hanging="450"/>
        <w:rPr>
          <w:b/>
          <w:bCs/>
        </w:rPr>
      </w:pPr>
      <w:r>
        <w:t>as a non-dramatic audiobook, with Author approval of any script for an abridged audiobook;</w:t>
      </w:r>
    </w:p>
    <w:p w14:paraId="7100DDB7" w14:textId="77777777" w:rsidR="00AB7656" w:rsidRDefault="00000000">
      <w:pPr>
        <w:pStyle w:val="BodyText"/>
        <w:numPr>
          <w:ilvl w:val="2"/>
          <w:numId w:val="2"/>
        </w:numPr>
        <w:ind w:left="2610" w:hanging="450"/>
        <w:rPr>
          <w:b/>
          <w:bCs/>
        </w:rPr>
      </w:pPr>
      <w:r>
        <w:t xml:space="preserve">(Deleted) </w:t>
      </w:r>
    </w:p>
    <w:p w14:paraId="4946A3D9" w14:textId="77777777" w:rsidR="00AB7656" w:rsidRDefault="00000000">
      <w:pPr>
        <w:pStyle w:val="BodyText"/>
        <w:numPr>
          <w:ilvl w:val="2"/>
          <w:numId w:val="2"/>
        </w:numPr>
        <w:ind w:left="2610" w:hanging="450"/>
        <w:rPr>
          <w:b/>
          <w:bCs/>
        </w:rPr>
      </w:pPr>
      <w:r>
        <w:t xml:space="preserve">(Deleted) </w:t>
      </w:r>
    </w:p>
    <w:p w14:paraId="3608AB1A" w14:textId="77777777" w:rsidR="00AB7656" w:rsidRDefault="00000000">
      <w:pPr>
        <w:pStyle w:val="BodyText"/>
        <w:numPr>
          <w:ilvl w:val="2"/>
          <w:numId w:val="2"/>
        </w:numPr>
        <w:ind w:left="2610" w:hanging="450"/>
        <w:rPr>
          <w:b/>
          <w:bCs/>
        </w:rPr>
      </w:pPr>
      <w:r>
        <w:t xml:space="preserve">Deleted) </w:t>
      </w:r>
    </w:p>
    <w:p w14:paraId="0598D42C" w14:textId="77777777" w:rsidR="00AB7656" w:rsidRDefault="00000000">
      <w:pPr>
        <w:pStyle w:val="BodyText"/>
        <w:numPr>
          <w:ilvl w:val="2"/>
          <w:numId w:val="2"/>
        </w:numPr>
        <w:ind w:left="2610" w:hanging="450"/>
        <w:rPr>
          <w:b/>
          <w:bCs/>
        </w:rPr>
      </w:pPr>
      <w:r>
        <w:t xml:space="preserve">(Deleted) </w:t>
      </w:r>
    </w:p>
    <w:p w14:paraId="531059A6" w14:textId="77777777" w:rsidR="00AB7656" w:rsidRDefault="00000000">
      <w:pPr>
        <w:pStyle w:val="BodyText"/>
        <w:numPr>
          <w:ilvl w:val="1"/>
          <w:numId w:val="2"/>
        </w:numPr>
        <w:ind w:left="0" w:firstLine="1440"/>
        <w:rPr>
          <w:b/>
          <w:bCs/>
        </w:rPr>
      </w:pPr>
      <w:r>
        <w:t>the right to produce, edit, manufacture, publish, distribute and display all or a portion of the Book in complete, condensed, adapted and abridged versions, in any form or method of reproduction or transmission, other than in print or as set forth in subparagraph (b) above now known or hereafter developed, intended to make the unenhanced Book available in visual form for reading, including but not limited to any and all electronic and digital versions including without limitation computer software media (including without limitation CDs, DVDs and any and all other media now known or hereafter developed), information storage and retrieval systems or databases, eBooks, electronic or digital transmission via the Internet or otherwise. Such electronic productions may include bookmarking, images from the print edition of the Book, highlighting, a dictionary tool and/or such other features as are, or may be, customarily included in such electronic productions.</w:t>
      </w:r>
    </w:p>
    <w:p w14:paraId="354C21F4" w14:textId="77777777" w:rsidR="00AB7656" w:rsidRDefault="00000000">
      <w:pPr>
        <w:pStyle w:val="BodyText"/>
        <w:numPr>
          <w:ilvl w:val="1"/>
          <w:numId w:val="2"/>
        </w:numPr>
        <w:ind w:left="0" w:firstLine="1440"/>
        <w:rPr>
          <w:b/>
          <w:bCs/>
        </w:rPr>
      </w:pPr>
      <w:r>
        <w:t xml:space="preserve">all rights now known or hereafter known not expressly granted to Publisher pursuant to this Agreement are reserved to the Author for the Author’s sole use and disposition. Rights reserved by the Author including but not limited to, </w:t>
      </w:r>
      <w:r>
        <w:rPr>
          <w:rFonts w:ascii="Century" w:hAnsi="Century"/>
          <w:color w:val="000000" w:themeColor="text1"/>
        </w:rPr>
        <w:t>Merch / TV &amp; Film / dramatic / graphic Novel / calendar / paper / multimedia / interactive apps / interactive digital / theme park / performance / dramatic / dramatic audio rights</w:t>
      </w:r>
      <w:r>
        <w:t xml:space="preserve">. The rights described in Sections 1(b)-(c) are referred to collectively herein as ("Subsidiary Rights"). The Publisher shall </w:t>
      </w:r>
      <w:r>
        <w:lastRenderedPageBreak/>
        <w:t>provide the Author with two (2) copies, if available, of any Subsidiary Rights licenses granted to third parties under this Agreement.</w:t>
      </w:r>
    </w:p>
    <w:p w14:paraId="44BF4FA7" w14:textId="77777777" w:rsidR="00AB7656" w:rsidRDefault="00000000">
      <w:pPr>
        <w:pStyle w:val="BodyText"/>
        <w:numPr>
          <w:ilvl w:val="0"/>
          <w:numId w:val="2"/>
        </w:numPr>
        <w:ind w:left="0" w:firstLine="720"/>
        <w:rPr>
          <w:b/>
          <w:bCs/>
        </w:rPr>
      </w:pPr>
      <w:r>
        <w:rPr>
          <w:u w:val="single"/>
        </w:rPr>
        <w:t>Use of Author's Name and Likeness</w:t>
      </w:r>
      <w:r>
        <w:t>. The Publisher, and any licensees or assigns of the Publisher's rights under this Agreement, have the right to use the Author's approved name and approved image, approved likeness, and approved biography for advertising, promotion, and other exploitation of the Book and other rights granted under this Agreement.</w:t>
      </w:r>
      <w:r>
        <w:rPr>
          <w:rFonts w:eastAsia="Garamond"/>
          <w:b/>
        </w:rPr>
        <w:t xml:space="preserve"> </w:t>
      </w:r>
      <w:r>
        <w:t>The Author shall not be depicted as endorsing any commercial service, product or commodity (other than the Book) without the Author’s prior written consent. The Author’s use of any additional material from the Book for promotional purposes shall be subject to Publisher’s approval, such approval not to be unreasonably withheld or delayed. Publisher shall pay for the reasonable travel expenses of the Author (i.e., transportation, lodging and food) for any such author tour arranged by Publisher.</w:t>
      </w:r>
      <w:r>
        <w:br/>
        <w:t>Author and Agent have the rights to use up to 10% of the Book for promotional purposes, including displaying it on websites, sharing it on social media</w:t>
      </w:r>
      <w:r>
        <w:rPr>
          <w:b/>
          <w:bCs/>
        </w:rPr>
        <w:t>.</w:t>
      </w:r>
    </w:p>
    <w:p w14:paraId="7A5F947A" w14:textId="77777777" w:rsidR="00AB7656" w:rsidRDefault="00AB7656">
      <w:pPr>
        <w:pStyle w:val="BodyText"/>
        <w:ind w:left="720" w:firstLine="0"/>
        <w:rPr>
          <w:b/>
          <w:bCs/>
        </w:rPr>
      </w:pPr>
    </w:p>
    <w:p w14:paraId="3FD01238" w14:textId="77777777" w:rsidR="00AB7656" w:rsidRDefault="00000000">
      <w:pPr>
        <w:pStyle w:val="BodyText"/>
        <w:numPr>
          <w:ilvl w:val="0"/>
          <w:numId w:val="2"/>
        </w:numPr>
        <w:ind w:left="0" w:firstLine="720"/>
        <w:rPr>
          <w:b/>
          <w:bCs/>
        </w:rPr>
      </w:pPr>
      <w:r>
        <w:rPr>
          <w:u w:val="single"/>
        </w:rPr>
        <w:t>Manuscript Delivery.</w:t>
      </w:r>
    </w:p>
    <w:p w14:paraId="1B247EBF" w14:textId="77777777" w:rsidR="009B6B98" w:rsidRPr="001A3021" w:rsidRDefault="009B6B98" w:rsidP="009B6B98">
      <w:pPr>
        <w:pStyle w:val="BodyText"/>
        <w:numPr>
          <w:ilvl w:val="1"/>
          <w:numId w:val="2"/>
        </w:numPr>
        <w:ind w:left="0" w:firstLine="1440"/>
        <w:rPr>
          <w:b/>
          <w:bCs/>
          <w:color w:val="EE0000"/>
        </w:rPr>
      </w:pPr>
      <w:r w:rsidRPr="001A3021">
        <w:rPr>
          <w:color w:val="EE0000"/>
        </w:rPr>
        <w:t>Manuscript shall be delivered to Publisher in an editorially satisfactory format by 2026-02-10.</w:t>
      </w:r>
    </w:p>
    <w:p w14:paraId="621F1603" w14:textId="77777777" w:rsidR="009B6B98" w:rsidRPr="001A3021" w:rsidRDefault="009B6B98" w:rsidP="009B6B98">
      <w:pPr>
        <w:pStyle w:val="BodyText"/>
        <w:numPr>
          <w:ilvl w:val="1"/>
          <w:numId w:val="2"/>
        </w:numPr>
        <w:ind w:left="0" w:firstLine="1440"/>
        <w:rPr>
          <w:color w:val="EE0000"/>
        </w:rPr>
      </w:pPr>
      <w:r w:rsidRPr="001A3021">
        <w:rPr>
          <w:color w:val="EE0000"/>
        </w:rPr>
        <w:t>The Work shall be deemed accepted by Publisher only if Publisher has expressly confirmed its acceptance, in writing, to Author, and expressions of encouragement or payment of money shall not be deemed to constitute acceptance. Publisher shall advise Author in writing within forty-five (45) days of its receipt of the text whether or not the Work is acceptable in length, content and form to Publisher. If Publisher fails to so notify Author within such forty-five (45) day period, Author shall give Publisher written notification of Publisher's failure to do so, thereupon Publisher shall have an additional thirty (30) days from receipt of such written notification in which to inform Author as to whether or not the Work is editorially acceptable in length, content and form to Publisher. If Publisher still fails to so notify Author after such additional thirty (30) day period, the Work shall be deemed automatically accepted.</w:t>
      </w:r>
    </w:p>
    <w:p w14:paraId="5D9C6CDF" w14:textId="77777777" w:rsidR="009B6B98" w:rsidRPr="001A3021" w:rsidRDefault="009B6B98" w:rsidP="009B6B98">
      <w:pPr>
        <w:pStyle w:val="BodyText"/>
        <w:numPr>
          <w:ilvl w:val="1"/>
          <w:numId w:val="2"/>
        </w:numPr>
        <w:ind w:left="0" w:firstLine="1440"/>
        <w:rPr>
          <w:color w:val="EE0000"/>
        </w:rPr>
      </w:pPr>
      <w:r w:rsidRPr="001A3021">
        <w:rPr>
          <w:rStyle w:val="normaltextrun"/>
          <w:color w:val="EE0000"/>
        </w:rPr>
        <w:t>In delivering the Work, Author shall supply, at Author's sole expense: (i) one (1) complete and clearly legible word processed copy of each manuscript in electronic form specified by Publisher, suitable for reproduction;  and</w:t>
      </w:r>
      <w:r w:rsidRPr="001A3021">
        <w:rPr>
          <w:rStyle w:val="eop"/>
          <w:color w:val="EE0000"/>
        </w:rPr>
        <w:t> </w:t>
      </w:r>
      <w:r w:rsidRPr="001A3021">
        <w:rPr>
          <w:rFonts w:ascii="Segoe UI" w:hAnsi="Segoe UI" w:cs="Segoe UI"/>
          <w:color w:val="EE0000"/>
          <w:sz w:val="18"/>
          <w:szCs w:val="18"/>
        </w:rPr>
        <w:t xml:space="preserve"> </w:t>
      </w:r>
      <w:r w:rsidRPr="001A3021">
        <w:rPr>
          <w:rStyle w:val="normaltextrun"/>
          <w:color w:val="EE0000"/>
        </w:rPr>
        <w:t>(ii) valid written permissions to quote or use any material of third parties that may be included in the Work by the Author or which otherwise may be required in connection with the publication of the Work or the licensing and exercising of the rights</w:t>
      </w:r>
      <w:r>
        <w:rPr>
          <w:rStyle w:val="normaltextrun"/>
          <w:color w:val="EE0000"/>
        </w:rPr>
        <w:t xml:space="preserve"> </w:t>
      </w:r>
      <w:r w:rsidRPr="001A3021">
        <w:rPr>
          <w:rStyle w:val="normaltextrun"/>
          <w:color w:val="EE0000"/>
        </w:rPr>
        <w:t>herein</w:t>
      </w:r>
      <w:r>
        <w:rPr>
          <w:rStyle w:val="normaltextrun"/>
          <w:color w:val="EE0000"/>
        </w:rPr>
        <w:t xml:space="preserve"> </w:t>
      </w:r>
      <w:r w:rsidRPr="001A3021">
        <w:rPr>
          <w:rStyle w:val="normaltextrun"/>
          <w:color w:val="EE0000"/>
        </w:rPr>
        <w:t>granted.</w:t>
      </w:r>
      <w:r>
        <w:rPr>
          <w:rStyle w:val="normaltextrun"/>
          <w:color w:val="EE0000"/>
        </w:rPr>
        <w:t xml:space="preserve"> </w:t>
      </w:r>
      <w:r w:rsidRPr="001A3021">
        <w:rPr>
          <w:rStyle w:val="normaltextrun"/>
          <w:color w:val="EE0000"/>
        </w:rPr>
        <w:t>If Author fails to make delivery of</w:t>
      </w:r>
      <w:r>
        <w:rPr>
          <w:rStyle w:val="normaltextrun"/>
          <w:color w:val="EE0000"/>
        </w:rPr>
        <w:t xml:space="preserve"> </w:t>
      </w:r>
      <w:r w:rsidRPr="001A3021">
        <w:rPr>
          <w:rStyle w:val="normaltextrun"/>
          <w:color w:val="EE0000"/>
        </w:rPr>
        <w:t>a</w:t>
      </w:r>
      <w:r>
        <w:rPr>
          <w:rStyle w:val="normaltextrun"/>
          <w:color w:val="EE0000"/>
        </w:rPr>
        <w:t xml:space="preserve"> </w:t>
      </w:r>
      <w:r w:rsidRPr="001A3021">
        <w:rPr>
          <w:rStyle w:val="normaltextrun"/>
          <w:color w:val="EE0000"/>
        </w:rPr>
        <w:t>Book</w:t>
      </w:r>
      <w:r>
        <w:rPr>
          <w:rStyle w:val="normaltextrun"/>
          <w:color w:val="EE0000"/>
        </w:rPr>
        <w:t xml:space="preserve"> </w:t>
      </w:r>
      <w:r w:rsidRPr="001A3021">
        <w:rPr>
          <w:rStyle w:val="normaltextrun"/>
          <w:color w:val="EE0000"/>
        </w:rPr>
        <w:t>by</w:t>
      </w:r>
      <w:r>
        <w:rPr>
          <w:rStyle w:val="normaltextrun"/>
          <w:color w:val="EE0000"/>
        </w:rPr>
        <w:t xml:space="preserve"> </w:t>
      </w:r>
      <w:r w:rsidRPr="001A3021">
        <w:rPr>
          <w:rStyle w:val="normaltextrun"/>
          <w:color w:val="EE0000"/>
        </w:rPr>
        <w:t>the date specified in Paragraph 3(a)</w:t>
      </w:r>
      <w:r>
        <w:rPr>
          <w:rStyle w:val="normaltextrun"/>
          <w:color w:val="EE0000"/>
        </w:rPr>
        <w:t xml:space="preserve"> </w:t>
      </w:r>
      <w:r w:rsidRPr="001A3021">
        <w:rPr>
          <w:rStyle w:val="normaltextrun"/>
          <w:color w:val="EE0000"/>
        </w:rPr>
        <w:t>or by a later date as may be mutually agreed in writing by the Author and the Publisher, then Publisher may, at its option, without prejudice to  its  other rights and remedies, terminate this Agreement with respect to such Book by giving written notice, in which event Author shall promptly repay all amounts advanced hereunder with respect to such Book.</w:t>
      </w:r>
    </w:p>
    <w:p w14:paraId="5509838C" w14:textId="77777777" w:rsidR="009B6B98" w:rsidRPr="001A3021" w:rsidRDefault="009B6B98" w:rsidP="009B6B98">
      <w:pPr>
        <w:pStyle w:val="BodyText"/>
        <w:numPr>
          <w:ilvl w:val="1"/>
          <w:numId w:val="2"/>
        </w:numPr>
        <w:ind w:left="0" w:firstLine="1440"/>
        <w:rPr>
          <w:color w:val="EE0000"/>
        </w:rPr>
      </w:pPr>
      <w:r w:rsidRPr="001A3021">
        <w:rPr>
          <w:color w:val="EE0000"/>
        </w:rPr>
        <w:lastRenderedPageBreak/>
        <w:t>If a Book as delivered is not editorially satisfactory to Publisher, Publisher shall provide Author with reasonably detailed</w:t>
      </w:r>
      <w:r w:rsidRPr="001A3021">
        <w:rPr>
          <w:b/>
          <w:bCs/>
          <w:color w:val="EE0000"/>
        </w:rPr>
        <w:t> </w:t>
      </w:r>
      <w:r w:rsidRPr="001A3021">
        <w:rPr>
          <w:color w:val="EE0000"/>
        </w:rPr>
        <w:t>written suggestions for revisions and request Author to work cooperatively with Publisher to make the Book satisfactory to Publisher within a time period to be fixed by Publisher and such time period will be reasonably related to the requested  revisions  (and  shall be at least thirty (30) days in length in any event), in which event Author shall use Author's  best efforts to do so.</w:t>
      </w:r>
    </w:p>
    <w:p w14:paraId="69087836" w14:textId="77777777" w:rsidR="009B6B98" w:rsidRPr="001A3021" w:rsidRDefault="009B6B98" w:rsidP="009B6B98">
      <w:pPr>
        <w:pStyle w:val="BodyText"/>
        <w:numPr>
          <w:ilvl w:val="1"/>
          <w:numId w:val="2"/>
        </w:numPr>
        <w:ind w:left="0" w:firstLine="1440"/>
        <w:rPr>
          <w:rStyle w:val="eop"/>
          <w:color w:val="EE0000"/>
        </w:rPr>
      </w:pPr>
      <w:r w:rsidRPr="001A3021">
        <w:rPr>
          <w:rStyle w:val="normaltextrun"/>
          <w:color w:val="EE0000"/>
        </w:rPr>
        <w:t>If Author shall fail to revise such Book so as to render it editorially satisfactory to Publisher in accordance with subparagraph (d), then Publisher shall have the right to terminate this Agreement with respect to such Book, in which event Author may offer the rights to such Book elsewhere. If a third party publisher thereafter wishes to acquire publication rights to such Book, Author shall submit to Publisher written agreement for the repayment to Publisher of the actual amount advanced by Publisher to Author under this Agreement for such Book out of first (and all monies) to be paid to Author for such Book by such third party within eighteen (18) months from Publisher’s notice after termination of this Agreement as it pertains to such Book, and Publisher shall terminate and relinquish its rights with respect to such Book conditioned upon Author entering into an agreement with such third party for such Book, and in any event and regardless of whether Author enters into agreement with a third party for the said Book, Author agree to repay the advance for the said Book to Publisher within such eighteen (18) months from notification that the said Book is not editorially acceptable.</w:t>
      </w:r>
    </w:p>
    <w:p w14:paraId="04F88E1B" w14:textId="77777777" w:rsidR="009B6B98" w:rsidRPr="001A3021" w:rsidRDefault="009B6B98" w:rsidP="009B6B98">
      <w:pPr>
        <w:pStyle w:val="BodyText"/>
        <w:numPr>
          <w:ilvl w:val="1"/>
          <w:numId w:val="2"/>
        </w:numPr>
        <w:ind w:left="0" w:firstLine="1440"/>
        <w:rPr>
          <w:color w:val="EE0000"/>
        </w:rPr>
      </w:pPr>
      <w:r w:rsidRPr="001A3021">
        <w:rPr>
          <w:rStyle w:val="normaltextrun"/>
          <w:color w:val="EE0000"/>
        </w:rPr>
        <w:t>In no event shall Publisher engage another author to complete the Work.</w:t>
      </w:r>
    </w:p>
    <w:p w14:paraId="0D7E6FFB" w14:textId="77777777" w:rsidR="00AB7656" w:rsidRDefault="00000000">
      <w:pPr>
        <w:pStyle w:val="BodyText"/>
        <w:numPr>
          <w:ilvl w:val="0"/>
          <w:numId w:val="2"/>
        </w:numPr>
        <w:ind w:left="0" w:firstLine="720"/>
        <w:rPr>
          <w:b/>
          <w:bCs/>
        </w:rPr>
      </w:pPr>
      <w:r>
        <w:rPr>
          <w:u w:val="single"/>
        </w:rPr>
        <w:t>Editorial Changes and Proofs.</w:t>
      </w:r>
    </w:p>
    <w:p w14:paraId="469AA4B5" w14:textId="77777777" w:rsidR="00AB7656" w:rsidRDefault="00000000">
      <w:pPr>
        <w:pStyle w:val="BodyText"/>
        <w:numPr>
          <w:ilvl w:val="1"/>
          <w:numId w:val="2"/>
        </w:numPr>
        <w:ind w:left="0" w:firstLine="1440"/>
        <w:rPr>
          <w:b/>
          <w:bCs/>
        </w:rPr>
      </w:pPr>
      <w:r>
        <w:t>The Publisher may copyedit the Book in accordance with its standards of spelling, punctuation, capitalization, style, and usage.</w:t>
      </w:r>
    </w:p>
    <w:p w14:paraId="35AD9A42" w14:textId="77777777" w:rsidR="00AB7656" w:rsidRDefault="00000000">
      <w:pPr>
        <w:pStyle w:val="BodyText"/>
        <w:numPr>
          <w:ilvl w:val="1"/>
          <w:numId w:val="2"/>
        </w:numPr>
        <w:ind w:left="0" w:firstLine="1440"/>
        <w:rPr>
          <w:b/>
          <w:bCs/>
        </w:rPr>
      </w:pPr>
      <w:r>
        <w:t>No changes, other than copyediting, shall be made in the Book by Publisher without the consent of the Author. Following written</w:t>
      </w:r>
      <w:r>
        <w:rPr>
          <w:b/>
        </w:rPr>
        <w:t xml:space="preserve"> </w:t>
      </w:r>
      <w:r>
        <w:t>acceptance of the Book and in the course of preparing it for composition, Publisher shall only</w:t>
      </w:r>
      <w:r>
        <w:rPr>
          <w:b/>
        </w:rPr>
        <w:t xml:space="preserve"> </w:t>
      </w:r>
      <w:r>
        <w:t>be authorized to exercise customary editorial privileges and to make the manuscript conform to Publisher’s standard style of punctuation, spelling, capitalization and usage. The Author shall cooperate in making any reasonably</w:t>
      </w:r>
      <w:r>
        <w:rPr>
          <w:b/>
        </w:rPr>
        <w:t xml:space="preserve"> </w:t>
      </w:r>
      <w:r>
        <w:t>required corrections, approving the copyedited Book, and reading, correcting, and returning promptly all page and/or galley proofs</w:t>
      </w:r>
      <w:r>
        <w:rPr>
          <w:rFonts w:eastAsia="Garamond"/>
        </w:rPr>
        <w:t xml:space="preserve">. </w:t>
      </w:r>
      <w:r>
        <w:t>The Publisher shall furnish the Author with page proofs of the Book, including cover art and any other artwork contained in the Book. The Author shall read, revise, correct, and return all page proofs within 15 business days after their receipt. The reasonable and documented cost of alterations required or authorized by Author, other than correction of printer’s and Publisher’s errors, in excess of ten (10%) of the original cost of composition shall by promptly paid by Author unless Publisher elects to charge such cost against the earnings of Author under this Agreement. The Author shall have approval right over the final copyedited manuscript of the Book.</w:t>
      </w:r>
    </w:p>
    <w:p w14:paraId="60039C08" w14:textId="77777777" w:rsidR="00AB7656" w:rsidRDefault="00000000">
      <w:pPr>
        <w:pStyle w:val="BodyText"/>
        <w:numPr>
          <w:ilvl w:val="1"/>
          <w:numId w:val="2"/>
        </w:numPr>
        <w:ind w:left="0" w:firstLine="1440"/>
        <w:rPr>
          <w:b/>
          <w:bCs/>
        </w:rPr>
      </w:pPr>
      <w:r>
        <w:rPr>
          <w:color w:val="auto"/>
        </w:rPr>
        <w:t>The reformatting for board book edition, , text of condensation, abridgment or digest of any Book shall require the approval of the Author.</w:t>
      </w:r>
    </w:p>
    <w:p w14:paraId="0585D8BE" w14:textId="77777777" w:rsidR="00AB7656" w:rsidRDefault="00000000">
      <w:pPr>
        <w:pStyle w:val="BodyText"/>
        <w:numPr>
          <w:ilvl w:val="1"/>
          <w:numId w:val="2"/>
        </w:numPr>
        <w:ind w:left="0" w:firstLine="1440"/>
        <w:rPr>
          <w:b/>
          <w:bCs/>
        </w:rPr>
      </w:pPr>
      <w:r>
        <w:lastRenderedPageBreak/>
        <w:t>The inclusion of any Book in an anthology, final book title, back flap, author’s bio, abridgements, condensations and advertisements placed in the book, shall require the prior approval of the Author.</w:t>
      </w:r>
    </w:p>
    <w:p w14:paraId="7AD8B1D5" w14:textId="77777777" w:rsidR="00AB7656" w:rsidRDefault="00000000">
      <w:pPr>
        <w:pStyle w:val="BodyText"/>
        <w:numPr>
          <w:ilvl w:val="1"/>
          <w:numId w:val="2"/>
        </w:numPr>
        <w:ind w:left="0" w:firstLine="1440"/>
        <w:rPr>
          <w:b/>
          <w:bCs/>
        </w:rPr>
      </w:pPr>
      <w:r>
        <w:t xml:space="preserve">Author shall have consultation rights on the final illustrations, front flap copy, premium sales, the first and second serial rights, electronic and digital editions  and </w:t>
      </w:r>
      <w:r>
        <w:rPr>
          <w:color w:val="auto"/>
        </w:rPr>
        <w:t>book club edition</w:t>
      </w:r>
      <w:r>
        <w:t>s.</w:t>
      </w:r>
    </w:p>
    <w:p w14:paraId="662B3D26" w14:textId="77777777" w:rsidR="00AB7656" w:rsidRDefault="00000000">
      <w:pPr>
        <w:pStyle w:val="BodyText"/>
        <w:numPr>
          <w:ilvl w:val="0"/>
          <w:numId w:val="2"/>
        </w:numPr>
        <w:ind w:left="0" w:firstLine="720"/>
      </w:pPr>
      <w:r>
        <w:rPr>
          <w:u w:val="single"/>
        </w:rPr>
        <w:t>Illustrations</w:t>
      </w:r>
      <w:r>
        <w:t>. The Publisher shall provide an illustrator at its own cost to create illustrations, cover and book layout. The Publisher and Author shall have mutual agreement over the choice of the Illustrator, and Publisher shall meaningfully consult with Author regarding the selection of the cover illustration and the layout, yet the final decision rests solely with Publisher.</w:t>
      </w:r>
    </w:p>
    <w:p w14:paraId="23D5D5EA" w14:textId="77777777" w:rsidR="00AB7656" w:rsidRDefault="00000000">
      <w:pPr>
        <w:pStyle w:val="BodyText"/>
        <w:numPr>
          <w:ilvl w:val="0"/>
          <w:numId w:val="2"/>
        </w:numPr>
        <w:ind w:left="0" w:firstLine="720"/>
      </w:pPr>
      <w:r>
        <w:rPr>
          <w:u w:val="single"/>
        </w:rPr>
        <w:t>Publication.</w:t>
      </w:r>
    </w:p>
    <w:p w14:paraId="5D7C3631" w14:textId="77777777" w:rsidR="00AB7656" w:rsidRDefault="00000000">
      <w:pPr>
        <w:pStyle w:val="BodyText"/>
        <w:numPr>
          <w:ilvl w:val="1"/>
          <w:numId w:val="2"/>
        </w:numPr>
        <w:ind w:left="0" w:firstLine="1440"/>
      </w:pPr>
      <w:r>
        <w:t xml:space="preserve">The Publisher shall publish Book, at the Publisher's expense, in hardcover and eBook formats and styles and at the prices determined by the Publisher within four years following the execution of this agreement. The projected publication for Book is </w:t>
      </w:r>
      <w:r>
        <w:rPr>
          <w:color w:val="FF0000"/>
        </w:rPr>
        <w:t>Fall 2026</w:t>
      </w:r>
      <w:r>
        <w:t>.</w:t>
      </w:r>
    </w:p>
    <w:p w14:paraId="0137DAE2" w14:textId="77777777" w:rsidR="00AB7656" w:rsidRDefault="00000000">
      <w:pPr>
        <w:pStyle w:val="BodyText"/>
        <w:numPr>
          <w:ilvl w:val="1"/>
          <w:numId w:val="2"/>
        </w:numPr>
        <w:ind w:left="0" w:firstLine="1440"/>
      </w:pPr>
      <w:r>
        <w:t>If the Publisher is unable to publish the Book within the time frame set forth in Section 6(a) due to external events beyond the Publisher's control, the Publisher shall publish the Book no later than 6 months after onset of such circumstances.</w:t>
      </w:r>
    </w:p>
    <w:p w14:paraId="56D4C4DA" w14:textId="77777777" w:rsidR="00AB7656" w:rsidRDefault="00000000">
      <w:pPr>
        <w:pStyle w:val="BodyText"/>
        <w:numPr>
          <w:ilvl w:val="1"/>
          <w:numId w:val="2"/>
        </w:numPr>
        <w:ind w:left="0" w:firstLine="1440"/>
      </w:pPr>
      <w:r>
        <w:t>If the Publisher sells First Serial Rights in the Book, publication of the Book will occur no later than 6 months after such periodical publication.</w:t>
      </w:r>
    </w:p>
    <w:p w14:paraId="3B90B43E" w14:textId="77777777" w:rsidR="00AB7656" w:rsidRDefault="00000000">
      <w:pPr>
        <w:pStyle w:val="BodyText"/>
        <w:numPr>
          <w:ilvl w:val="1"/>
          <w:numId w:val="2"/>
        </w:numPr>
        <w:ind w:left="0" w:firstLine="1440"/>
      </w:pPr>
      <w:r>
        <w:t>If the Publisher fails to publish the Book within the time periods set forth in Sections 6(a), 6(b), or 6(c), the Author may terminate this Agreement upon written notice to the Publisher. Thereafter, all rights in the Book revert to the Author who may retain any advance payments and be paid any unpaid advances under Section 8 as liquidated damages. The Author shall not claim or institute any other damages actions, or proceedings, either legal or equitable, including specific performance, against the Publisher, provided all sums are paid and rights revert as described above.</w:t>
      </w:r>
    </w:p>
    <w:p w14:paraId="395F73AF" w14:textId="77777777" w:rsidR="00AB7656" w:rsidRDefault="00000000">
      <w:pPr>
        <w:pStyle w:val="BodyText"/>
        <w:numPr>
          <w:ilvl w:val="0"/>
          <w:numId w:val="2"/>
        </w:numPr>
        <w:ind w:left="0" w:firstLine="720"/>
        <w:rPr>
          <w:color w:val="FF0000"/>
        </w:rPr>
      </w:pPr>
      <w:r>
        <w:t>Advance. As an advance against all sums payable by the Publisher to the Author under this Agreement, the Publisher shall pay the Author the total sum of  for the Book as follows:</w:t>
      </w:r>
    </w:p>
    <w:p w14:paraId="1DE5CD27" w14:textId="77777777" w:rsidR="00AB7656" w:rsidRDefault="00000000">
      <w:pPr>
        <w:pStyle w:val="BodyText"/>
        <w:numPr>
          <w:ilvl w:val="1"/>
          <w:numId w:val="2"/>
        </w:numPr>
        <w:ind w:left="0" w:firstLine="1440"/>
      </w:pPr>
      <w:r>
        <w:t xml:space="preserve"> upon execution of this Agreement allocated;</w:t>
      </w:r>
    </w:p>
    <w:p w14:paraId="13FC1D13" w14:textId="77777777" w:rsidR="00AB7656" w:rsidRDefault="00AB7656">
      <w:pPr>
        <w:pStyle w:val="BodyText"/>
        <w:numPr>
          <w:ilvl w:val="1"/>
          <w:numId w:val="2"/>
        </w:numPr>
        <w:ind w:left="0" w:firstLine="1440"/>
        <w:rPr>
          <w:color w:val="FF0000"/>
        </w:rPr>
      </w:pPr>
    </w:p>
    <w:p w14:paraId="49F41574" w14:textId="77777777" w:rsidR="00AB7656" w:rsidRDefault="00000000">
      <w:pPr>
        <w:pStyle w:val="BodyText"/>
        <w:numPr>
          <w:ilvl w:val="1"/>
          <w:numId w:val="2"/>
        </w:numPr>
        <w:ind w:left="0" w:firstLine="1440"/>
      </w:pPr>
      <w:r>
        <w:t>The advance is not repayable to the Publisher, provided that the Author has delivered the complete manuscript of the Book in conformity with Section 3 and is not otherwise in default under this Agreement.</w:t>
      </w:r>
    </w:p>
    <w:p w14:paraId="33E7DBC8" w14:textId="77777777" w:rsidR="00AB7656" w:rsidRDefault="00000000">
      <w:pPr>
        <w:pStyle w:val="BodyText"/>
        <w:numPr>
          <w:ilvl w:val="0"/>
          <w:numId w:val="2"/>
        </w:numPr>
        <w:ind w:left="0" w:firstLine="720"/>
      </w:pPr>
      <w:r>
        <w:rPr>
          <w:u w:val="single"/>
        </w:rPr>
        <w:t>Royalties</w:t>
      </w:r>
      <w:r>
        <w:t>. The Publisher shall pay to the Author as royalties on sales the following percentages of the Book's suggested retail price:</w:t>
      </w:r>
    </w:p>
    <w:p w14:paraId="60E75CEC" w14:textId="63831016" w:rsidR="00AB7656" w:rsidRDefault="00000000">
      <w:pPr>
        <w:pStyle w:val="BodyText"/>
        <w:numPr>
          <w:ilvl w:val="1"/>
          <w:numId w:val="2"/>
        </w:numPr>
        <w:ind w:left="0" w:firstLine="1440"/>
        <w:rPr>
          <w:color w:val="FF0000"/>
        </w:rPr>
      </w:pPr>
      <w:r>
        <w:lastRenderedPageBreak/>
        <w:t xml:space="preserve">on all copies of the hardcover edition of the Book sold through regular trade outlets: (i) </w:t>
      </w:r>
      <w:r>
        <w:rPr>
          <w:color w:val="FF0000"/>
        </w:rPr>
        <w:t>10</w:t>
      </w:r>
      <w:r>
        <w:t xml:space="preserve"> % on the first </w:t>
      </w:r>
      <w:r>
        <w:rPr>
          <w:color w:val="FF0000"/>
        </w:rPr>
        <w:t>2</w:t>
      </w:r>
      <w:r w:rsidR="00505869">
        <w:rPr>
          <w:color w:val="FF0000"/>
        </w:rPr>
        <w:t>5,000</w:t>
      </w:r>
      <w:r>
        <w:t xml:space="preserve"> copies sold at a discount at or below 55% and (ii) </w:t>
      </w:r>
      <w:r>
        <w:rPr>
          <w:color w:val="FF0000"/>
        </w:rPr>
        <w:t>12</w:t>
      </w:r>
      <w:r>
        <w:t xml:space="preserve"> % on all copies over </w:t>
      </w:r>
      <w:r>
        <w:rPr>
          <w:color w:val="FF0000"/>
        </w:rPr>
        <w:t>2</w:t>
      </w:r>
      <w:r w:rsidR="00505869">
        <w:rPr>
          <w:color w:val="FF0000"/>
        </w:rPr>
        <w:t>5,000</w:t>
      </w:r>
      <w:r>
        <w:t xml:space="preserve"> at a discount at or below 55%; (iii) </w:t>
      </w:r>
      <w:r>
        <w:rPr>
          <w:color w:val="FF0000"/>
        </w:rPr>
        <w:t>12</w:t>
      </w:r>
      <w:r>
        <w:t xml:space="preserve">% on all copies sold at a discount greater than 55%; (iv) </w:t>
      </w:r>
      <w:r>
        <w:rPr>
          <w:color w:val="FF0000"/>
        </w:rPr>
        <w:t>7.5</w:t>
      </w:r>
      <w:r>
        <w:t xml:space="preserve"> % of the amount received by the publisher on all copies sold at 60% or higher discount.</w:t>
      </w:r>
    </w:p>
    <w:p w14:paraId="26E4BEB3" w14:textId="2F2AC568" w:rsidR="00AB7656" w:rsidRDefault="00000000">
      <w:pPr>
        <w:pStyle w:val="BodyText"/>
        <w:numPr>
          <w:ilvl w:val="1"/>
          <w:numId w:val="2"/>
        </w:numPr>
        <w:ind w:left="0" w:firstLine="1440"/>
        <w:rPr>
          <w:color w:val="FF0000"/>
        </w:rPr>
      </w:pPr>
      <w:r>
        <w:t xml:space="preserve">on all copies of the paperback edition of the Book sold through regular trade outlets: (i) </w:t>
      </w:r>
      <w:r>
        <w:rPr>
          <w:color w:val="FF0000"/>
        </w:rPr>
        <w:t>6</w:t>
      </w:r>
      <w:r>
        <w:t xml:space="preserve"> % on the first </w:t>
      </w:r>
      <w:r>
        <w:rPr>
          <w:color w:val="FF0000"/>
        </w:rPr>
        <w:t>25</w:t>
      </w:r>
      <w:r w:rsidR="00505869">
        <w:rPr>
          <w:color w:val="FF0000"/>
        </w:rPr>
        <w:t>,</w:t>
      </w:r>
      <w:r>
        <w:rPr>
          <w:color w:val="FF0000"/>
        </w:rPr>
        <w:t>000</w:t>
      </w:r>
      <w:r>
        <w:t xml:space="preserve"> at or below 55%; (ii) over </w:t>
      </w:r>
      <w:r>
        <w:rPr>
          <w:color w:val="FF0000"/>
        </w:rPr>
        <w:t>25</w:t>
      </w:r>
      <w:r w:rsidR="00505869">
        <w:rPr>
          <w:color w:val="FF0000"/>
        </w:rPr>
        <w:t>,</w:t>
      </w:r>
      <w:r>
        <w:rPr>
          <w:color w:val="FF0000"/>
        </w:rPr>
        <w:t>000</w:t>
      </w:r>
      <w:r>
        <w:t xml:space="preserve"> copies: </w:t>
      </w:r>
      <w:r>
        <w:rPr>
          <w:color w:val="FF0000"/>
        </w:rPr>
        <w:t>7.5</w:t>
      </w:r>
      <w:r>
        <w:t xml:space="preserve"> % at or below 55% (iii) </w:t>
      </w:r>
      <w:r>
        <w:rPr>
          <w:color w:val="FF0000"/>
        </w:rPr>
        <w:t>7.5</w:t>
      </w:r>
      <w:r>
        <w:t xml:space="preserve"> % on all copies sold at a discount greater than 55%; (iv) </w:t>
      </w:r>
      <w:r>
        <w:rPr>
          <w:color w:val="FF0000"/>
        </w:rPr>
        <w:t>6</w:t>
      </w:r>
      <w:r>
        <w:t xml:space="preserve"> % of the amount received by the publisher on all copies sold at 60% or higher discount.</w:t>
      </w:r>
    </w:p>
    <w:p w14:paraId="3074A142" w14:textId="77777777" w:rsidR="00AB7656" w:rsidRDefault="00000000">
      <w:pPr>
        <w:pStyle w:val="BodyText"/>
        <w:numPr>
          <w:ilvl w:val="1"/>
          <w:numId w:val="2"/>
        </w:numPr>
        <w:ind w:left="0" w:firstLine="1440"/>
        <w:rPr>
          <w:color w:val="FF0000"/>
        </w:rPr>
      </w:pPr>
      <w:r>
        <w:t xml:space="preserve">on copies of e-books </w:t>
      </w:r>
      <w:r>
        <w:rPr>
          <w:color w:val="FF0000"/>
        </w:rPr>
        <w:t>25</w:t>
      </w:r>
      <w:r>
        <w:t xml:space="preserve"> % of the net amount received by the Publisher. Should marketplace conditions change such that said royalty rate is below prevailing market rates, Publisher agrees to renegotiate the royalty rate at Author’s request at any time following two years after first publication of the e-book edition. Author shares this amount with the illustrator.</w:t>
      </w:r>
    </w:p>
    <w:p w14:paraId="055B3EB7" w14:textId="655FB8D5" w:rsidR="00AB7656" w:rsidRDefault="00000000">
      <w:pPr>
        <w:pStyle w:val="BodyText"/>
        <w:numPr>
          <w:ilvl w:val="0"/>
          <w:numId w:val="2"/>
        </w:numPr>
        <w:ind w:left="0" w:firstLine="720"/>
      </w:pPr>
      <w:r>
        <w:rPr>
          <w:u w:val="single"/>
        </w:rPr>
        <w:t>Subsidiary Rights Royalties</w:t>
      </w:r>
      <w:r>
        <w:t xml:space="preserve">. The Publisher shall pay to the Author as royalties the following percentages of the Publisher's net receipts (the amount actually received by the Publisher, after verifiable return credits, and excluding postage, shipping and handling costs, insurance charges, and verifiable sales taxes  and similar taxes) received from the exploitation of Subsidiary Rights, via a licensed third party who assumes the role and functions of a publisher in creating, producing, marketing and disseminating its own branded editions or excerpts of the of the Book (i.e., not a distributor, selling agent or retailer of Publisher’s editions or excepts). Upon Author’s written request, Publisher will provide the Author with copies of executed licenses. </w:t>
      </w:r>
      <w:r w:rsidR="0005617B">
        <w:t xml:space="preserve"> </w:t>
      </w:r>
    </w:p>
    <w:p w14:paraId="1881AEE0" w14:textId="6C223036" w:rsidR="00AB7656" w:rsidRDefault="00000000">
      <w:pPr>
        <w:pStyle w:val="BodyText"/>
        <w:numPr>
          <w:ilvl w:val="1"/>
          <w:numId w:val="2"/>
        </w:numPr>
        <w:ind w:left="0" w:firstLine="1440"/>
        <w:rPr>
          <w:color w:val="FF0000"/>
        </w:rPr>
      </w:pPr>
      <w:r>
        <w:t xml:space="preserve">Hardcover, paperback, and large-type reprint editions: </w:t>
      </w:r>
      <w:r w:rsidR="00505869">
        <w:t xml:space="preserve">25 </w:t>
      </w:r>
      <w:r>
        <w:t>%</w:t>
      </w:r>
    </w:p>
    <w:p w14:paraId="421E8A49" w14:textId="77777777" w:rsidR="00AB7656" w:rsidRDefault="00000000">
      <w:pPr>
        <w:pStyle w:val="BodyText"/>
        <w:numPr>
          <w:ilvl w:val="1"/>
          <w:numId w:val="2"/>
        </w:numPr>
        <w:ind w:left="0" w:firstLine="1440"/>
        <w:rPr>
          <w:color w:val="FF0000"/>
        </w:rPr>
      </w:pPr>
      <w:r>
        <w:t xml:space="preserve">Publication as selections, condensations, or abridgments in anthologies, textbook editions, and book digests: </w:t>
      </w:r>
      <w:r>
        <w:rPr>
          <w:color w:val="FF0000"/>
        </w:rPr>
        <w:t>25</w:t>
      </w:r>
      <w:r>
        <w:t xml:space="preserve"> %</w:t>
      </w:r>
    </w:p>
    <w:p w14:paraId="28ABF43A" w14:textId="77777777" w:rsidR="00AB7656" w:rsidRDefault="00000000">
      <w:pPr>
        <w:numPr>
          <w:ilvl w:val="1"/>
          <w:numId w:val="2"/>
        </w:numPr>
        <w:ind w:left="0" w:right="59" w:firstLine="1440"/>
        <w:rPr>
          <w:color w:val="FF0000"/>
        </w:rPr>
      </w:pPr>
      <w:r>
        <w:t xml:space="preserve">Book club publication: </w:t>
      </w:r>
      <w:r>
        <w:rPr>
          <w:color w:val="FF0000"/>
        </w:rPr>
        <w:t>50</w:t>
      </w:r>
      <w:r>
        <w:t xml:space="preserve"> % net income; </w:t>
      </w:r>
    </w:p>
    <w:p w14:paraId="67C52983" w14:textId="77777777" w:rsidR="00AB7656" w:rsidRDefault="00000000">
      <w:pPr>
        <w:numPr>
          <w:ilvl w:val="1"/>
          <w:numId w:val="2"/>
        </w:numPr>
        <w:ind w:left="0" w:right="59" w:firstLine="1440"/>
        <w:rPr>
          <w:color w:val="FF0000"/>
        </w:rPr>
      </w:pPr>
      <w:r>
        <w:t xml:space="preserve">First serial publication: </w:t>
      </w:r>
      <w:r>
        <w:rPr>
          <w:color w:val="FF0000"/>
        </w:rPr>
        <w:t>45</w:t>
      </w:r>
      <w:r>
        <w:t xml:space="preserve"> % if paired with illustration, </w:t>
      </w:r>
      <w:r>
        <w:rPr>
          <w:color w:val="FF0000"/>
        </w:rPr>
        <w:t>90</w:t>
      </w:r>
      <w:r>
        <w:t xml:space="preserve"> % if text only; </w:t>
      </w:r>
    </w:p>
    <w:p w14:paraId="11D67BA2" w14:textId="77777777" w:rsidR="00AB7656" w:rsidRDefault="00000000">
      <w:pPr>
        <w:numPr>
          <w:ilvl w:val="1"/>
          <w:numId w:val="2"/>
        </w:numPr>
        <w:ind w:left="0" w:right="59" w:firstLine="1440"/>
        <w:rPr>
          <w:color w:val="FF0000"/>
        </w:rPr>
      </w:pPr>
      <w:r>
        <w:t xml:space="preserve">Second serial publication: </w:t>
      </w:r>
      <w:r>
        <w:rPr>
          <w:color w:val="FF0000"/>
        </w:rPr>
        <w:t>50</w:t>
      </w:r>
      <w:r>
        <w:t xml:space="preserve"> %; </w:t>
      </w:r>
    </w:p>
    <w:p w14:paraId="6C519EAF" w14:textId="77777777" w:rsidR="00AB7656" w:rsidRDefault="00000000">
      <w:pPr>
        <w:numPr>
          <w:ilvl w:val="1"/>
          <w:numId w:val="2"/>
        </w:numPr>
        <w:ind w:left="0" w:right="59" w:firstLine="1440"/>
        <w:rPr>
          <w:color w:val="FF0000"/>
        </w:rPr>
      </w:pPr>
      <w:r>
        <w:t xml:space="preserve">Physical audiobooks : </w:t>
      </w:r>
      <w:r>
        <w:rPr>
          <w:color w:val="FF0000"/>
        </w:rPr>
        <w:t>10</w:t>
      </w:r>
      <w:r>
        <w:t xml:space="preserve"> %, digital audiobooks: </w:t>
      </w:r>
      <w:r>
        <w:rPr>
          <w:color w:val="FF0000"/>
        </w:rPr>
        <w:t>25</w:t>
      </w:r>
      <w:r>
        <w:t xml:space="preserve"> %; </w:t>
      </w:r>
    </w:p>
    <w:p w14:paraId="12419F8E" w14:textId="77777777" w:rsidR="00AB7656" w:rsidRDefault="00000000">
      <w:pPr>
        <w:numPr>
          <w:ilvl w:val="1"/>
          <w:numId w:val="2"/>
        </w:numPr>
        <w:ind w:left="0" w:right="59" w:firstLine="1440"/>
        <w:rPr>
          <w:color w:val="FF0000"/>
        </w:rPr>
      </w:pPr>
      <w:r>
        <w:t xml:space="preserve">Right to publish the Book in the UK: </w:t>
      </w:r>
      <w:r>
        <w:rPr>
          <w:color w:val="FF0000"/>
        </w:rPr>
        <w:t>80</w:t>
      </w:r>
      <w:r>
        <w:t xml:space="preserve"> %</w:t>
      </w:r>
    </w:p>
    <w:p w14:paraId="7A92C759" w14:textId="77777777" w:rsidR="00AB7656" w:rsidRDefault="00000000">
      <w:pPr>
        <w:numPr>
          <w:ilvl w:val="1"/>
          <w:numId w:val="2"/>
        </w:numPr>
        <w:ind w:left="0" w:right="59" w:firstLine="1440"/>
        <w:rPr>
          <w:color w:val="FF0000"/>
        </w:rPr>
      </w:pPr>
      <w:r>
        <w:t xml:space="preserve">Right to publish the Book in Canada: </w:t>
      </w:r>
      <w:r>
        <w:rPr>
          <w:color w:val="FF0000"/>
        </w:rPr>
        <w:t>2/3</w:t>
      </w:r>
      <w:r>
        <w:t xml:space="preserve"> of the U.S. royalty rate [for clarity, this shall be calculated off of Author’s rates described in Section 8 above; not to be shared with Illustrator]; </w:t>
      </w:r>
    </w:p>
    <w:p w14:paraId="6BF6AD72" w14:textId="77777777" w:rsidR="00AB7656" w:rsidRDefault="00000000">
      <w:pPr>
        <w:numPr>
          <w:ilvl w:val="1"/>
          <w:numId w:val="2"/>
        </w:numPr>
        <w:ind w:left="0" w:right="59" w:firstLine="1440"/>
        <w:rPr>
          <w:color w:val="FF0000"/>
        </w:rPr>
      </w:pPr>
      <w:r>
        <w:t xml:space="preserve">Export rights </w:t>
      </w:r>
      <w:r>
        <w:rPr>
          <w:color w:val="FF0000"/>
        </w:rPr>
        <w:t>2/3</w:t>
      </w:r>
      <w:r>
        <w:t xml:space="preserve"> of the prevailing U.S. rate [for clarity, this shall be calculated off of Author’s rates described in Section 8 above; not to be shared with Illustrator];</w:t>
      </w:r>
    </w:p>
    <w:p w14:paraId="7168E207" w14:textId="77777777" w:rsidR="00AB7656" w:rsidRDefault="00000000">
      <w:pPr>
        <w:numPr>
          <w:ilvl w:val="1"/>
          <w:numId w:val="2"/>
        </w:numPr>
        <w:ind w:left="0" w:right="59" w:firstLine="1440"/>
        <w:rPr>
          <w:color w:val="FF0000"/>
        </w:rPr>
      </w:pPr>
      <w:r>
        <w:lastRenderedPageBreak/>
        <w:t xml:space="preserve">Foreign translation: </w:t>
      </w:r>
      <w:r>
        <w:rPr>
          <w:color w:val="FF0000"/>
        </w:rPr>
        <w:t>70</w:t>
      </w:r>
      <w:r>
        <w:t xml:space="preserve"> %</w:t>
      </w:r>
    </w:p>
    <w:p w14:paraId="5FB40ADF" w14:textId="77777777" w:rsidR="00AB7656" w:rsidRDefault="00000000">
      <w:pPr>
        <w:pStyle w:val="BodyText"/>
        <w:numPr>
          <w:ilvl w:val="0"/>
          <w:numId w:val="2"/>
        </w:numPr>
        <w:ind w:left="0" w:firstLine="720"/>
      </w:pPr>
      <w:r>
        <w:rPr>
          <w:u w:val="single"/>
        </w:rPr>
        <w:t>No Royalties.</w:t>
      </w:r>
    </w:p>
    <w:p w14:paraId="1911EF3F" w14:textId="77777777" w:rsidR="00AB7656" w:rsidRDefault="00000000">
      <w:pPr>
        <w:pStyle w:val="BodyText"/>
        <w:numPr>
          <w:ilvl w:val="1"/>
          <w:numId w:val="2"/>
        </w:numPr>
        <w:ind w:left="0" w:firstLine="1440"/>
      </w:pPr>
      <w:r>
        <w:t>The Publisher shall pay the Author no royalties on a commercially reasonable number of copies of the Book sold to the Author, distributed for review, advertising, publicity, or sales promotion, sold at or below the cost of manufacture, or that have been damaged or destroyed.</w:t>
      </w:r>
      <w:r>
        <w:rPr>
          <w:b/>
        </w:rPr>
        <w:t xml:space="preserve"> </w:t>
      </w:r>
      <w:r>
        <w:t>Publisher will not offer to the public free downloads to the general public of the eBook Edition of the Book without the approval of the Author.</w:t>
      </w:r>
    </w:p>
    <w:p w14:paraId="6013FC62" w14:textId="77777777" w:rsidR="00AB7656" w:rsidRDefault="00000000">
      <w:pPr>
        <w:pStyle w:val="BodyText"/>
        <w:numPr>
          <w:ilvl w:val="1"/>
          <w:numId w:val="2"/>
        </w:numPr>
        <w:ind w:left="0" w:firstLine="1440"/>
      </w:pPr>
      <w:r>
        <w:t>On copies of any format sold at or higher than 75% discounts.</w:t>
      </w:r>
    </w:p>
    <w:p w14:paraId="79C613CA" w14:textId="77777777" w:rsidR="00AB7656" w:rsidRDefault="00000000">
      <w:pPr>
        <w:pStyle w:val="BodyText"/>
        <w:numPr>
          <w:ilvl w:val="1"/>
          <w:numId w:val="2"/>
        </w:numPr>
        <w:ind w:left="0" w:firstLine="1440"/>
      </w:pPr>
      <w:r>
        <w:t>Licensing publication of the Book without fee in Braille (or similar tactile symbols), or by mechanical audio recordings or visual recordings, solely for the blind and other physically handicapped persons.</w:t>
      </w:r>
    </w:p>
    <w:p w14:paraId="3EF22491" w14:textId="77777777" w:rsidR="00AB7656" w:rsidRDefault="00000000">
      <w:pPr>
        <w:pStyle w:val="BodyText"/>
        <w:numPr>
          <w:ilvl w:val="1"/>
          <w:numId w:val="2"/>
        </w:numPr>
        <w:ind w:left="0" w:firstLine="1440"/>
      </w:pPr>
      <w:r>
        <w:t>Publishing or permitting others to publish or non-dramatic</w:t>
      </w:r>
      <w:r>
        <w:rPr>
          <w:rFonts w:eastAsia="Garamond"/>
        </w:rPr>
        <w:t xml:space="preserve"> </w:t>
      </w:r>
      <w:r>
        <w:t>broadcast (it being understood that Publisher may use spoken dialogue in any advertisements of the Book)</w:t>
      </w:r>
      <w:r>
        <w:rPr>
          <w:rFonts w:eastAsia="Garamond"/>
          <w:b/>
        </w:rPr>
        <w:t xml:space="preserve"> </w:t>
      </w:r>
      <w:r>
        <w:t>by radio or television brief selections from the Book, for publicity and promotion purposes only, in a manner which in the opinion of the Publisher would benefit its sale, provided such rights do not conflict with the rights acquired by the purchaser (if any) of the performance rights (e.g., motion picture, television, stage play rights.</w:t>
      </w:r>
    </w:p>
    <w:p w14:paraId="6A71B600" w14:textId="77777777" w:rsidR="00AB7656" w:rsidRDefault="00000000">
      <w:pPr>
        <w:pStyle w:val="BodyText"/>
        <w:numPr>
          <w:ilvl w:val="1"/>
          <w:numId w:val="2"/>
        </w:numPr>
        <w:ind w:left="0" w:firstLine="1440"/>
      </w:pPr>
      <w:r>
        <w:t>Adapting and using, and/or permitting others to adapt and use, any portion of any Book, whether alone or in conjunction with the matter, in non-revenue-generating digital formats, media and technologies such as by way of example only, Amazon’s Look Inside the Book and Search Inside the Book programs, Google Book Search and Print program, or comparable programs in any media now known or hereinafter devised.</w:t>
      </w:r>
      <w:r>
        <w:rPr>
          <w:rFonts w:eastAsia="Garamond"/>
          <w:b/>
        </w:rPr>
        <w:t xml:space="preserve"> </w:t>
      </w:r>
      <w:r>
        <w:t>Each such portion not to exceed ten percent (10%) of the Book. Such 10% limitation shall not apply to a single-access use of the Book in such “look-up database” (</w:t>
      </w:r>
      <w:r>
        <w:rPr>
          <w:i/>
        </w:rPr>
        <w:t>e.g.</w:t>
      </w:r>
      <w:r>
        <w:t>, Amazon’s “Look Inside the Book” and “Search Inside the Book”; “Google Book Search and Print”; etc.).</w:t>
      </w:r>
    </w:p>
    <w:p w14:paraId="27600A59" w14:textId="77777777" w:rsidR="00AB7656" w:rsidRDefault="00000000">
      <w:pPr>
        <w:pStyle w:val="BodyText"/>
        <w:numPr>
          <w:ilvl w:val="0"/>
          <w:numId w:val="2"/>
        </w:numPr>
        <w:ind w:left="0" w:firstLine="720"/>
      </w:pPr>
      <w:r>
        <w:rPr>
          <w:u w:val="single"/>
        </w:rPr>
        <w:t>Accounting and Payments.</w:t>
      </w:r>
    </w:p>
    <w:p w14:paraId="3867070D" w14:textId="77777777" w:rsidR="006A7A10" w:rsidRDefault="00000000" w:rsidP="006A7A10">
      <w:pPr>
        <w:pStyle w:val="BodyText"/>
        <w:numPr>
          <w:ilvl w:val="1"/>
          <w:numId w:val="2"/>
        </w:numPr>
        <w:ind w:left="0" w:firstLine="1440"/>
      </w:pPr>
      <w:r>
        <w:t>Following publication, Publisher shall account to Author on the basis of each six (6) month period ending on June 30th or December 31st of each year (called the "</w:t>
      </w:r>
      <w:r w:rsidRPr="006A7A10">
        <w:rPr>
          <w:b/>
        </w:rPr>
        <w:t>Accounting Period</w:t>
      </w:r>
      <w:r>
        <w:t xml:space="preserve">"). Within ninety (90) days following the end of each Accounting Period, Publisher shall furnish Author a statement showing royalties payable for such period </w:t>
      </w:r>
      <w:r w:rsidR="006A7A10" w:rsidRPr="006A7A10">
        <w:rPr>
          <w:color w:val="EE0000"/>
        </w:rPr>
        <w:t>after a 15% reserve for returns</w:t>
      </w:r>
      <w:r w:rsidR="006A7A10" w:rsidRPr="006A7A10">
        <w:rPr>
          <w:color w:val="EE0000"/>
        </w:rPr>
        <w:t xml:space="preserve"> </w:t>
      </w:r>
      <w:r>
        <w:t xml:space="preserve">reserve for returns, and at the same time shall pay the amount thus shown to be payable. If the Book is published during the last two months of an Accounting Period, Publisher need not make payment until the end of the next following Accounting Period, which payment shall cover the entire time from the date of publication. If the amount payable to Author for any Accounting Period is less than fifty dollars ($50.00), then Publisher shall furnish a statement but need not make payment until ninety (90) days following the end of the Accounting Period when such amount, cumulatively, is fifty dollars ($50.00) or more. If the aggregate amount of accrued Royalties in any two subsequent Accounting Period is less than fifty (50) dollars, the Author may </w:t>
      </w:r>
      <w:r>
        <w:lastRenderedPageBreak/>
        <w:t xml:space="preserve">make a written request to receive outstanding earned royalties. The Publisher may take a credit against amounts payable to the Author for any returns for which royalties have been previously paid. </w:t>
      </w:r>
    </w:p>
    <w:p w14:paraId="1C810AAE" w14:textId="4690B470" w:rsidR="00AB7656" w:rsidRDefault="00000000" w:rsidP="006A7A10">
      <w:pPr>
        <w:pStyle w:val="BodyText"/>
        <w:numPr>
          <w:ilvl w:val="1"/>
          <w:numId w:val="2"/>
        </w:numPr>
        <w:ind w:left="0" w:firstLine="1440"/>
      </w:pPr>
      <w:r>
        <w:t>Upon written request, Author or Author’s duly authorized representative may, upon reasonable notice and during Publisher’s regular business hours (but not more than once during any twelve (12) month period), examine and make copies of Publisher’s books of account insofar as they relate to the Book. Such examination shall be at Author’s expense unless errors of accounting are found to be more than five percent (5%) (in Author’s favor) of the total amount owed to Author, in which event Publisher shall bear the reasonable expense incurred for such examination up to the amount of the error. Transactions accounted for by Publisher hereunder shall be deemed conclusively accurate unless challenged by Author by written notification to Publisher, with supporting details, within forty-eight (48) months from the date of the first statement reflecting such transactions (and cumulative totals shall not be deemed to extend such forty-eight (48) month period.</w:t>
      </w:r>
    </w:p>
    <w:p w14:paraId="1D836CE3" w14:textId="77777777" w:rsidR="00AB7656" w:rsidRDefault="00000000">
      <w:pPr>
        <w:pStyle w:val="BodyText"/>
        <w:numPr>
          <w:ilvl w:val="1"/>
          <w:numId w:val="2"/>
        </w:numPr>
        <w:ind w:left="0" w:firstLine="1440"/>
      </w:pPr>
      <w:r>
        <w:t>If Author receives any overpayment under this Agreement, Publisher may deduct such excess from any other sums payable to Author under this Agreement. The term "overpayment” as used in this subparagraph does not include unearned advances.</w:t>
      </w:r>
    </w:p>
    <w:p w14:paraId="55F4F25E" w14:textId="77777777" w:rsidR="00AB7656" w:rsidRDefault="00000000">
      <w:pPr>
        <w:pStyle w:val="BodyText"/>
        <w:numPr>
          <w:ilvl w:val="1"/>
          <w:numId w:val="2"/>
        </w:numPr>
        <w:ind w:left="0" w:firstLine="1440"/>
      </w:pPr>
      <w:r>
        <w:t>Subject to Section 11, upon the Author’s written request, to be made no more than once per royalty accounting period following the Author’s receipt of a royalty statement, Publisher agrees to supply the following information for each Book: total number of copies of the Book printed, shipped, returned, and in current inventory, and the current reserve held against future returns. Publisher acknowledges that though there may be returns of the eBook Edition of any Book reported in any accounting period, Publisher will not hold a reserve against returns for sales of such edition. With respect to eBook Edition sales of each Book, the Author may also reasonably request details about Publisher’s deductions from or other charges Publisher applies against the amounts received by Publisher for such sales.</w:t>
      </w:r>
      <w:r>
        <w:rPr>
          <w:rFonts w:eastAsia="Garamond"/>
        </w:rPr>
        <w:t xml:space="preserve"> </w:t>
      </w:r>
      <w:r>
        <w:t>The Publisher shall pay to the Author the amount of the error together with any reimbursement for the cost of the audit within thirty (90) days following such examination.</w:t>
      </w:r>
    </w:p>
    <w:p w14:paraId="3102D8F1" w14:textId="77777777" w:rsidR="00AB7656" w:rsidRDefault="00000000">
      <w:pPr>
        <w:pStyle w:val="BodyText"/>
        <w:numPr>
          <w:ilvl w:val="0"/>
          <w:numId w:val="2"/>
        </w:numPr>
        <w:ind w:left="0" w:firstLine="720"/>
      </w:pPr>
      <w:r>
        <w:rPr>
          <w:u w:val="single"/>
        </w:rPr>
        <w:t xml:space="preserve">Confidentiality. </w:t>
      </w:r>
      <w:r>
        <w:t xml:space="preserve">Author recognizes that they may from time to time possess certain confidential information about Publisher’s business, including, but not limited to, sales documents, data, records, and other information from time to time deemed to be confidential or which should reasonably be considered confidential. Therefore, Author agrees that they will hold all such information in confidence and will not divulge such information to any person (other than for use under this Agreement or to Agent, Author’s attorney or Author’s accountant) without the express written consent of Publisher. Confidential information shall not include any information (1) known by Author prior to the Agreement; (2) which becomes public knowledge solely through no action or inaction by Author; and (3) directed to be disclosed by law or lawful order. Author also agrees that they will adopt reasonable precautions to guard against unauthorized release of such information, and that they will not use such information in any manner that will unfairly benefit themselves or damage Publisher. </w:t>
      </w:r>
    </w:p>
    <w:p w14:paraId="55495264" w14:textId="77777777" w:rsidR="00AB7656" w:rsidRDefault="00000000">
      <w:pPr>
        <w:pStyle w:val="BodyText"/>
        <w:numPr>
          <w:ilvl w:val="0"/>
          <w:numId w:val="2"/>
        </w:numPr>
        <w:ind w:left="0" w:firstLine="720"/>
      </w:pPr>
      <w:r>
        <w:lastRenderedPageBreak/>
        <w:t xml:space="preserve">US Copyright. Publisher shall register the Book for copyright in the United States in the name of Author, </w:t>
      </w:r>
      <w:r>
        <w:rPr>
          <w:color w:val="FF0000"/>
        </w:rPr>
        <w:t>Benjamin Gillenwater</w:t>
      </w:r>
      <w:r>
        <w:t>, within three (3) months of initial publication of the Book and to print a copyright notice in every copy of the Book in accordance with the U.S. Copyright Act of 1976 and the Universal Copyright Convention.  Publisher agrees that any license it grants to reproduce and distribute copies of the Book shall contain a condition requiring the licensee to include the aforesaid notice in all copies. All rights to any material provided by Publisher shall belong to Publisher and Publisher may register copyright therein in the name of Publisher or any other name as Publisher shall deem appropriate. Any textual, illustrative, or other material prepared for the Book by the Publisher at its expense may be copyrighted separately as the Publisher deems appropriate. Both parties shall execute all papers and documents required to protect, assign, record, renew, or otherwise effectuate the rights contained in this Section. Publisher shall provide the Author with a copy of the final Copyright Registration Certificate upon Author’s request.</w:t>
      </w:r>
    </w:p>
    <w:p w14:paraId="78EAB30C" w14:textId="77777777" w:rsidR="00AB7656" w:rsidRDefault="00000000">
      <w:pPr>
        <w:pStyle w:val="BodyText"/>
        <w:numPr>
          <w:ilvl w:val="0"/>
          <w:numId w:val="2"/>
        </w:numPr>
        <w:ind w:left="0" w:firstLine="720"/>
      </w:pPr>
      <w:r>
        <w:rPr>
          <w:u w:val="single"/>
        </w:rPr>
        <w:t>Copyright Infringement</w:t>
      </w:r>
      <w:r>
        <w:t>. In case of any infringement of the Book by others, the Publisher may in its discretion sue or employ such remedies as it deems expedient, and all such suits or proceedings shall be at the joint expense of the Author and the Publisher, and the net proceeds of any recovery shall be divided equally between them, but the Author shall not be liable for any expenditure for such purposes in excess of $50,000 undertaken by the Publisher without the Author's previous consent in writing. If the Author does not consent to all expenditures for such purposes, any recovery shall be divided between the Publisher and the Author in the ratio of their respective expenditures for such purposes.</w:t>
      </w:r>
      <w:r>
        <w:rPr>
          <w:rFonts w:eastAsia="Garamond"/>
          <w:b/>
        </w:rPr>
        <w:t xml:space="preserve"> </w:t>
      </w:r>
      <w:r>
        <w:rPr>
          <w:rFonts w:eastAsia="Garamond"/>
        </w:rPr>
        <w:t>Should Publisher</w:t>
      </w:r>
      <w:r>
        <w:t xml:space="preserve"> decline to bring an action or proceeding within thirty (3) days of written request from Author, Author shall have the right to bring such action or proceeding solely, at Author’s sole expense, and any resulting proceed shall be retained entirely by Author. If the party bringing the action does not hold the title of the copyright, the other party will transfer and permit the recordation of such copyright ownership as will permit the former to bring the action in its own name. Such record title shall be transferred back to the original owner at the conclusion of such action.</w:t>
      </w:r>
    </w:p>
    <w:p w14:paraId="5EE3C2B4" w14:textId="2B6574BF" w:rsidR="00AB7656" w:rsidRDefault="00000000">
      <w:pPr>
        <w:pStyle w:val="NormalWeb"/>
        <w:numPr>
          <w:ilvl w:val="0"/>
          <w:numId w:val="2"/>
        </w:numPr>
        <w:shd w:val="clear" w:color="auto" w:fill="FFFFFF"/>
        <w:ind w:left="0" w:firstLine="810"/>
        <w:rPr>
          <w:rFonts w:asciiTheme="majorBidi" w:hAnsiTheme="majorBidi" w:cstheme="majorBidi"/>
          <w:b/>
          <w:bCs/>
          <w:color w:val="FF0000"/>
        </w:rPr>
      </w:pPr>
      <w:r>
        <w:t xml:space="preserve">Author's Free Copies of the Book. The Publisher shall give the Author </w:t>
      </w:r>
      <w:r w:rsidR="00505869" w:rsidRPr="00505869">
        <w:rPr>
          <w:color w:val="EE0000"/>
        </w:rPr>
        <w:t>25</w:t>
      </w:r>
      <w:r w:rsidR="00505869">
        <w:t xml:space="preserve"> </w:t>
      </w:r>
      <w:r>
        <w:t xml:space="preserve">free copies of printed editions of </w:t>
      </w:r>
      <w:r w:rsidR="00505869">
        <w:t xml:space="preserve">the </w:t>
      </w:r>
      <w:r>
        <w:t xml:space="preserve">Book.  The Author’s copies shall be mailed to: </w:t>
      </w:r>
      <w:r>
        <w:rPr>
          <w:color w:val="FF0000"/>
        </w:rPr>
        <w:t>Benjamin Gillenwater</w:t>
      </w:r>
      <w:r>
        <w:t xml:space="preserve">, </w:t>
      </w:r>
      <w:r>
        <w:rPr>
          <w:color w:val="FF0000"/>
        </w:rPr>
        <w:t>2976 E State St, #120-2078</w:t>
      </w:r>
      <w:r>
        <w:t xml:space="preserve">, </w:t>
      </w:r>
      <w:r>
        <w:rPr>
          <w:color w:val="FF0000"/>
        </w:rPr>
        <w:t>Eagle</w:t>
      </w:r>
      <w:r>
        <w:t xml:space="preserve"> </w:t>
      </w:r>
      <w:r>
        <w:rPr>
          <w:color w:val="FF0000"/>
        </w:rPr>
        <w:t>Idaho</w:t>
      </w:r>
      <w:r>
        <w:t xml:space="preserve"> </w:t>
      </w:r>
      <w:r>
        <w:rPr>
          <w:color w:val="FF0000"/>
        </w:rPr>
        <w:t>83616</w:t>
      </w:r>
      <w:r>
        <w:t xml:space="preserve"> . Should Publisher publish the audiobook exclusively in a digitally delivered format, Publisher shall provide two (2) free copies of the digitally delivered audiobook to the Author. The Author may purchase additional copies for personal use and not for re-sale at one-half (½) the cover price. The Author will be billed for these copies and payment shall be made prior to shipping unless the Author’s royalty account has sufficient excess royalties accrued over and above the advance payable to the Author so that these charges can be recouped from the Author’s royalty account.  Publisher will use best efforts to provide the Author with two (2) free copies of licensed editions of each Book, if available. If, at the time of publication, Publisher is able to provide a protected copy of Publisher’s eBook Edition of Book to the Author, then the Author shall be entitled to receive two (2) free copies of such eBook Edition of Book.</w:t>
      </w:r>
    </w:p>
    <w:p w14:paraId="62B14A3B" w14:textId="77777777" w:rsidR="00AB7656" w:rsidRDefault="00AB7656">
      <w:pPr>
        <w:pStyle w:val="NormalWeb"/>
        <w:shd w:val="clear" w:color="auto" w:fill="FFFFFF"/>
        <w:spacing w:before="0" w:beforeAutospacing="0" w:after="0" w:afterAutospacing="0"/>
        <w:rPr>
          <w:b/>
          <w:bCs/>
          <w:color w:val="2C363A"/>
        </w:rPr>
      </w:pPr>
    </w:p>
    <w:p w14:paraId="4679A747" w14:textId="77777777" w:rsidR="00AB7656" w:rsidRDefault="00000000">
      <w:pPr>
        <w:numPr>
          <w:ilvl w:val="0"/>
          <w:numId w:val="2"/>
        </w:numPr>
        <w:shd w:val="clear" w:color="auto" w:fill="FFFFFF"/>
        <w:spacing w:after="240" w:line="250" w:lineRule="auto"/>
        <w:ind w:left="0" w:right="58" w:firstLine="720"/>
        <w:rPr>
          <w:b/>
          <w:bCs/>
          <w:color w:val="2C363A"/>
        </w:rPr>
      </w:pPr>
      <w:r>
        <w:rPr>
          <w:u w:val="single"/>
        </w:rPr>
        <w:t>Author's Representations and Warranties</w:t>
      </w:r>
      <w:r>
        <w:t>. The Author represents and warrants to the Publisher that</w:t>
      </w:r>
    </w:p>
    <w:p w14:paraId="44133392" w14:textId="77777777" w:rsidR="00AB7656" w:rsidRDefault="00000000">
      <w:pPr>
        <w:numPr>
          <w:ilvl w:val="1"/>
          <w:numId w:val="2"/>
        </w:numPr>
        <w:shd w:val="clear" w:color="auto" w:fill="FFFFFF"/>
        <w:spacing w:after="240" w:line="250" w:lineRule="auto"/>
        <w:ind w:left="0" w:right="58" w:firstLine="1440"/>
        <w:rPr>
          <w:b/>
          <w:bCs/>
          <w:color w:val="2C363A"/>
        </w:rPr>
      </w:pPr>
      <w:r>
        <w:lastRenderedPageBreak/>
        <w:t>the Author is the sole author of the Book and sole owner of the rights granted in this Agreement, has not assigned, pledged, or otherwise encumbered them, and has the full right, power, and authority to enter into this Agreement and convey the rights granted to the Publisher; (b)</w:t>
      </w:r>
      <w:r>
        <w:rPr>
          <w:rFonts w:eastAsia="Arial"/>
        </w:rPr>
        <w:t xml:space="preserve"> </w:t>
      </w:r>
      <w:r>
        <w:t>the Book is original, not in the public domain, and previously unpublished; (c)</w:t>
      </w:r>
      <w:r>
        <w:rPr>
          <w:rFonts w:eastAsia="Arial"/>
        </w:rPr>
        <w:t xml:space="preserve"> </w:t>
      </w:r>
      <w:r>
        <w:t>to the Author's knowledge, the Book:</w:t>
      </w:r>
    </w:p>
    <w:p w14:paraId="2FAE4DA5" w14:textId="77777777" w:rsidR="00AB7656" w:rsidRDefault="00000000">
      <w:pPr>
        <w:numPr>
          <w:ilvl w:val="2"/>
          <w:numId w:val="2"/>
        </w:numPr>
        <w:shd w:val="clear" w:color="auto" w:fill="FFFFFF"/>
        <w:spacing w:after="240" w:line="250" w:lineRule="auto"/>
        <w:ind w:left="2610" w:right="0" w:hanging="450"/>
        <w:rPr>
          <w:b/>
          <w:bCs/>
          <w:color w:val="2C363A"/>
        </w:rPr>
      </w:pPr>
      <w:r>
        <w:t>does not infringe upon or violate any copyright, trademark, or trade secret of others; and</w:t>
      </w:r>
    </w:p>
    <w:p w14:paraId="4CE5721B" w14:textId="77777777" w:rsidR="00AB7656" w:rsidRDefault="00000000">
      <w:pPr>
        <w:numPr>
          <w:ilvl w:val="2"/>
          <w:numId w:val="2"/>
        </w:numPr>
        <w:shd w:val="clear" w:color="auto" w:fill="FFFFFF"/>
        <w:spacing w:after="240" w:line="250" w:lineRule="auto"/>
        <w:ind w:left="2606" w:right="58" w:hanging="446"/>
        <w:rPr>
          <w:b/>
          <w:bCs/>
          <w:color w:val="2C363A"/>
        </w:rPr>
      </w:pPr>
      <w:r>
        <w:t>contains no material that is obscene, libelous, in violation of any right of privacy or publicity, or harmful so as to subject the Publisher to liability to any third party, or otherwise contrary to law. All statements in the Book asserted as facts are true and based on the Author's investigation and generally accepted research practices to confirm their accuracy.</w:t>
      </w:r>
    </w:p>
    <w:p w14:paraId="1957545F" w14:textId="77777777" w:rsidR="00AB7656" w:rsidRDefault="00000000">
      <w:pPr>
        <w:numPr>
          <w:ilvl w:val="0"/>
          <w:numId w:val="2"/>
        </w:numPr>
        <w:shd w:val="clear" w:color="auto" w:fill="FFFFFF"/>
        <w:spacing w:after="240" w:line="250" w:lineRule="auto"/>
        <w:ind w:left="0" w:right="58" w:firstLine="720"/>
        <w:rPr>
          <w:b/>
          <w:bCs/>
          <w:color w:val="2C363A"/>
        </w:rPr>
      </w:pPr>
      <w:r>
        <w:rPr>
          <w:u w:val="single"/>
        </w:rPr>
        <w:t>Indemnification.</w:t>
      </w:r>
    </w:p>
    <w:p w14:paraId="464C7CD4" w14:textId="77777777" w:rsidR="00AB7656" w:rsidRDefault="00000000">
      <w:pPr>
        <w:numPr>
          <w:ilvl w:val="1"/>
          <w:numId w:val="2"/>
        </w:numPr>
        <w:shd w:val="clear" w:color="auto" w:fill="FFFFFF"/>
        <w:spacing w:after="240" w:line="250" w:lineRule="auto"/>
        <w:ind w:left="0" w:right="58" w:firstLine="1440"/>
        <w:rPr>
          <w:b/>
          <w:bCs/>
          <w:color w:val="2C363A"/>
        </w:rPr>
      </w:pPr>
      <w:r>
        <w:t>In the event of the assertion of any claim, action or proceeding   inconsistent with any of the foregoing representations and warranties, (a) the Publisher shall have the right to defend the same through counsel of its own choosing, and (b) the Author may join any such action with counsel of his own  selection at his own expense, and (c) the Author shall fully cooperate in the Publisher's defense and shall indemnify and hold harmless the Publisher, any seller or distributor of the Book, and/or any works of authorship in which the Book is embodied in whole or in part, and the Publisher's successors, licensees and assigns, and any officers, agents and employees of the foregoing, from and  against any and all liability, damage, loss, expense (including reasonable attorney's fees to the extent provided below) and settlement costs, resulting from any such claim, action or proceeding, provided that no settlement covered by this indemnity shall be effected by the Publisher at Author's expense without the prior written consent of the Author, which consent shall not be unreasonably withheld.</w:t>
      </w:r>
    </w:p>
    <w:p w14:paraId="7F5DB351" w14:textId="77777777" w:rsidR="00AB7656" w:rsidRDefault="00000000">
      <w:pPr>
        <w:numPr>
          <w:ilvl w:val="1"/>
          <w:numId w:val="2"/>
        </w:numPr>
        <w:shd w:val="clear" w:color="auto" w:fill="FFFFFF"/>
        <w:spacing w:after="240" w:line="250" w:lineRule="auto"/>
        <w:ind w:left="0" w:right="58" w:firstLine="1440"/>
        <w:rPr>
          <w:b/>
          <w:bCs/>
          <w:color w:val="2C363A"/>
        </w:rPr>
      </w:pPr>
      <w:r>
        <w:t xml:space="preserve">If such claim, action or proceeding is successfully defended, or settled as provided above, the Author and the Publisher will share in paying the cost of the Publisher's attorney's fees equally; </w:t>
      </w:r>
      <w:r>
        <w:rPr>
          <w:i/>
          <w:iCs/>
        </w:rPr>
        <w:t>if, however</w:t>
      </w:r>
      <w:r>
        <w:t>, such claim, action or proceeding results in a final judgment or decree against the Publisher, the Author will be responsible for the entire amount of such reasonable outside attorneys’ fees and the full amount of the judgment or decree. If the Author desires to settle such claim, action or proceeding and the Publisher decides to continue the defense thereof, the Author's liability under the foregoing indemnity shall be limited to the bona fide settlement amount (evidenced in writing) in respect to such claim, action or proceeding against the Publisher plus one-half (1/2) of the Publisher's reasonable attorney's fees incurred up to the time that the claimant and the Author agreed upon the amount.</w:t>
      </w:r>
    </w:p>
    <w:p w14:paraId="48B5369E" w14:textId="77777777" w:rsidR="00AB7656" w:rsidRDefault="00000000">
      <w:pPr>
        <w:numPr>
          <w:ilvl w:val="1"/>
          <w:numId w:val="2"/>
        </w:numPr>
        <w:shd w:val="clear" w:color="auto" w:fill="FFFFFF"/>
        <w:spacing w:after="240" w:line="250" w:lineRule="auto"/>
        <w:ind w:left="0" w:right="58" w:firstLine="1440"/>
        <w:rPr>
          <w:b/>
          <w:bCs/>
          <w:color w:val="2C363A"/>
        </w:rPr>
      </w:pPr>
      <w:r>
        <w:t xml:space="preserve">If any such claim, action or proceeding is threatened or instituted, the Publisher shall promptly notify the Author and, in the Publisher's sole discretion, may withhold payments reasonably related to the size of the claim and the good faith  anticipated costs of defense due the Author under this agreement between the Publisher and the Author, subject to the Author’s </w:t>
      </w:r>
      <w:r>
        <w:lastRenderedPageBreak/>
        <w:t>right to draw on such sums to defray expenses of the Publisher in defending such claim, action or proceeding (to the extent covered by this indemnity) and to satisfy and discharge any judgment or decree rendered. If a claim does not result in the commencement of legal procedure including litigation, mediation, arbitration or settlement process, within twelve (12) months following its initial assertion, Publisher will release to the Author all amounts which it has been withholding for that claim. In the event that judgment or decree shall be entered in any court based upon any such claim, action or proceeding and the Author shall desire to appeal, the Author shall indemnify and  hold harmless the Publisher, any seller or distributor of the Book, and the Publisher’s successors, licensees and assigns, and any officers, agents and employees of the foregoing, from and against any and all liability, damage, loss, and expense (including all attorneys' fees) on account of such appeal and shall furnish and file all bonds necessary to perfect said appeal and to stay execution of any such judgment or decree. If a final adverse judgment or decree is rendered in such action or proceeding and is not promptly paid, bonded, or stayed by the Author, or if costs and expenses (including attorney's fees) covered by the foregoing indemnity are not promptly paid by the Author, the Publisher may apply the payments so withheld to the satisfaction and discharge of such judgment or decree and the payment of such costs and expenses.</w:t>
      </w:r>
    </w:p>
    <w:p w14:paraId="6AFD1F8A" w14:textId="77777777" w:rsidR="00AB7656" w:rsidRDefault="00000000">
      <w:pPr>
        <w:numPr>
          <w:ilvl w:val="1"/>
          <w:numId w:val="2"/>
        </w:numPr>
        <w:shd w:val="clear" w:color="auto" w:fill="FFFFFF"/>
        <w:spacing w:after="240" w:line="250" w:lineRule="auto"/>
        <w:ind w:left="0" w:right="58" w:firstLine="1440"/>
        <w:rPr>
          <w:b/>
          <w:bCs/>
          <w:color w:val="2C363A"/>
        </w:rPr>
      </w:pPr>
      <w:r>
        <w:t>Irrespective of the foregoing, the Publisher shall have the right at any time on its own behalf and expense to settle any such claim, action or proceeding without the Author’s consent.</w:t>
      </w:r>
    </w:p>
    <w:p w14:paraId="0BAFF0AA" w14:textId="77777777" w:rsidR="00AB7656" w:rsidRDefault="00000000">
      <w:pPr>
        <w:numPr>
          <w:ilvl w:val="1"/>
          <w:numId w:val="2"/>
        </w:numPr>
        <w:shd w:val="clear" w:color="auto" w:fill="FFFFFF"/>
        <w:spacing w:after="240" w:line="250" w:lineRule="auto"/>
        <w:ind w:left="0" w:right="58" w:firstLine="1440"/>
        <w:rPr>
          <w:b/>
          <w:bCs/>
          <w:color w:val="2C363A"/>
        </w:rPr>
      </w:pPr>
      <w:r>
        <w:t>Author’s warranties and indemnities do not extend to any materials added by Publisher to any edition of the Book or used by Publisher in connection with any advertising or promotion of the Book. Publisher will indemnify Author against such claims.</w:t>
      </w:r>
    </w:p>
    <w:p w14:paraId="77B0633A" w14:textId="77777777" w:rsidR="00AB7656" w:rsidRDefault="00000000">
      <w:pPr>
        <w:numPr>
          <w:ilvl w:val="0"/>
          <w:numId w:val="2"/>
        </w:numPr>
        <w:shd w:val="clear" w:color="auto" w:fill="FFFFFF"/>
        <w:spacing w:after="240" w:line="250" w:lineRule="auto"/>
        <w:ind w:left="0" w:right="58" w:firstLine="720"/>
        <w:rPr>
          <w:b/>
          <w:bCs/>
          <w:color w:val="2C363A"/>
        </w:rPr>
      </w:pPr>
      <w:r>
        <w:rPr>
          <w:u w:val="single"/>
        </w:rPr>
        <w:t>Non-compete</w:t>
      </w:r>
      <w:r>
        <w:t>. For 24 months after the first publication of the US trade hardcover edition of the Book in the English language, the Author shall not, without the Publisher’s written permission, publish, or authorize to be published any full-length work of picture book fiction for ages 4-8 that is substantially similar to the Book, including the same characters and universe specifically intended for the same age group/audience to compete with the Book in the marketplace, and which would directly injure sales of the Book. Any option work not exercised by the Publisher shall not be deemed a competing work.</w:t>
      </w:r>
    </w:p>
    <w:p w14:paraId="44DB8E1F" w14:textId="77777777" w:rsidR="00AB7656" w:rsidRDefault="00000000">
      <w:pPr>
        <w:numPr>
          <w:ilvl w:val="0"/>
          <w:numId w:val="2"/>
        </w:numPr>
        <w:shd w:val="clear" w:color="auto" w:fill="FFFFFF"/>
        <w:spacing w:after="240" w:line="250" w:lineRule="auto"/>
        <w:ind w:left="0" w:right="58" w:firstLine="720"/>
        <w:rPr>
          <w:b/>
          <w:bCs/>
          <w:color w:val="2C363A"/>
        </w:rPr>
      </w:pPr>
      <w:r>
        <w:rPr>
          <w:u w:val="single"/>
        </w:rPr>
        <w:t>Termination.</w:t>
      </w:r>
    </w:p>
    <w:p w14:paraId="35E82463" w14:textId="77777777" w:rsidR="00AB7656" w:rsidRDefault="00000000">
      <w:pPr>
        <w:numPr>
          <w:ilvl w:val="1"/>
          <w:numId w:val="2"/>
        </w:numPr>
        <w:shd w:val="clear" w:color="auto" w:fill="FFFFFF"/>
        <w:spacing w:after="240" w:line="250" w:lineRule="auto"/>
        <w:ind w:left="0" w:right="0" w:firstLine="1440"/>
        <w:rPr>
          <w:b/>
          <w:bCs/>
          <w:color w:val="2C363A"/>
        </w:rPr>
      </w:pPr>
      <w:r>
        <w:t>The Author may terminate this Agreement upon written notice to the Publisher if the Publisher:</w:t>
      </w:r>
    </w:p>
    <w:p w14:paraId="25C8BDBD" w14:textId="77777777" w:rsidR="00AB7656" w:rsidRDefault="00000000">
      <w:pPr>
        <w:numPr>
          <w:ilvl w:val="2"/>
          <w:numId w:val="2"/>
        </w:numPr>
        <w:shd w:val="clear" w:color="auto" w:fill="FFFFFF"/>
        <w:spacing w:after="240" w:line="250" w:lineRule="auto"/>
        <w:ind w:left="2610" w:right="0" w:hanging="450"/>
        <w:rPr>
          <w:b/>
          <w:bCs/>
          <w:color w:val="2C363A"/>
        </w:rPr>
      </w:pPr>
      <w:r>
        <w:t>fails to publish the Book pursuant to Section 6;</w:t>
      </w:r>
    </w:p>
    <w:p w14:paraId="2123B1FC" w14:textId="77777777" w:rsidR="00AB7656" w:rsidRDefault="00000000">
      <w:pPr>
        <w:numPr>
          <w:ilvl w:val="2"/>
          <w:numId w:val="2"/>
        </w:numPr>
        <w:shd w:val="clear" w:color="auto" w:fill="FFFFFF"/>
        <w:spacing w:after="240" w:line="250" w:lineRule="auto"/>
        <w:ind w:left="2610" w:right="0" w:hanging="450"/>
        <w:rPr>
          <w:b/>
          <w:bCs/>
          <w:color w:val="2C363A"/>
        </w:rPr>
      </w:pPr>
      <w:r>
        <w:t>otherwise materially breaches the Agreement; or</w:t>
      </w:r>
    </w:p>
    <w:p w14:paraId="716FDE78" w14:textId="77777777" w:rsidR="00AB7656" w:rsidRDefault="00000000">
      <w:pPr>
        <w:numPr>
          <w:ilvl w:val="2"/>
          <w:numId w:val="2"/>
        </w:numPr>
        <w:shd w:val="clear" w:color="auto" w:fill="FFFFFF"/>
        <w:spacing w:after="240" w:line="250" w:lineRule="auto"/>
        <w:ind w:left="2610" w:right="0" w:hanging="450"/>
        <w:rPr>
          <w:b/>
          <w:bCs/>
          <w:color w:val="2C363A"/>
        </w:rPr>
      </w:pPr>
      <w:r>
        <w:t>files a petition under the bankruptcy laws, makes an assignment of its assets for the benefit of its creditors, or otherwise liquidates its business, or if a court determines that the Publisher is legally bankrupt.</w:t>
      </w:r>
    </w:p>
    <w:p w14:paraId="6BB69E32" w14:textId="77777777" w:rsidR="00AB7656" w:rsidRDefault="00000000">
      <w:pPr>
        <w:numPr>
          <w:ilvl w:val="1"/>
          <w:numId w:val="2"/>
        </w:numPr>
        <w:shd w:val="clear" w:color="auto" w:fill="FFFFFF"/>
        <w:spacing w:after="240" w:line="250" w:lineRule="auto"/>
        <w:ind w:left="0" w:right="0" w:firstLine="1440"/>
        <w:rPr>
          <w:b/>
          <w:bCs/>
          <w:color w:val="2C363A"/>
        </w:rPr>
      </w:pPr>
      <w:r>
        <w:lastRenderedPageBreak/>
        <w:t>The Publisher may terminate this Agreement upon written notice to the Author if the Author;</w:t>
      </w:r>
    </w:p>
    <w:p w14:paraId="57DFE710" w14:textId="77777777" w:rsidR="00AB7656" w:rsidRDefault="00000000">
      <w:pPr>
        <w:numPr>
          <w:ilvl w:val="2"/>
          <w:numId w:val="2"/>
        </w:numPr>
        <w:shd w:val="clear" w:color="auto" w:fill="FFFFFF"/>
        <w:spacing w:after="240" w:line="250" w:lineRule="auto"/>
        <w:ind w:left="2610" w:right="0" w:hanging="450"/>
        <w:rPr>
          <w:b/>
          <w:bCs/>
          <w:color w:val="2C363A"/>
        </w:rPr>
      </w:pPr>
      <w:r>
        <w:t>does not fulfill the Author's obligations pursuant to Section 3; or</w:t>
      </w:r>
    </w:p>
    <w:p w14:paraId="43B0373D" w14:textId="77777777" w:rsidR="00AB7656" w:rsidRDefault="00000000">
      <w:pPr>
        <w:numPr>
          <w:ilvl w:val="2"/>
          <w:numId w:val="2"/>
        </w:numPr>
        <w:shd w:val="clear" w:color="auto" w:fill="FFFFFF"/>
        <w:spacing w:after="240" w:line="250" w:lineRule="auto"/>
        <w:ind w:left="2610" w:right="0" w:hanging="450"/>
        <w:rPr>
          <w:b/>
          <w:bCs/>
          <w:color w:val="2C363A"/>
        </w:rPr>
      </w:pPr>
      <w:r>
        <w:t>otherwise materially breaches the Agreement and is unable to cure such breach within ninety (90) days.</w:t>
      </w:r>
    </w:p>
    <w:p w14:paraId="5A44049D" w14:textId="2E2E15A2" w:rsidR="00AB7656" w:rsidRDefault="00000000">
      <w:pPr>
        <w:numPr>
          <w:ilvl w:val="1"/>
          <w:numId w:val="2"/>
        </w:numPr>
        <w:shd w:val="clear" w:color="auto" w:fill="FFFFFF"/>
        <w:spacing w:after="240" w:line="250" w:lineRule="auto"/>
        <w:ind w:left="0" w:right="0" w:firstLine="1440"/>
        <w:rPr>
          <w:b/>
          <w:bCs/>
          <w:color w:val="2C363A"/>
        </w:rPr>
      </w:pPr>
      <w:r>
        <w:t xml:space="preserve">Termination of the Agreement will take effect 30 days after a party's receipt of written notice of termination unless that party has remedied the problem triggering the termination during the </w:t>
      </w:r>
      <w:r w:rsidR="0005617B">
        <w:t>90-day</w:t>
      </w:r>
      <w:r>
        <w:t xml:space="preserve"> period.</w:t>
      </w:r>
    </w:p>
    <w:p w14:paraId="7E71D29F" w14:textId="77777777" w:rsidR="00AB7656" w:rsidRDefault="00000000">
      <w:pPr>
        <w:numPr>
          <w:ilvl w:val="0"/>
          <w:numId w:val="2"/>
        </w:numPr>
        <w:shd w:val="clear" w:color="auto" w:fill="FFFFFF"/>
        <w:spacing w:after="240" w:line="250" w:lineRule="auto"/>
        <w:ind w:left="0" w:right="0" w:firstLine="810"/>
        <w:rPr>
          <w:b/>
          <w:bCs/>
          <w:color w:val="2C363A"/>
        </w:rPr>
      </w:pPr>
      <w:r>
        <w:rPr>
          <w:u w:val="single"/>
        </w:rPr>
        <w:t>Reversion of Rights to Author.</w:t>
      </w:r>
    </w:p>
    <w:p w14:paraId="6FAA2AED" w14:textId="77777777" w:rsidR="00AB7656" w:rsidRDefault="00000000">
      <w:pPr>
        <w:numPr>
          <w:ilvl w:val="1"/>
          <w:numId w:val="2"/>
        </w:numPr>
        <w:shd w:val="clear" w:color="auto" w:fill="FFFFFF"/>
        <w:spacing w:after="240" w:line="250" w:lineRule="auto"/>
        <w:ind w:left="0" w:right="0" w:firstLine="1350"/>
        <w:rPr>
          <w:b/>
          <w:bCs/>
          <w:color w:val="2C363A"/>
        </w:rPr>
      </w:pPr>
      <w:r>
        <w:t xml:space="preserve">Anything to the contrary herein contained notwithstanding, if Publisher shall in good faith decide after two (2) years following initial publication of any Book that there is not sufficient sale of  a Book to enable Publisher to continue its publication and sale profitably, Publisher may cease publication and dispose of the copies of  that Book remaining as it deems best, subject to the royalty provisions of this Agreement, after first offering such copies of that Book to Author in writing for an exclusive period of thirty (30) days at Publisher’s best remainder price; </w:t>
      </w:r>
      <w:r>
        <w:rPr>
          <w:i/>
        </w:rPr>
        <w:t xml:space="preserve">provided however </w:t>
      </w:r>
      <w:r>
        <w:t>that Publisher’s failure to offer such copies to Author shall not be considered a material breach of this Agreement.</w:t>
      </w:r>
    </w:p>
    <w:p w14:paraId="6E3DA807" w14:textId="77777777" w:rsidR="00AB7656" w:rsidRDefault="00000000">
      <w:pPr>
        <w:numPr>
          <w:ilvl w:val="1"/>
          <w:numId w:val="2"/>
        </w:numPr>
        <w:shd w:val="clear" w:color="auto" w:fill="FFFFFF"/>
        <w:spacing w:after="240" w:line="250" w:lineRule="auto"/>
        <w:ind w:left="0" w:right="0" w:firstLine="1350"/>
        <w:rPr>
          <w:b/>
          <w:bCs/>
          <w:color w:val="2C363A"/>
        </w:rPr>
      </w:pPr>
      <w:r>
        <w:t>If a Book shall be out of print and off sale in all Publisher’s full-length English language editions</w:t>
      </w:r>
      <w:r>
        <w:rPr>
          <w:rFonts w:eastAsia="Garamond"/>
          <w:b/>
        </w:rPr>
        <w:t xml:space="preserve"> </w:t>
      </w:r>
      <w:r>
        <w:t>through ordinary trade channels in the U.S. (including reprints, whether by Publisher and any other publisher)</w:t>
      </w:r>
      <w:r>
        <w:rPr>
          <w:rFonts w:eastAsia="Garamond"/>
        </w:rPr>
        <w:t xml:space="preserve"> </w:t>
      </w:r>
      <w:r>
        <w:t xml:space="preserve">and is listed in Publisher’s “re-order” form or other such listing of available titles for reorders through ordinary trade channels, and if there shall be no pending contract for publication in any full-length English language edition in the U.S., and if Author makes a written demand for further edition of that Book, Publisher may, within sixty (60) days after receipt of such demand, notify Author that it intends to issue a new full-length English language edition of that Book in the U.S. within six (6) month after the date of its receipt of Author’s demand. If Publisher fails to so notify Author, or fails to issue such new full-length English language edition in the U.S. within a six (6) month period, then, provided Author is not indebted to Publisher for any sum, this Agreement shall terminate and all rights granted hereunder for that Book shall revert to Author. Sales of any print, eBook or a print on demand edition or other similar electronic or digital editions shall not render a Book in print unless such sales equal or exceed an aggregate total of two hundred and fifty (250) copies during the two (2) consecutive accounting periods immediately prior to written notice from Author pursuant to the Section 20(b). The term "indebted” as used in this subparagraph does not include unearned advances. </w:t>
      </w:r>
    </w:p>
    <w:p w14:paraId="4E63FDF7" w14:textId="77777777" w:rsidR="00AB7656" w:rsidRDefault="00000000">
      <w:pPr>
        <w:numPr>
          <w:ilvl w:val="1"/>
          <w:numId w:val="2"/>
        </w:numPr>
        <w:shd w:val="clear" w:color="auto" w:fill="FFFFFF"/>
        <w:spacing w:after="240" w:line="250" w:lineRule="auto"/>
        <w:ind w:left="0" w:right="0" w:firstLine="1350"/>
        <w:rPr>
          <w:b/>
          <w:bCs/>
          <w:color w:val="2C363A"/>
        </w:rPr>
      </w:pPr>
      <w:r>
        <w:t xml:space="preserve">A Book shall not be considered in print if it is available for sale only in large print or book club editions, whether published by Publisher or by a licensee of Publisher. Upon termination of this Agreement, Publisher shall promptly provide to the Author, upon the Author’s request, copies of any outstanding subsidiary rights agreements for the Book. Publisher shall have a period of up to forty-five (45) days from the effective date of termination of this Agreement to arrange with its wholesalers and retailers to cease all sales and distribution of the eBook Editions </w:t>
      </w:r>
      <w:r>
        <w:lastRenderedPageBreak/>
        <w:t>of the reverted Book, subject to Publisher’s obligation to account for any ensuing eBook Edition sales.</w:t>
      </w:r>
    </w:p>
    <w:p w14:paraId="6D12DC72" w14:textId="274D2ACF" w:rsidR="00AB7656" w:rsidRDefault="00000000">
      <w:pPr>
        <w:numPr>
          <w:ilvl w:val="0"/>
          <w:numId w:val="2"/>
        </w:numPr>
        <w:shd w:val="clear" w:color="auto" w:fill="FFFFFF"/>
        <w:spacing w:after="240" w:line="250" w:lineRule="auto"/>
        <w:ind w:left="0" w:right="0" w:firstLine="720"/>
        <w:rPr>
          <w:color w:val="FF0000"/>
        </w:rPr>
      </w:pPr>
      <w:r>
        <w:t xml:space="preserve">Option. </w:t>
      </w:r>
      <w:r w:rsidR="00505869" w:rsidRPr="00505869">
        <w:rPr>
          <w:i/>
          <w:iCs/>
        </w:rPr>
        <w:t>[Deleted]</w:t>
      </w:r>
    </w:p>
    <w:p w14:paraId="079FFAF4" w14:textId="66B5071D" w:rsidR="00AB7656" w:rsidRDefault="00000000">
      <w:pPr>
        <w:numPr>
          <w:ilvl w:val="0"/>
          <w:numId w:val="2"/>
        </w:numPr>
        <w:shd w:val="clear" w:color="auto" w:fill="FFFFFF"/>
        <w:spacing w:after="240" w:line="250" w:lineRule="auto"/>
        <w:ind w:left="0" w:right="0" w:firstLine="720"/>
        <w:rPr>
          <w:rFonts w:asciiTheme="majorBidi" w:hAnsiTheme="majorBidi" w:cstheme="majorBidi"/>
          <w:color w:val="FF0000"/>
        </w:rPr>
      </w:pPr>
      <w:r>
        <w:t xml:space="preserve">Agency Clause. </w:t>
      </w:r>
      <w:r w:rsidR="00505869" w:rsidRPr="00505869">
        <w:rPr>
          <w:i/>
          <w:iCs/>
        </w:rPr>
        <w:t>[Deleted]</w:t>
      </w:r>
    </w:p>
    <w:p w14:paraId="1F6B07BC" w14:textId="77777777" w:rsidR="00AB7656" w:rsidRDefault="00000000">
      <w:pPr>
        <w:numPr>
          <w:ilvl w:val="0"/>
          <w:numId w:val="2"/>
        </w:numPr>
        <w:shd w:val="clear" w:color="auto" w:fill="FFFFFF"/>
        <w:spacing w:after="240" w:line="250" w:lineRule="auto"/>
        <w:ind w:left="0" w:right="0" w:firstLine="720"/>
        <w:rPr>
          <w:b/>
          <w:bCs/>
          <w:color w:val="2C363A"/>
        </w:rPr>
      </w:pPr>
      <w:r>
        <w:rPr>
          <w:u w:val="single"/>
        </w:rPr>
        <w:t>Rights Surviving Termination</w:t>
      </w:r>
      <w:r>
        <w:t>. Upon the termination or expiration of this Agreement, any rights reverting to the Author will remain subject to all licenses and other grants of rights made by the Publisher to third parties under this Agreement. Any rights or obligations of the parties in this Agreement which, by their nature, should survive termination or expiration of the Agreement, will survive any such termination or expiration, including any and all rights of the Publisher under such third-party licenses and grants, the parties' respective obligations to pay any sums owed to the other party, the Author's accounting, reporting, and audit rights in Section 12, and all of the Author's representations, warranties, and indemnities in Sections 16 and 17. Publisher shall not renew or extend any license agreement that remains in effect after the reversion of other publishing rights to the Author, without the approval of the Author.</w:t>
      </w:r>
    </w:p>
    <w:p w14:paraId="68146766" w14:textId="77777777" w:rsidR="00AB7656" w:rsidRDefault="00000000">
      <w:pPr>
        <w:numPr>
          <w:ilvl w:val="0"/>
          <w:numId w:val="2"/>
        </w:numPr>
        <w:shd w:val="clear" w:color="auto" w:fill="FFFFFF"/>
        <w:spacing w:after="240" w:line="250" w:lineRule="auto"/>
        <w:ind w:left="0" w:right="0" w:firstLine="720"/>
        <w:rPr>
          <w:b/>
          <w:bCs/>
          <w:color w:val="2C363A"/>
        </w:rPr>
      </w:pPr>
      <w:r>
        <w:rPr>
          <w:u w:val="single"/>
        </w:rPr>
        <w:t>Assignment</w:t>
      </w:r>
      <w:r>
        <w:t>. This Agreement is binding on and inures to the benefit of the parties hereto, the heirs, executors, and administrators of the Author, and the successors and assigns of the Publisher. The Author shall not assign any of its rights or delegate any of its obligations under this Agreement, in each case whether voluntarily or involuntarily, by operation of law, or otherwise, without the Publisher's prior written consent which will not be unreasonably withheld or delayed. The Publisher may assign this Agreement or its rights hereunder, or delegate its obligations hereunder, only to a company acquiring all or substantially all of the Publisher's assets.</w:t>
      </w:r>
    </w:p>
    <w:p w14:paraId="71CFA56B" w14:textId="77777777" w:rsidR="00AB7656" w:rsidRDefault="00000000">
      <w:pPr>
        <w:numPr>
          <w:ilvl w:val="0"/>
          <w:numId w:val="2"/>
        </w:numPr>
        <w:shd w:val="clear" w:color="auto" w:fill="FFFFFF"/>
        <w:spacing w:after="240" w:line="250" w:lineRule="auto"/>
        <w:ind w:left="0" w:right="0" w:firstLine="720"/>
        <w:rPr>
          <w:b/>
          <w:bCs/>
          <w:color w:val="2C363A"/>
        </w:rPr>
      </w:pPr>
      <w:r>
        <w:rPr>
          <w:u w:val="single"/>
        </w:rPr>
        <w:t>Entire Agreement</w:t>
      </w:r>
      <w:r>
        <w:t>. This Agreement is the sole and entire agreement of the parties with respect to the subject matter herein, and supersedes all prior and contemporaneous understandings, agreements, representations, and warranties, both written and oral, regarding such subject matter.</w:t>
      </w:r>
    </w:p>
    <w:p w14:paraId="4609F341" w14:textId="77777777" w:rsidR="00AB7656" w:rsidRDefault="00000000">
      <w:pPr>
        <w:numPr>
          <w:ilvl w:val="0"/>
          <w:numId w:val="2"/>
        </w:numPr>
        <w:shd w:val="clear" w:color="auto" w:fill="FFFFFF"/>
        <w:spacing w:after="240" w:line="250" w:lineRule="auto"/>
        <w:ind w:left="0" w:right="0" w:firstLine="720"/>
        <w:rPr>
          <w:b/>
          <w:bCs/>
          <w:color w:val="2C363A"/>
        </w:rPr>
      </w:pPr>
      <w:r>
        <w:rPr>
          <w:u w:val="single"/>
        </w:rPr>
        <w:t>No Third-Party Beneficiaries</w:t>
      </w:r>
      <w:r>
        <w:t>.</w:t>
      </w:r>
      <w:r>
        <w:rPr>
          <w:b/>
        </w:rPr>
        <w:t xml:space="preserve"> </w:t>
      </w:r>
      <w:r>
        <w:t>This Agreement is for the sole benefit of the parties hereto and their respective successors and permitted assigns, and nothing herein, express or implied, is intended to or shall confer upon any other person any legal or equitable right, benefit, or remedy of any nature whatsoever, under or by reason of this Agreement.</w:t>
      </w:r>
    </w:p>
    <w:p w14:paraId="06C5E859" w14:textId="77777777" w:rsidR="00AB7656" w:rsidRDefault="00000000">
      <w:pPr>
        <w:numPr>
          <w:ilvl w:val="0"/>
          <w:numId w:val="2"/>
        </w:numPr>
        <w:shd w:val="clear" w:color="auto" w:fill="FFFFFF"/>
        <w:spacing w:after="240" w:line="250" w:lineRule="auto"/>
        <w:ind w:left="0" w:right="0" w:firstLine="720"/>
        <w:rPr>
          <w:b/>
          <w:bCs/>
          <w:color w:val="2C363A"/>
        </w:rPr>
      </w:pPr>
      <w:r>
        <w:rPr>
          <w:u w:val="single"/>
        </w:rPr>
        <w:t>Headings</w:t>
      </w:r>
      <w:r>
        <w:t>. The headings in this Agreement are for reference only and do not affect the interpretation of this Agreement.</w:t>
      </w:r>
    </w:p>
    <w:p w14:paraId="716F48BD" w14:textId="77777777" w:rsidR="00AB7656" w:rsidRDefault="00000000">
      <w:pPr>
        <w:numPr>
          <w:ilvl w:val="0"/>
          <w:numId w:val="2"/>
        </w:numPr>
        <w:shd w:val="clear" w:color="auto" w:fill="FFFFFF"/>
        <w:spacing w:after="240" w:line="250" w:lineRule="auto"/>
        <w:ind w:left="0" w:right="0" w:firstLine="720"/>
        <w:rPr>
          <w:b/>
          <w:bCs/>
          <w:color w:val="2C363A"/>
        </w:rPr>
      </w:pPr>
      <w:r>
        <w:rPr>
          <w:u w:val="single"/>
        </w:rPr>
        <w:t>Amendment and Modification; Waiver</w:t>
      </w:r>
      <w:r>
        <w:t xml:space="preserve">. No amendment to this Agreement is effective unless it is in writing and signed by an authorized representative of each party. No waiver by any party of any of the provisions hereof will be effective unless explicitly set forth in writing and signed by the party so waiving. No waiver by any party will operate or be construed as a waiver about any failure, breach, or default not expressly identified by such written waiver, whether of a similar or different character, and whether occurring before or after that waiver. Except as otherwise set forth in this Agreement, no failure to exercise, or delay in exercising, any </w:t>
      </w:r>
      <w:r>
        <w:lastRenderedPageBreak/>
        <w:t>right, remedy, power, or privilege arising from this Agreement operates or will be construed as a waiver thereof; nor does any single or partial exercise of any right, remedy, power, or privilege hereunder preclude any other or further exercise thereof or the exercise of any other right, remedy, power, or privilege.</w:t>
      </w:r>
    </w:p>
    <w:p w14:paraId="55467385" w14:textId="77777777" w:rsidR="00AB7656" w:rsidRDefault="00000000">
      <w:pPr>
        <w:numPr>
          <w:ilvl w:val="0"/>
          <w:numId w:val="2"/>
        </w:numPr>
        <w:shd w:val="clear" w:color="auto" w:fill="FFFFFF"/>
        <w:spacing w:after="240" w:line="250" w:lineRule="auto"/>
        <w:ind w:left="0" w:right="0" w:firstLine="720"/>
        <w:rPr>
          <w:b/>
          <w:bCs/>
          <w:color w:val="2C363A"/>
        </w:rPr>
      </w:pPr>
      <w:r>
        <w:rPr>
          <w:u w:val="single"/>
        </w:rPr>
        <w:t>Severability</w:t>
      </w:r>
      <w:r>
        <w:t>. If any term or provision of this Agreement is invalid, illegal, or unenforceable in any jurisdiction, such invalidity, illegality, or unenforceability will not affect any other term or provision of this Agreement or invalidate or render unenforceable such term or provision in any other jurisdiction.</w:t>
      </w:r>
    </w:p>
    <w:p w14:paraId="0ACA8EB6" w14:textId="77777777" w:rsidR="00AB7656" w:rsidRDefault="00000000">
      <w:pPr>
        <w:numPr>
          <w:ilvl w:val="0"/>
          <w:numId w:val="2"/>
        </w:numPr>
        <w:shd w:val="clear" w:color="auto" w:fill="FFFFFF"/>
        <w:spacing w:after="240" w:line="250" w:lineRule="auto"/>
        <w:ind w:left="0" w:right="0" w:firstLine="720"/>
        <w:rPr>
          <w:b/>
          <w:bCs/>
          <w:color w:val="2C363A"/>
        </w:rPr>
      </w:pPr>
      <w:r>
        <w:rPr>
          <w:u w:val="single"/>
        </w:rPr>
        <w:t>Notices</w:t>
      </w:r>
      <w:r>
        <w:t>.  All notices, requests, consents, claims, demands, waivers, and other communications hereunder shall be in writing and addressed to the parties as follows (or as otherwise specified by a party in a notice given in accordance with this Section):</w:t>
      </w:r>
    </w:p>
    <w:tbl>
      <w:tblPr>
        <w:tblStyle w:val="TableGrid1"/>
        <w:tblW w:w="6700" w:type="dxa"/>
        <w:tblInd w:w="1040" w:type="dxa"/>
        <w:tblLook w:val="04A0" w:firstRow="1" w:lastRow="0" w:firstColumn="1" w:lastColumn="0" w:noHBand="0" w:noVBand="1"/>
      </w:tblPr>
      <w:tblGrid>
        <w:gridCol w:w="1570"/>
        <w:gridCol w:w="5130"/>
      </w:tblGrid>
      <w:tr w:rsidR="00AB7656" w14:paraId="35AC79C7" w14:textId="77777777" w:rsidTr="00505869">
        <w:trPr>
          <w:trHeight w:val="331"/>
        </w:trPr>
        <w:tc>
          <w:tcPr>
            <w:tcW w:w="1570" w:type="dxa"/>
          </w:tcPr>
          <w:p w14:paraId="17D183FB" w14:textId="77777777" w:rsidR="00AB7656" w:rsidRDefault="00000000">
            <w:pPr>
              <w:spacing w:after="0" w:line="259" w:lineRule="auto"/>
              <w:ind w:left="0" w:right="0" w:firstLine="0"/>
              <w:jc w:val="left"/>
              <w:rPr>
                <w:rFonts w:asciiTheme="majorBidi" w:hAnsiTheme="majorBidi" w:cstheme="majorBidi"/>
              </w:rPr>
            </w:pPr>
            <w:r>
              <w:rPr>
                <w:rFonts w:asciiTheme="majorBidi" w:hAnsiTheme="majorBidi" w:cstheme="majorBidi"/>
              </w:rPr>
              <w:t xml:space="preserve">If to Author: </w:t>
            </w:r>
          </w:p>
        </w:tc>
        <w:tc>
          <w:tcPr>
            <w:tcW w:w="5130" w:type="dxa"/>
          </w:tcPr>
          <w:p w14:paraId="5BC0FFEF" w14:textId="77777777" w:rsidR="00AB7656" w:rsidRDefault="00000000">
            <w:pPr>
              <w:pStyle w:val="v1msonormal"/>
              <w:shd w:val="clear" w:color="auto" w:fill="FFFFFF"/>
              <w:spacing w:before="0" w:beforeAutospacing="0" w:after="0" w:afterAutospacing="0"/>
              <w:rPr>
                <w:rFonts w:asciiTheme="majorBidi" w:hAnsiTheme="majorBidi" w:cstheme="majorBidi"/>
                <w:color w:val="FF0000"/>
              </w:rPr>
            </w:pPr>
            <w:r>
              <w:rPr>
                <w:color w:val="FF0000"/>
              </w:rPr>
              <w:t>Benjamin Gillenwater</w:t>
            </w:r>
          </w:p>
          <w:p w14:paraId="1627662B" w14:textId="77777777" w:rsidR="00AB7656" w:rsidRDefault="00000000">
            <w:pPr>
              <w:pStyle w:val="v1msonormal"/>
              <w:shd w:val="clear" w:color="auto" w:fill="FFFFFF"/>
              <w:spacing w:before="0" w:beforeAutospacing="0" w:after="0" w:afterAutospacing="0"/>
              <w:rPr>
                <w:rFonts w:asciiTheme="majorBidi" w:hAnsiTheme="majorBidi" w:cstheme="majorBidi"/>
                <w:color w:val="FF0000"/>
              </w:rPr>
            </w:pPr>
            <w:r>
              <w:rPr>
                <w:color w:val="FF0000"/>
              </w:rPr>
              <w:t>2976 E State St, #120-2078</w:t>
            </w:r>
          </w:p>
          <w:p w14:paraId="00873A25" w14:textId="77777777" w:rsidR="00AB7656" w:rsidRDefault="00000000">
            <w:pPr>
              <w:pStyle w:val="v1msonormal"/>
              <w:shd w:val="clear" w:color="auto" w:fill="FFFFFF"/>
              <w:spacing w:before="0" w:beforeAutospacing="0" w:after="0" w:afterAutospacing="0"/>
              <w:rPr>
                <w:rFonts w:asciiTheme="majorBidi" w:hAnsiTheme="majorBidi" w:cstheme="majorBidi"/>
                <w:color w:val="FF0000"/>
              </w:rPr>
            </w:pPr>
            <w:r>
              <w:rPr>
                <w:color w:val="FF0000"/>
              </w:rPr>
              <w:t>Eagle</w:t>
            </w:r>
            <w:r>
              <w:t xml:space="preserve"> </w:t>
            </w:r>
            <w:r>
              <w:rPr>
                <w:color w:val="FF0000"/>
              </w:rPr>
              <w:t>Idaho</w:t>
            </w:r>
            <w:r>
              <w:t xml:space="preserve"> </w:t>
            </w:r>
            <w:r>
              <w:rPr>
                <w:color w:val="FF0000"/>
              </w:rPr>
              <w:t>83616</w:t>
            </w:r>
          </w:p>
          <w:p w14:paraId="5ECE4B98" w14:textId="77777777" w:rsidR="00AB7656" w:rsidRDefault="00000000">
            <w:pPr>
              <w:pStyle w:val="v1msonormal"/>
              <w:shd w:val="clear" w:color="auto" w:fill="FFFFFF"/>
              <w:spacing w:before="0" w:beforeAutospacing="0" w:after="0" w:afterAutospacing="0"/>
              <w:rPr>
                <w:rFonts w:asciiTheme="majorBidi" w:hAnsiTheme="majorBidi" w:cstheme="majorBidi"/>
                <w:color w:val="FF0000"/>
              </w:rPr>
            </w:pPr>
            <w:r>
              <w:t xml:space="preserve">Phone: </w:t>
            </w:r>
            <w:r>
              <w:rPr>
                <w:color w:val="FF0000"/>
              </w:rPr>
              <w:t>208.391.2941</w:t>
            </w:r>
          </w:p>
          <w:p w14:paraId="2B37023A" w14:textId="77777777" w:rsidR="00AB7656" w:rsidRDefault="00000000">
            <w:pPr>
              <w:pStyle w:val="v1msonormal"/>
              <w:shd w:val="clear" w:color="auto" w:fill="FFFFFF"/>
              <w:spacing w:before="0" w:beforeAutospacing="0" w:after="0" w:afterAutospacing="0"/>
              <w:rPr>
                <w:rFonts w:asciiTheme="majorBidi" w:hAnsiTheme="majorBidi" w:cstheme="majorBidi"/>
                <w:color w:val="FF0000"/>
              </w:rPr>
            </w:pPr>
            <w:r>
              <w:t xml:space="preserve">Email: </w:t>
            </w:r>
            <w:r>
              <w:rPr>
                <w:color w:val="FF0000"/>
              </w:rPr>
              <w:t>ben@familyitguy.com</w:t>
            </w:r>
          </w:p>
          <w:p w14:paraId="785D419C" w14:textId="77777777" w:rsidR="00AB7656" w:rsidRDefault="00AB7656">
            <w:pPr>
              <w:pStyle w:val="v1msonormal"/>
              <w:shd w:val="clear" w:color="auto" w:fill="FFFFFF"/>
              <w:spacing w:before="0" w:beforeAutospacing="0" w:after="0" w:afterAutospacing="0"/>
              <w:rPr>
                <w:rFonts w:asciiTheme="majorBidi" w:hAnsiTheme="majorBidi" w:cstheme="majorBidi"/>
                <w:color w:val="2C363A"/>
              </w:rPr>
            </w:pPr>
          </w:p>
          <w:p w14:paraId="2CAAF602" w14:textId="77777777" w:rsidR="00AB7656" w:rsidRDefault="00AB7656">
            <w:pPr>
              <w:pStyle w:val="NoSpacing"/>
              <w:ind w:left="37"/>
              <w:rPr>
                <w:rFonts w:asciiTheme="majorBidi" w:hAnsiTheme="majorBidi" w:cstheme="majorBidi"/>
              </w:rPr>
            </w:pPr>
          </w:p>
        </w:tc>
      </w:tr>
      <w:tr w:rsidR="00AB7656" w14:paraId="03C8C925" w14:textId="77777777" w:rsidTr="00505869">
        <w:trPr>
          <w:trHeight w:val="396"/>
        </w:trPr>
        <w:tc>
          <w:tcPr>
            <w:tcW w:w="1570" w:type="dxa"/>
          </w:tcPr>
          <w:p w14:paraId="34C892F9" w14:textId="61B09F2C" w:rsidR="00AB7656" w:rsidRDefault="00AB7656">
            <w:pPr>
              <w:spacing w:after="0" w:line="259" w:lineRule="auto"/>
              <w:ind w:left="0" w:right="-37" w:firstLine="0"/>
              <w:jc w:val="left"/>
              <w:rPr>
                <w:rFonts w:asciiTheme="majorBidi" w:hAnsiTheme="majorBidi" w:cstheme="majorBidi"/>
              </w:rPr>
            </w:pPr>
          </w:p>
        </w:tc>
        <w:tc>
          <w:tcPr>
            <w:tcW w:w="5130" w:type="dxa"/>
          </w:tcPr>
          <w:p w14:paraId="75BD8CA0" w14:textId="77777777" w:rsidR="00AB7656" w:rsidRDefault="00AB7656">
            <w:pPr>
              <w:pStyle w:val="NormalWeb"/>
              <w:shd w:val="clear" w:color="auto" w:fill="FFFFFF"/>
              <w:spacing w:before="0" w:beforeAutospacing="0" w:after="240" w:afterAutospacing="0"/>
              <w:rPr>
                <w:rFonts w:asciiTheme="majorBidi" w:hAnsiTheme="majorBidi" w:cstheme="majorBidi"/>
              </w:rPr>
            </w:pPr>
          </w:p>
        </w:tc>
      </w:tr>
      <w:tr w:rsidR="00AB7656" w14:paraId="4EBF5489" w14:textId="77777777" w:rsidTr="00505869">
        <w:trPr>
          <w:trHeight w:val="396"/>
        </w:trPr>
        <w:tc>
          <w:tcPr>
            <w:tcW w:w="1570" w:type="dxa"/>
          </w:tcPr>
          <w:p w14:paraId="48D93D06" w14:textId="77777777" w:rsidR="00AB7656" w:rsidRDefault="00000000">
            <w:pPr>
              <w:spacing w:after="0" w:line="259" w:lineRule="auto"/>
              <w:ind w:left="0" w:right="0" w:firstLine="0"/>
              <w:jc w:val="left"/>
              <w:rPr>
                <w:rFonts w:asciiTheme="majorBidi" w:hAnsiTheme="majorBidi" w:cstheme="majorBidi"/>
              </w:rPr>
            </w:pPr>
            <w:r>
              <w:rPr>
                <w:rFonts w:asciiTheme="majorBidi" w:hAnsiTheme="majorBidi" w:cstheme="majorBidi"/>
              </w:rPr>
              <w:t xml:space="preserve">If to Publisher: </w:t>
            </w:r>
          </w:p>
        </w:tc>
        <w:tc>
          <w:tcPr>
            <w:tcW w:w="5130" w:type="dxa"/>
          </w:tcPr>
          <w:p w14:paraId="5106EBF1" w14:textId="77777777" w:rsidR="00AB7656" w:rsidRDefault="00000000">
            <w:pPr>
              <w:spacing w:after="0" w:line="259" w:lineRule="auto"/>
              <w:ind w:left="0" w:right="0" w:firstLine="0"/>
              <w:jc w:val="left"/>
              <w:rPr>
                <w:rFonts w:asciiTheme="majorBidi" w:hAnsiTheme="majorBidi" w:cstheme="majorBidi"/>
              </w:rPr>
            </w:pPr>
            <w:r>
              <w:rPr>
                <w:rFonts w:asciiTheme="majorBidi" w:hAnsiTheme="majorBidi" w:cstheme="majorBidi"/>
              </w:rPr>
              <w:t>Marble Press LLC.</w:t>
            </w:r>
          </w:p>
          <w:p w14:paraId="11965173" w14:textId="77777777" w:rsidR="00AB7656" w:rsidRDefault="00000000">
            <w:pPr>
              <w:spacing w:after="0" w:line="259" w:lineRule="auto"/>
              <w:ind w:left="0" w:right="0" w:firstLine="0"/>
              <w:jc w:val="left"/>
              <w:rPr>
                <w:rFonts w:asciiTheme="majorBidi" w:hAnsiTheme="majorBidi" w:cstheme="majorBidi"/>
              </w:rPr>
            </w:pPr>
            <w:r>
              <w:rPr>
                <w:rFonts w:asciiTheme="majorBidi" w:hAnsiTheme="majorBidi" w:cstheme="majorBidi"/>
              </w:rPr>
              <w:t xml:space="preserve">2260 Hanover Str, Palo Alto, CA 94306 </w:t>
            </w:r>
          </w:p>
        </w:tc>
      </w:tr>
      <w:tr w:rsidR="00AB7656" w14:paraId="7E961FC1" w14:textId="77777777" w:rsidTr="00505869">
        <w:trPr>
          <w:trHeight w:val="396"/>
        </w:trPr>
        <w:tc>
          <w:tcPr>
            <w:tcW w:w="1570" w:type="dxa"/>
          </w:tcPr>
          <w:p w14:paraId="1D1AE89C" w14:textId="77777777" w:rsidR="00AB7656" w:rsidRDefault="00000000">
            <w:pPr>
              <w:spacing w:after="0" w:line="259" w:lineRule="auto"/>
              <w:ind w:left="0" w:right="0" w:firstLine="0"/>
              <w:jc w:val="left"/>
              <w:rPr>
                <w:rFonts w:asciiTheme="majorBidi" w:hAnsiTheme="majorBidi" w:cstheme="majorBidi"/>
              </w:rPr>
            </w:pPr>
            <w:r>
              <w:rPr>
                <w:rFonts w:asciiTheme="majorBidi" w:hAnsiTheme="majorBidi" w:cstheme="majorBidi"/>
              </w:rPr>
              <w:t xml:space="preserve"> </w:t>
            </w:r>
            <w:r>
              <w:rPr>
                <w:rFonts w:asciiTheme="majorBidi" w:hAnsiTheme="majorBidi" w:cstheme="majorBidi"/>
              </w:rPr>
              <w:tab/>
              <w:t xml:space="preserve"> </w:t>
            </w:r>
            <w:r>
              <w:rPr>
                <w:rFonts w:asciiTheme="majorBidi" w:hAnsiTheme="majorBidi" w:cstheme="majorBidi"/>
              </w:rPr>
              <w:tab/>
              <w:t xml:space="preserve"> </w:t>
            </w:r>
          </w:p>
        </w:tc>
        <w:tc>
          <w:tcPr>
            <w:tcW w:w="5130" w:type="dxa"/>
          </w:tcPr>
          <w:p w14:paraId="2C5A5E2C" w14:textId="77777777" w:rsidR="00AB7656" w:rsidRDefault="00000000">
            <w:pPr>
              <w:spacing w:after="0" w:line="259" w:lineRule="auto"/>
              <w:ind w:left="0" w:right="0" w:firstLine="0"/>
              <w:jc w:val="left"/>
              <w:rPr>
                <w:rFonts w:asciiTheme="majorBidi" w:hAnsiTheme="majorBidi" w:cstheme="majorBidi"/>
              </w:rPr>
            </w:pPr>
            <w:r>
              <w:rPr>
                <w:rFonts w:asciiTheme="majorBidi" w:hAnsiTheme="majorBidi" w:cstheme="majorBidi"/>
              </w:rPr>
              <w:t xml:space="preserve">Email: susan.szecsi@gmail.com </w:t>
            </w:r>
          </w:p>
          <w:p w14:paraId="21DB8BFD" w14:textId="77777777" w:rsidR="00AB7656" w:rsidRDefault="00000000">
            <w:pPr>
              <w:spacing w:after="0" w:line="259" w:lineRule="auto"/>
              <w:ind w:left="0" w:right="0" w:firstLine="0"/>
              <w:jc w:val="left"/>
              <w:rPr>
                <w:rFonts w:asciiTheme="majorBidi" w:hAnsiTheme="majorBidi" w:cstheme="majorBidi"/>
              </w:rPr>
            </w:pPr>
            <w:r>
              <w:rPr>
                <w:rFonts w:asciiTheme="majorBidi" w:hAnsiTheme="majorBidi" w:cstheme="majorBidi"/>
              </w:rPr>
              <w:t>Phone: 510.219.3515</w:t>
            </w:r>
          </w:p>
        </w:tc>
      </w:tr>
      <w:tr w:rsidR="00AB7656" w14:paraId="7CB99604" w14:textId="77777777" w:rsidTr="00505869">
        <w:trPr>
          <w:trHeight w:val="331"/>
        </w:trPr>
        <w:tc>
          <w:tcPr>
            <w:tcW w:w="1570" w:type="dxa"/>
          </w:tcPr>
          <w:p w14:paraId="604D2DD1" w14:textId="77777777" w:rsidR="00AB7656" w:rsidRDefault="00000000">
            <w:pPr>
              <w:spacing w:after="0" w:line="259" w:lineRule="auto"/>
              <w:ind w:left="0" w:right="0" w:firstLine="0"/>
              <w:jc w:val="left"/>
              <w:rPr>
                <w:rFonts w:asciiTheme="majorBidi" w:hAnsiTheme="majorBidi" w:cstheme="majorBidi"/>
              </w:rPr>
            </w:pPr>
            <w:r>
              <w:rPr>
                <w:rFonts w:asciiTheme="majorBidi" w:hAnsiTheme="majorBidi" w:cstheme="majorBidi"/>
              </w:rPr>
              <w:t xml:space="preserve"> </w:t>
            </w:r>
            <w:r>
              <w:rPr>
                <w:rFonts w:asciiTheme="majorBidi" w:hAnsiTheme="majorBidi" w:cstheme="majorBidi"/>
              </w:rPr>
              <w:tab/>
              <w:t xml:space="preserve"> </w:t>
            </w:r>
            <w:r>
              <w:rPr>
                <w:rFonts w:asciiTheme="majorBidi" w:hAnsiTheme="majorBidi" w:cstheme="majorBidi"/>
              </w:rPr>
              <w:tab/>
              <w:t xml:space="preserve"> </w:t>
            </w:r>
          </w:p>
        </w:tc>
        <w:tc>
          <w:tcPr>
            <w:tcW w:w="5130" w:type="dxa"/>
          </w:tcPr>
          <w:p w14:paraId="0BE38AC3" w14:textId="77777777" w:rsidR="00AB7656" w:rsidRDefault="00000000">
            <w:pPr>
              <w:spacing w:after="0" w:line="259" w:lineRule="auto"/>
              <w:ind w:left="0" w:right="0" w:firstLine="0"/>
              <w:jc w:val="left"/>
              <w:rPr>
                <w:rFonts w:asciiTheme="majorBidi" w:hAnsiTheme="majorBidi" w:cstheme="majorBidi"/>
              </w:rPr>
            </w:pPr>
            <w:r>
              <w:rPr>
                <w:rFonts w:asciiTheme="majorBidi" w:hAnsiTheme="majorBidi" w:cstheme="majorBidi"/>
              </w:rPr>
              <w:t>Attention: Susan Szecsi</w:t>
            </w:r>
            <w:r>
              <w:rPr>
                <w:rFonts w:asciiTheme="majorBidi" w:hAnsiTheme="majorBidi" w:cstheme="majorBidi"/>
              </w:rPr>
              <w:br/>
            </w:r>
          </w:p>
          <w:p w14:paraId="334F1A88" w14:textId="77777777" w:rsidR="00AB7656" w:rsidRDefault="00000000">
            <w:pPr>
              <w:spacing w:after="0" w:line="259" w:lineRule="auto"/>
              <w:ind w:left="0" w:right="0" w:firstLine="0"/>
              <w:jc w:val="left"/>
              <w:rPr>
                <w:rFonts w:asciiTheme="majorBidi" w:hAnsiTheme="majorBidi" w:cstheme="majorBidi"/>
              </w:rPr>
            </w:pPr>
            <w:r>
              <w:rPr>
                <w:rFonts w:asciiTheme="majorBidi" w:hAnsiTheme="majorBidi" w:cstheme="majorBidi"/>
              </w:rPr>
              <w:t xml:space="preserve"> </w:t>
            </w:r>
          </w:p>
        </w:tc>
      </w:tr>
    </w:tbl>
    <w:p w14:paraId="76BD03A6" w14:textId="77777777" w:rsidR="00AB7656" w:rsidRDefault="00000000">
      <w:pPr>
        <w:pStyle w:val="ListParagraph"/>
        <w:numPr>
          <w:ilvl w:val="0"/>
          <w:numId w:val="2"/>
        </w:numPr>
        <w:shd w:val="clear" w:color="auto" w:fill="FFFFFF"/>
        <w:spacing w:after="240" w:line="250" w:lineRule="auto"/>
        <w:ind w:left="0" w:right="0" w:firstLine="720"/>
        <w:contextualSpacing w:val="0"/>
        <w:rPr>
          <w:b/>
          <w:bCs/>
          <w:color w:val="2C363A"/>
        </w:rPr>
      </w:pPr>
      <w:r>
        <w:rPr>
          <w:u w:val="single"/>
        </w:rPr>
        <w:t>Default.</w:t>
      </w:r>
      <w:r>
        <w:t xml:space="preserve"> If Publisher shall, during the existence of this Agreement, default in the delivery of semi-annual statements, or in the making of such payments as herein provided (unless due to a good-faith dispute between the parties), and shall neglect or refuse to deliver such statements or make such payments within forty-five (45) days after written notice to the Managing Partner of Marble Press LLC of such default (such notice to be sent by certified or registered mail, return receipt requested), this Agreement shall terminate at the end of such forty-five (45) days without prejudice to the Author’s claim for any monies which may have accrued under this Agreement, or to any other rights and remedies to which the Author may be entitled, and all right, title and interest in and to the Work shall automatically revert to the Author for the Author’s own and sole use and disposition, and Publisher shall provide the Author with copies of all outstanding license agreements.</w:t>
      </w:r>
    </w:p>
    <w:p w14:paraId="4C41DC3C" w14:textId="77777777" w:rsidR="00AB7656" w:rsidRDefault="00000000">
      <w:pPr>
        <w:pStyle w:val="ListParagraph"/>
        <w:numPr>
          <w:ilvl w:val="0"/>
          <w:numId w:val="2"/>
        </w:numPr>
        <w:shd w:val="clear" w:color="auto" w:fill="FFFFFF"/>
        <w:spacing w:after="240" w:line="250" w:lineRule="auto"/>
        <w:ind w:left="0" w:right="0" w:firstLine="720"/>
        <w:contextualSpacing w:val="0"/>
        <w:rPr>
          <w:b/>
          <w:bCs/>
          <w:color w:val="2C363A"/>
        </w:rPr>
      </w:pPr>
      <w:r>
        <w:rPr>
          <w:u w:val="single"/>
        </w:rPr>
        <w:t>Governing Law; Submission to Jurisdiction</w:t>
      </w:r>
      <w:r>
        <w:t xml:space="preserve">. This Agreement and all related documents, and all matters arising out of or relating to this Agreement, whether sounding in contract, tort, or statute are governed by, and construed in accordance with, the laws of the State of California, United States of America without giving effect to the conflict of laws provisions thereof to the extent such principles or rules would require or permit the application of the laws of any jurisdiction other than those of the State of California. Any legal suit, action, or proceeding </w:t>
      </w:r>
      <w:r>
        <w:lastRenderedPageBreak/>
        <w:t>arising out of or relating to this Agreement may be instituted in the federal courts of the United States of America or the courts of the State of California in each case located in the City of San Francisco and County of San Francisco, and each party irrevocably submits to the exclusive jurisdiction of such courts in any such legal suit, action, or proceeding. Service of process, summons, notice, or other document by mail to such party's address set forth herein is effective service of process for any suit, action, or other proceeding brought in any such court.</w:t>
      </w:r>
    </w:p>
    <w:p w14:paraId="15AAB70D" w14:textId="77777777" w:rsidR="00AB7656" w:rsidRDefault="00000000">
      <w:pPr>
        <w:pStyle w:val="ListParagraph"/>
        <w:numPr>
          <w:ilvl w:val="0"/>
          <w:numId w:val="2"/>
        </w:numPr>
        <w:shd w:val="clear" w:color="auto" w:fill="FFFFFF"/>
        <w:spacing w:after="240" w:line="250" w:lineRule="auto"/>
        <w:ind w:left="0" w:right="0" w:firstLine="720"/>
        <w:contextualSpacing w:val="0"/>
        <w:rPr>
          <w:b/>
          <w:bCs/>
          <w:color w:val="2C363A"/>
        </w:rPr>
      </w:pPr>
      <w:r>
        <w:rPr>
          <w:u w:val="single"/>
        </w:rPr>
        <w:t>Counterparts</w:t>
      </w:r>
      <w:r>
        <w:t>. This Agreement may be executed in counterparts, each of which is deemed an original, but all of which together are deemed to be one and the same agreement.</w:t>
      </w:r>
    </w:p>
    <w:p w14:paraId="513D2B9D" w14:textId="77777777" w:rsidR="00AB7656" w:rsidRDefault="00000000">
      <w:pPr>
        <w:pStyle w:val="ListParagraph"/>
        <w:spacing w:after="0" w:line="259" w:lineRule="auto"/>
        <w:ind w:left="0" w:right="0" w:firstLine="0"/>
        <w:jc w:val="center"/>
        <w:rPr>
          <w:b/>
          <w:i/>
        </w:rPr>
      </w:pPr>
      <w:r>
        <w:rPr>
          <w:b/>
          <w:i/>
        </w:rPr>
        <w:t>[Signature Page Follows]</w:t>
      </w:r>
    </w:p>
    <w:p w14:paraId="32BF0139" w14:textId="77777777" w:rsidR="00AB7656" w:rsidRDefault="00000000">
      <w:pPr>
        <w:spacing w:after="0" w:line="240" w:lineRule="auto"/>
        <w:ind w:left="0" w:right="0" w:firstLine="0"/>
        <w:jc w:val="left"/>
        <w:rPr>
          <w:b/>
          <w:i/>
        </w:rPr>
      </w:pPr>
      <w:r>
        <w:rPr>
          <w:b/>
          <w:i/>
        </w:rPr>
        <w:br w:type="page" w:clear="all"/>
      </w:r>
    </w:p>
    <w:p w14:paraId="649EC3B8" w14:textId="77777777" w:rsidR="00AB7656" w:rsidRDefault="00AB7656">
      <w:pPr>
        <w:pStyle w:val="ListParagraph"/>
        <w:spacing w:after="0" w:line="259" w:lineRule="auto"/>
        <w:ind w:left="0" w:right="0" w:firstLine="0"/>
        <w:jc w:val="center"/>
      </w:pPr>
    </w:p>
    <w:p w14:paraId="39C745C8" w14:textId="77777777" w:rsidR="00AB7656" w:rsidRDefault="00000000">
      <w:pPr>
        <w:shd w:val="clear" w:color="auto" w:fill="FFFFFF"/>
        <w:spacing w:after="240" w:line="250" w:lineRule="auto"/>
        <w:ind w:left="0" w:right="0" w:firstLine="0"/>
      </w:pPr>
      <w:r>
        <w:t>IN WITNESS WHEREOF, the parties hereto have executed this Agreement as of the date first above written.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AB7656" w14:paraId="7D880BB1" w14:textId="77777777">
        <w:tc>
          <w:tcPr>
            <w:tcW w:w="4675" w:type="dxa"/>
          </w:tcPr>
          <w:p w14:paraId="2CCCDEA0" w14:textId="77777777" w:rsidR="00AB7656" w:rsidRDefault="00000000">
            <w:pPr>
              <w:spacing w:after="240" w:line="250" w:lineRule="auto"/>
              <w:ind w:left="0" w:right="0" w:firstLine="0"/>
              <w:rPr>
                <w:b/>
                <w:bCs/>
                <w:color w:val="2C363A"/>
              </w:rPr>
            </w:pPr>
            <w:r>
              <w:rPr>
                <w:b/>
                <w:bCs/>
                <w:color w:val="2C363A"/>
              </w:rPr>
              <w:t>AUTHOR</w:t>
            </w:r>
          </w:p>
        </w:tc>
        <w:tc>
          <w:tcPr>
            <w:tcW w:w="4675" w:type="dxa"/>
          </w:tcPr>
          <w:p w14:paraId="4A857937" w14:textId="77777777" w:rsidR="00AB7656" w:rsidRDefault="00000000">
            <w:pPr>
              <w:spacing w:after="240" w:line="250" w:lineRule="auto"/>
              <w:ind w:left="0" w:right="0" w:firstLine="0"/>
              <w:rPr>
                <w:b/>
                <w:bCs/>
                <w:color w:val="2C363A"/>
              </w:rPr>
            </w:pPr>
            <w:r>
              <w:rPr>
                <w:b/>
                <w:bCs/>
                <w:color w:val="2C363A"/>
              </w:rPr>
              <w:t>PUBLISHER</w:t>
            </w:r>
          </w:p>
        </w:tc>
      </w:tr>
      <w:tr w:rsidR="00AB7656" w14:paraId="4B79B888" w14:textId="77777777">
        <w:tc>
          <w:tcPr>
            <w:tcW w:w="4675" w:type="dxa"/>
          </w:tcPr>
          <w:p w14:paraId="673587E6" w14:textId="77777777" w:rsidR="00AB7656" w:rsidRDefault="00AB7656">
            <w:pPr>
              <w:spacing w:after="240" w:line="250" w:lineRule="auto"/>
              <w:ind w:left="0" w:right="0" w:firstLine="0"/>
              <w:rPr>
                <w:b/>
                <w:bCs/>
                <w:color w:val="2C363A"/>
              </w:rPr>
            </w:pPr>
          </w:p>
        </w:tc>
        <w:tc>
          <w:tcPr>
            <w:tcW w:w="4675" w:type="dxa"/>
          </w:tcPr>
          <w:p w14:paraId="0BAB737A" w14:textId="6E6043FB" w:rsidR="00AB7656" w:rsidRDefault="00AB7656">
            <w:pPr>
              <w:spacing w:after="240" w:line="250" w:lineRule="auto"/>
              <w:ind w:left="0" w:right="0" w:firstLine="0"/>
              <w:rPr>
                <w:b/>
                <w:bCs/>
                <w:color w:val="2C363A"/>
              </w:rPr>
            </w:pPr>
          </w:p>
        </w:tc>
      </w:tr>
      <w:tr w:rsidR="00AB7656" w14:paraId="075F2528" w14:textId="77777777">
        <w:tc>
          <w:tcPr>
            <w:tcW w:w="4675" w:type="dxa"/>
          </w:tcPr>
          <w:p w14:paraId="17A90F80" w14:textId="77777777" w:rsidR="00AB7656" w:rsidRDefault="00000000">
            <w:pPr>
              <w:spacing w:after="240" w:line="250" w:lineRule="auto"/>
              <w:ind w:left="0" w:right="0" w:firstLine="0"/>
              <w:contextualSpacing/>
            </w:pPr>
            <w:r>
              <w:t>_________________</w:t>
            </w:r>
          </w:p>
          <w:p w14:paraId="4BC47006" w14:textId="77777777" w:rsidR="00AB7656" w:rsidRDefault="00000000">
            <w:pPr>
              <w:spacing w:after="240" w:line="250" w:lineRule="auto"/>
              <w:ind w:left="0" w:right="0" w:firstLine="0"/>
              <w:contextualSpacing/>
              <w:rPr>
                <w:color w:val="2C363A"/>
              </w:rPr>
            </w:pPr>
            <w:r>
              <w:rPr>
                <w:color w:val="FF0000"/>
              </w:rPr>
              <w:t>Benjamin Gillenwater</w:t>
            </w:r>
          </w:p>
          <w:p w14:paraId="4A0A7DCE" w14:textId="77777777" w:rsidR="00AB7656" w:rsidRDefault="00000000">
            <w:pPr>
              <w:spacing w:after="240" w:line="250" w:lineRule="auto"/>
              <w:ind w:left="0" w:right="0" w:firstLine="0"/>
              <w:contextualSpacing/>
              <w:rPr>
                <w:color w:val="2C363A"/>
              </w:rPr>
            </w:pPr>
            <w:r>
              <w:rPr>
                <w:color w:val="2C363A"/>
              </w:rPr>
              <w:t>Author</w:t>
            </w:r>
          </w:p>
        </w:tc>
        <w:tc>
          <w:tcPr>
            <w:tcW w:w="4675" w:type="dxa"/>
          </w:tcPr>
          <w:p w14:paraId="0F8929B2" w14:textId="77777777" w:rsidR="00AB7656" w:rsidRDefault="00000000">
            <w:pPr>
              <w:spacing w:after="240" w:line="250" w:lineRule="auto"/>
              <w:ind w:left="0" w:right="0" w:firstLine="0"/>
              <w:contextualSpacing/>
            </w:pPr>
            <w:r>
              <w:t>________________</w:t>
            </w:r>
          </w:p>
          <w:p w14:paraId="1C114DAF" w14:textId="77777777" w:rsidR="00AB7656" w:rsidRDefault="00000000">
            <w:pPr>
              <w:spacing w:after="0" w:line="259" w:lineRule="auto"/>
              <w:ind w:left="0" w:right="0" w:firstLine="0"/>
              <w:jc w:val="left"/>
            </w:pPr>
            <w:r>
              <w:t xml:space="preserve">Susan Szecsi </w:t>
            </w:r>
          </w:p>
          <w:p w14:paraId="5EDDF901" w14:textId="77777777" w:rsidR="00AB7656" w:rsidRDefault="00000000">
            <w:pPr>
              <w:spacing w:after="0" w:line="259" w:lineRule="auto"/>
              <w:ind w:left="0" w:right="0" w:firstLine="0"/>
              <w:jc w:val="left"/>
            </w:pPr>
            <w:r>
              <w:t>Marble Press LLC</w:t>
            </w:r>
          </w:p>
          <w:p w14:paraId="04A691AE" w14:textId="77777777" w:rsidR="00AB7656" w:rsidRDefault="00000000">
            <w:pPr>
              <w:spacing w:after="96" w:line="259" w:lineRule="auto"/>
              <w:ind w:left="0" w:right="63" w:firstLine="0"/>
            </w:pPr>
            <w:r>
              <w:t>Managing Partner</w:t>
            </w:r>
          </w:p>
          <w:p w14:paraId="052F6C6C" w14:textId="77777777" w:rsidR="00AB7656" w:rsidRDefault="00AB7656">
            <w:pPr>
              <w:spacing w:after="240" w:line="250" w:lineRule="auto"/>
              <w:ind w:left="0" w:right="0" w:firstLine="0"/>
              <w:rPr>
                <w:b/>
                <w:bCs/>
                <w:color w:val="2C363A"/>
              </w:rPr>
            </w:pPr>
          </w:p>
        </w:tc>
      </w:tr>
    </w:tbl>
    <w:p w14:paraId="682132AA" w14:textId="77777777" w:rsidR="00AB7656" w:rsidRDefault="00AB7656">
      <w:pPr>
        <w:shd w:val="clear" w:color="auto" w:fill="FFFFFF"/>
        <w:spacing w:after="240" w:line="250" w:lineRule="auto"/>
        <w:ind w:left="0" w:right="0" w:firstLine="0"/>
        <w:rPr>
          <w:b/>
          <w:bCs/>
          <w:color w:val="2C363A"/>
        </w:rPr>
      </w:pPr>
    </w:p>
    <w:p w14:paraId="5CA19A5E" w14:textId="77777777" w:rsidR="00AB7656" w:rsidRDefault="00AB7656">
      <w:pPr>
        <w:shd w:val="clear" w:color="auto" w:fill="FFFFFF"/>
        <w:spacing w:after="240" w:line="250" w:lineRule="auto"/>
        <w:ind w:left="0" w:right="0" w:firstLine="0"/>
        <w:rPr>
          <w:b/>
          <w:bCs/>
          <w:color w:val="2C363A"/>
        </w:rPr>
      </w:pPr>
    </w:p>
    <w:p w14:paraId="3EABF698" w14:textId="77777777" w:rsidR="00AB7656" w:rsidRDefault="00AB7656">
      <w:pPr>
        <w:shd w:val="clear" w:color="auto" w:fill="FFFFFF"/>
        <w:spacing w:after="240" w:line="250" w:lineRule="auto"/>
        <w:ind w:left="0" w:right="0" w:firstLine="0"/>
        <w:rPr>
          <w:b/>
          <w:bCs/>
          <w:color w:val="FF0000"/>
        </w:rPr>
      </w:pPr>
    </w:p>
    <w:p w14:paraId="661FF504" w14:textId="77777777" w:rsidR="00AB7656" w:rsidRDefault="00AB7656">
      <w:pPr>
        <w:shd w:val="clear" w:color="auto" w:fill="FFFFFF"/>
        <w:spacing w:after="240" w:line="250" w:lineRule="auto"/>
        <w:ind w:left="0" w:right="0" w:firstLine="0"/>
        <w:rPr>
          <w:b/>
          <w:bCs/>
          <w:color w:val="FF0000"/>
        </w:rPr>
      </w:pPr>
    </w:p>
    <w:sectPr w:rsidR="00AB7656">
      <w:footerReference w:type="default" r:id="rId8"/>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C7C05E" w14:textId="77777777" w:rsidR="00993163" w:rsidRDefault="00993163">
      <w:pPr>
        <w:spacing w:after="0" w:line="240" w:lineRule="auto"/>
      </w:pPr>
      <w:r>
        <w:separator/>
      </w:r>
    </w:p>
  </w:endnote>
  <w:endnote w:type="continuationSeparator" w:id="0">
    <w:p w14:paraId="1A061160" w14:textId="77777777" w:rsidR="00993163" w:rsidRDefault="009931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w:panose1 w:val="0204060405050502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53148709"/>
      <w:docPartObj>
        <w:docPartGallery w:val="Page Numbers (Bottom of Page)"/>
        <w:docPartUnique/>
      </w:docPartObj>
    </w:sdtPr>
    <w:sdtContent>
      <w:p w14:paraId="49AF3F3E" w14:textId="77777777" w:rsidR="00AB7656" w:rsidRDefault="00000000">
        <w:pPr>
          <w:pStyle w:val="Footer"/>
          <w:jc w:val="right"/>
        </w:pPr>
        <w:r>
          <w:fldChar w:fldCharType="begin"/>
        </w:r>
        <w:r>
          <w:instrText xml:space="preserve"> PAGE   \* MERGEFORMAT </w:instrText>
        </w:r>
        <w:r>
          <w:fldChar w:fldCharType="separate"/>
        </w:r>
        <w:r>
          <w:t>2</w:t>
        </w:r>
        <w:r>
          <w:fldChar w:fldCharType="end"/>
        </w:r>
      </w:p>
    </w:sdtContent>
  </w:sdt>
  <w:p w14:paraId="631A0B1B" w14:textId="77777777" w:rsidR="00AB7656" w:rsidRDefault="00AB765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E65168" w14:textId="77777777" w:rsidR="00993163" w:rsidRDefault="00993163">
      <w:pPr>
        <w:spacing w:after="0" w:line="240" w:lineRule="auto"/>
      </w:pPr>
      <w:r>
        <w:separator/>
      </w:r>
    </w:p>
  </w:footnote>
  <w:footnote w:type="continuationSeparator" w:id="0">
    <w:p w14:paraId="64E27FE6" w14:textId="77777777" w:rsidR="00993163" w:rsidRDefault="0099316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multilevel"/>
    <w:tmpl w:val="2E0CFC28"/>
    <w:lvl w:ilvl="0">
      <w:start w:val="1"/>
      <w:numFmt w:val="decimal"/>
      <w:pStyle w:val="ListNumber"/>
      <w:lvlText w:val="%1."/>
      <w:lvlJc w:val="left"/>
      <w:pPr>
        <w:tabs>
          <w:tab w:val="num" w:pos="360"/>
        </w:tabs>
        <w:ind w:left="360" w:hanging="360"/>
      </w:p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1" w15:restartNumberingAfterBreak="0">
    <w:nsid w:val="14912C64"/>
    <w:multiLevelType w:val="multilevel"/>
    <w:tmpl w:val="51769772"/>
    <w:lvl w:ilvl="0">
      <w:start w:val="1"/>
      <w:numFmt w:val="decimal"/>
      <w:lvlText w:val="%1"/>
      <w:lvlJc w:val="left"/>
      <w:pPr>
        <w:ind w:left="360"/>
      </w:pPr>
      <w:rPr>
        <w:rFonts w:ascii="Times New Roman" w:eastAsia="Times New Roman" w:hAnsi="Times New Roman" w:cs="Times New Roman"/>
        <w:b w:val="0"/>
        <w:i w:val="0"/>
        <w:strike w:val="0"/>
        <w:color w:val="000000"/>
        <w:sz w:val="24"/>
        <w:szCs w:val="24"/>
        <w:u w:val="none"/>
        <w:shd w:val="clear" w:color="auto" w:fill="auto"/>
        <w:vertAlign w:val="baseline"/>
      </w:rPr>
    </w:lvl>
    <w:lvl w:ilvl="1">
      <w:start w:val="1"/>
      <w:numFmt w:val="lowerLetter"/>
      <w:lvlText w:val="%2"/>
      <w:lvlJc w:val="left"/>
      <w:pPr>
        <w:ind w:left="1800"/>
      </w:pPr>
      <w:rPr>
        <w:rFonts w:ascii="Times New Roman" w:eastAsia="Times New Roman" w:hAnsi="Times New Roman" w:cs="Times New Roman"/>
        <w:b w:val="0"/>
        <w:i w:val="0"/>
        <w:strike w:val="0"/>
        <w:color w:val="000000"/>
        <w:sz w:val="24"/>
        <w:szCs w:val="24"/>
        <w:u w:val="none"/>
        <w:shd w:val="clear" w:color="auto" w:fill="auto"/>
        <w:vertAlign w:val="baseline"/>
      </w:rPr>
    </w:lvl>
    <w:lvl w:ilvl="2">
      <w:start w:val="1"/>
      <w:numFmt w:val="lowerRoman"/>
      <w:lvlRestart w:val="0"/>
      <w:lvlText w:val="(%3)"/>
      <w:lvlJc w:val="left"/>
      <w:pPr>
        <w:ind w:left="2480"/>
      </w:pPr>
      <w:rPr>
        <w:rFonts w:ascii="Times New Roman" w:eastAsia="Times New Roman" w:hAnsi="Times New Roman" w:cs="Times New Roman"/>
        <w:b w:val="0"/>
        <w:i w:val="0"/>
        <w:strike w:val="0"/>
        <w:color w:val="000000"/>
        <w:sz w:val="24"/>
        <w:szCs w:val="24"/>
        <w:u w:val="none"/>
        <w:shd w:val="clear" w:color="auto" w:fill="auto"/>
        <w:vertAlign w:val="baseline"/>
      </w:rPr>
    </w:lvl>
    <w:lvl w:ilvl="3">
      <w:start w:val="1"/>
      <w:numFmt w:val="decimal"/>
      <w:lvlText w:val="%4"/>
      <w:lvlJc w:val="left"/>
      <w:pPr>
        <w:ind w:left="3960"/>
      </w:pPr>
      <w:rPr>
        <w:rFonts w:ascii="Times New Roman" w:eastAsia="Times New Roman" w:hAnsi="Times New Roman" w:cs="Times New Roman"/>
        <w:b w:val="0"/>
        <w:i w:val="0"/>
        <w:strike w:val="0"/>
        <w:color w:val="000000"/>
        <w:sz w:val="24"/>
        <w:szCs w:val="24"/>
        <w:u w:val="none"/>
        <w:shd w:val="clear" w:color="auto" w:fill="auto"/>
        <w:vertAlign w:val="baseline"/>
      </w:rPr>
    </w:lvl>
    <w:lvl w:ilvl="4">
      <w:start w:val="1"/>
      <w:numFmt w:val="lowerLetter"/>
      <w:lvlText w:val="%5"/>
      <w:lvlJc w:val="left"/>
      <w:pPr>
        <w:ind w:left="4680"/>
      </w:pPr>
      <w:rPr>
        <w:rFonts w:ascii="Times New Roman" w:eastAsia="Times New Roman" w:hAnsi="Times New Roman" w:cs="Times New Roman"/>
        <w:b w:val="0"/>
        <w:i w:val="0"/>
        <w:strike w:val="0"/>
        <w:color w:val="000000"/>
        <w:sz w:val="24"/>
        <w:szCs w:val="24"/>
        <w:u w:val="none"/>
        <w:shd w:val="clear" w:color="auto" w:fill="auto"/>
        <w:vertAlign w:val="baseline"/>
      </w:rPr>
    </w:lvl>
    <w:lvl w:ilvl="5">
      <w:start w:val="1"/>
      <w:numFmt w:val="lowerRoman"/>
      <w:lvlText w:val="%6"/>
      <w:lvlJc w:val="left"/>
      <w:pPr>
        <w:ind w:left="5400"/>
      </w:pPr>
      <w:rPr>
        <w:rFonts w:ascii="Times New Roman" w:eastAsia="Times New Roman" w:hAnsi="Times New Roman" w:cs="Times New Roman"/>
        <w:b w:val="0"/>
        <w:i w:val="0"/>
        <w:strike w:val="0"/>
        <w:color w:val="000000"/>
        <w:sz w:val="24"/>
        <w:szCs w:val="24"/>
        <w:u w:val="none"/>
        <w:shd w:val="clear" w:color="auto" w:fill="auto"/>
        <w:vertAlign w:val="baseline"/>
      </w:rPr>
    </w:lvl>
    <w:lvl w:ilvl="6">
      <w:start w:val="1"/>
      <w:numFmt w:val="decimal"/>
      <w:lvlText w:val="%7"/>
      <w:lvlJc w:val="left"/>
      <w:pPr>
        <w:ind w:left="6120"/>
      </w:pPr>
      <w:rPr>
        <w:rFonts w:ascii="Times New Roman" w:eastAsia="Times New Roman" w:hAnsi="Times New Roman" w:cs="Times New Roman"/>
        <w:b w:val="0"/>
        <w:i w:val="0"/>
        <w:strike w:val="0"/>
        <w:color w:val="000000"/>
        <w:sz w:val="24"/>
        <w:szCs w:val="24"/>
        <w:u w:val="none"/>
        <w:shd w:val="clear" w:color="auto" w:fill="auto"/>
        <w:vertAlign w:val="baseline"/>
      </w:rPr>
    </w:lvl>
    <w:lvl w:ilvl="7">
      <w:start w:val="1"/>
      <w:numFmt w:val="lowerLetter"/>
      <w:lvlText w:val="%8"/>
      <w:lvlJc w:val="left"/>
      <w:pPr>
        <w:ind w:left="6840"/>
      </w:pPr>
      <w:rPr>
        <w:rFonts w:ascii="Times New Roman" w:eastAsia="Times New Roman" w:hAnsi="Times New Roman" w:cs="Times New Roman"/>
        <w:b w:val="0"/>
        <w:i w:val="0"/>
        <w:strike w:val="0"/>
        <w:color w:val="000000"/>
        <w:sz w:val="24"/>
        <w:szCs w:val="24"/>
        <w:u w:val="none"/>
        <w:shd w:val="clear" w:color="auto" w:fill="auto"/>
        <w:vertAlign w:val="baseline"/>
      </w:rPr>
    </w:lvl>
    <w:lvl w:ilvl="8">
      <w:start w:val="1"/>
      <w:numFmt w:val="lowerRoman"/>
      <w:lvlText w:val="%9"/>
      <w:lvlJc w:val="left"/>
      <w:pPr>
        <w:ind w:left="7560"/>
      </w:pPr>
      <w:rPr>
        <w:rFonts w:ascii="Times New Roman" w:eastAsia="Times New Roman" w:hAnsi="Times New Roman" w:cs="Times New Roman"/>
        <w:b w:val="0"/>
        <w:i w:val="0"/>
        <w:strike w:val="0"/>
        <w:color w:val="000000"/>
        <w:sz w:val="24"/>
        <w:szCs w:val="24"/>
        <w:u w:val="none"/>
        <w:shd w:val="clear" w:color="auto" w:fill="auto"/>
        <w:vertAlign w:val="baseline"/>
      </w:rPr>
    </w:lvl>
  </w:abstractNum>
  <w:abstractNum w:abstractNumId="2" w15:restartNumberingAfterBreak="0">
    <w:nsid w:val="14AE0A73"/>
    <w:multiLevelType w:val="multilevel"/>
    <w:tmpl w:val="0B24D620"/>
    <w:lvl w:ilvl="0">
      <w:start w:val="1"/>
      <w:numFmt w:val="bullet"/>
      <w:lvlText w:val=""/>
      <w:lvlJc w:val="left"/>
      <w:pPr>
        <w:ind w:left="2470" w:hanging="360"/>
      </w:pPr>
      <w:rPr>
        <w:rFonts w:ascii="Symbol" w:hAnsi="Symbol" w:hint="default"/>
      </w:rPr>
    </w:lvl>
    <w:lvl w:ilvl="1">
      <w:start w:val="1"/>
      <w:numFmt w:val="bullet"/>
      <w:lvlText w:val="o"/>
      <w:lvlJc w:val="left"/>
      <w:pPr>
        <w:ind w:left="3190" w:hanging="360"/>
      </w:pPr>
      <w:rPr>
        <w:rFonts w:ascii="Courier New" w:hAnsi="Courier New" w:cs="Courier New" w:hint="default"/>
      </w:rPr>
    </w:lvl>
    <w:lvl w:ilvl="2">
      <w:start w:val="1"/>
      <w:numFmt w:val="bullet"/>
      <w:lvlText w:val=""/>
      <w:lvlJc w:val="left"/>
      <w:pPr>
        <w:ind w:left="3910" w:hanging="360"/>
      </w:pPr>
      <w:rPr>
        <w:rFonts w:ascii="Wingdings" w:hAnsi="Wingdings" w:hint="default"/>
      </w:rPr>
    </w:lvl>
    <w:lvl w:ilvl="3">
      <w:start w:val="1"/>
      <w:numFmt w:val="bullet"/>
      <w:lvlText w:val=""/>
      <w:lvlJc w:val="left"/>
      <w:pPr>
        <w:ind w:left="4630" w:hanging="360"/>
      </w:pPr>
      <w:rPr>
        <w:rFonts w:ascii="Symbol" w:hAnsi="Symbol" w:hint="default"/>
      </w:rPr>
    </w:lvl>
    <w:lvl w:ilvl="4">
      <w:start w:val="1"/>
      <w:numFmt w:val="bullet"/>
      <w:lvlText w:val="o"/>
      <w:lvlJc w:val="left"/>
      <w:pPr>
        <w:ind w:left="5350" w:hanging="360"/>
      </w:pPr>
      <w:rPr>
        <w:rFonts w:ascii="Courier New" w:hAnsi="Courier New" w:cs="Courier New" w:hint="default"/>
      </w:rPr>
    </w:lvl>
    <w:lvl w:ilvl="5">
      <w:start w:val="1"/>
      <w:numFmt w:val="bullet"/>
      <w:lvlText w:val=""/>
      <w:lvlJc w:val="left"/>
      <w:pPr>
        <w:ind w:left="6070" w:hanging="360"/>
      </w:pPr>
      <w:rPr>
        <w:rFonts w:ascii="Wingdings" w:hAnsi="Wingdings" w:hint="default"/>
      </w:rPr>
    </w:lvl>
    <w:lvl w:ilvl="6">
      <w:start w:val="1"/>
      <w:numFmt w:val="bullet"/>
      <w:lvlText w:val=""/>
      <w:lvlJc w:val="left"/>
      <w:pPr>
        <w:ind w:left="6790" w:hanging="360"/>
      </w:pPr>
      <w:rPr>
        <w:rFonts w:ascii="Symbol" w:hAnsi="Symbol" w:hint="default"/>
      </w:rPr>
    </w:lvl>
    <w:lvl w:ilvl="7">
      <w:start w:val="1"/>
      <w:numFmt w:val="bullet"/>
      <w:lvlText w:val="o"/>
      <w:lvlJc w:val="left"/>
      <w:pPr>
        <w:ind w:left="7510" w:hanging="360"/>
      </w:pPr>
      <w:rPr>
        <w:rFonts w:ascii="Courier New" w:hAnsi="Courier New" w:cs="Courier New" w:hint="default"/>
      </w:rPr>
    </w:lvl>
    <w:lvl w:ilvl="8">
      <w:start w:val="1"/>
      <w:numFmt w:val="bullet"/>
      <w:lvlText w:val=""/>
      <w:lvlJc w:val="left"/>
      <w:pPr>
        <w:ind w:left="8230" w:hanging="360"/>
      </w:pPr>
      <w:rPr>
        <w:rFonts w:ascii="Wingdings" w:hAnsi="Wingdings" w:hint="default"/>
      </w:rPr>
    </w:lvl>
  </w:abstractNum>
  <w:abstractNum w:abstractNumId="3" w15:restartNumberingAfterBreak="0">
    <w:nsid w:val="1EBF3FBC"/>
    <w:multiLevelType w:val="multilevel"/>
    <w:tmpl w:val="C0E48F92"/>
    <w:lvl w:ilvl="0">
      <w:start w:val="1"/>
      <w:numFmt w:val="decimal"/>
      <w:lvlText w:val="%1"/>
      <w:lvlJc w:val="left"/>
      <w:pPr>
        <w:ind w:left="360"/>
      </w:pPr>
      <w:rPr>
        <w:rFonts w:ascii="Times New Roman" w:eastAsia="Times New Roman" w:hAnsi="Times New Roman" w:cs="Times New Roman"/>
        <w:b w:val="0"/>
        <w:i w:val="0"/>
        <w:strike w:val="0"/>
        <w:color w:val="000000"/>
        <w:sz w:val="24"/>
        <w:szCs w:val="24"/>
        <w:u w:val="none"/>
        <w:shd w:val="clear" w:color="auto" w:fill="auto"/>
        <w:vertAlign w:val="baseline"/>
      </w:rPr>
    </w:lvl>
    <w:lvl w:ilvl="1">
      <w:start w:val="1"/>
      <w:numFmt w:val="lowerLetter"/>
      <w:lvlText w:val="(%2)"/>
      <w:lvlJc w:val="left"/>
      <w:pPr>
        <w:ind w:left="1745"/>
      </w:pPr>
      <w:rPr>
        <w:rFonts w:ascii="Times New Roman" w:eastAsia="Times New Roman" w:hAnsi="Times New Roman" w:cs="Times New Roman"/>
        <w:b w:val="0"/>
        <w:i w:val="0"/>
        <w:strike w:val="0"/>
        <w:color w:val="000000"/>
        <w:sz w:val="24"/>
        <w:szCs w:val="24"/>
        <w:u w:val="none"/>
        <w:shd w:val="clear" w:color="auto" w:fill="auto"/>
        <w:vertAlign w:val="baseline"/>
      </w:rPr>
    </w:lvl>
    <w:lvl w:ilvl="2">
      <w:start w:val="1"/>
      <w:numFmt w:val="lowerRoman"/>
      <w:lvlText w:val="%3"/>
      <w:lvlJc w:val="left"/>
      <w:pPr>
        <w:ind w:left="1944"/>
      </w:pPr>
      <w:rPr>
        <w:rFonts w:ascii="Times New Roman" w:eastAsia="Times New Roman" w:hAnsi="Times New Roman" w:cs="Times New Roman"/>
        <w:b w:val="0"/>
        <w:i w:val="0"/>
        <w:strike w:val="0"/>
        <w:color w:val="000000"/>
        <w:sz w:val="24"/>
        <w:szCs w:val="24"/>
        <w:u w:val="none"/>
        <w:shd w:val="clear" w:color="auto" w:fill="auto"/>
        <w:vertAlign w:val="baseline"/>
      </w:rPr>
    </w:lvl>
    <w:lvl w:ilvl="3">
      <w:start w:val="1"/>
      <w:numFmt w:val="decimal"/>
      <w:lvlText w:val="%4"/>
      <w:lvlJc w:val="left"/>
      <w:pPr>
        <w:ind w:left="2664"/>
      </w:pPr>
      <w:rPr>
        <w:rFonts w:ascii="Times New Roman" w:eastAsia="Times New Roman" w:hAnsi="Times New Roman" w:cs="Times New Roman"/>
        <w:b w:val="0"/>
        <w:i w:val="0"/>
        <w:strike w:val="0"/>
        <w:color w:val="000000"/>
        <w:sz w:val="24"/>
        <w:szCs w:val="24"/>
        <w:u w:val="none"/>
        <w:shd w:val="clear" w:color="auto" w:fill="auto"/>
        <w:vertAlign w:val="baseline"/>
      </w:rPr>
    </w:lvl>
    <w:lvl w:ilvl="4">
      <w:start w:val="1"/>
      <w:numFmt w:val="lowerLetter"/>
      <w:lvlText w:val="%5"/>
      <w:lvlJc w:val="left"/>
      <w:pPr>
        <w:ind w:left="3384"/>
      </w:pPr>
      <w:rPr>
        <w:rFonts w:ascii="Times New Roman" w:eastAsia="Times New Roman" w:hAnsi="Times New Roman" w:cs="Times New Roman"/>
        <w:b w:val="0"/>
        <w:i w:val="0"/>
        <w:strike w:val="0"/>
        <w:color w:val="000000"/>
        <w:sz w:val="24"/>
        <w:szCs w:val="24"/>
        <w:u w:val="none"/>
        <w:shd w:val="clear" w:color="auto" w:fill="auto"/>
        <w:vertAlign w:val="baseline"/>
      </w:rPr>
    </w:lvl>
    <w:lvl w:ilvl="5">
      <w:start w:val="1"/>
      <w:numFmt w:val="lowerRoman"/>
      <w:lvlText w:val="%6"/>
      <w:lvlJc w:val="left"/>
      <w:pPr>
        <w:ind w:left="4104"/>
      </w:pPr>
      <w:rPr>
        <w:rFonts w:ascii="Times New Roman" w:eastAsia="Times New Roman" w:hAnsi="Times New Roman" w:cs="Times New Roman"/>
        <w:b w:val="0"/>
        <w:i w:val="0"/>
        <w:strike w:val="0"/>
        <w:color w:val="000000"/>
        <w:sz w:val="24"/>
        <w:szCs w:val="24"/>
        <w:u w:val="none"/>
        <w:shd w:val="clear" w:color="auto" w:fill="auto"/>
        <w:vertAlign w:val="baseline"/>
      </w:rPr>
    </w:lvl>
    <w:lvl w:ilvl="6">
      <w:start w:val="1"/>
      <w:numFmt w:val="decimal"/>
      <w:lvlText w:val="%7"/>
      <w:lvlJc w:val="left"/>
      <w:pPr>
        <w:ind w:left="4824"/>
      </w:pPr>
      <w:rPr>
        <w:rFonts w:ascii="Times New Roman" w:eastAsia="Times New Roman" w:hAnsi="Times New Roman" w:cs="Times New Roman"/>
        <w:b w:val="0"/>
        <w:i w:val="0"/>
        <w:strike w:val="0"/>
        <w:color w:val="000000"/>
        <w:sz w:val="24"/>
        <w:szCs w:val="24"/>
        <w:u w:val="none"/>
        <w:shd w:val="clear" w:color="auto" w:fill="auto"/>
        <w:vertAlign w:val="baseline"/>
      </w:rPr>
    </w:lvl>
    <w:lvl w:ilvl="7">
      <w:start w:val="1"/>
      <w:numFmt w:val="lowerLetter"/>
      <w:lvlText w:val="%8"/>
      <w:lvlJc w:val="left"/>
      <w:pPr>
        <w:ind w:left="5544"/>
      </w:pPr>
      <w:rPr>
        <w:rFonts w:ascii="Times New Roman" w:eastAsia="Times New Roman" w:hAnsi="Times New Roman" w:cs="Times New Roman"/>
        <w:b w:val="0"/>
        <w:i w:val="0"/>
        <w:strike w:val="0"/>
        <w:color w:val="000000"/>
        <w:sz w:val="24"/>
        <w:szCs w:val="24"/>
        <w:u w:val="none"/>
        <w:shd w:val="clear" w:color="auto" w:fill="auto"/>
        <w:vertAlign w:val="baseline"/>
      </w:rPr>
    </w:lvl>
    <w:lvl w:ilvl="8">
      <w:start w:val="1"/>
      <w:numFmt w:val="lowerRoman"/>
      <w:lvlText w:val="%9"/>
      <w:lvlJc w:val="left"/>
      <w:pPr>
        <w:ind w:left="6264"/>
      </w:pPr>
      <w:rPr>
        <w:rFonts w:ascii="Times New Roman" w:eastAsia="Times New Roman" w:hAnsi="Times New Roman" w:cs="Times New Roman"/>
        <w:b w:val="0"/>
        <w:i w:val="0"/>
        <w:strike w:val="0"/>
        <w:color w:val="000000"/>
        <w:sz w:val="24"/>
        <w:szCs w:val="24"/>
        <w:u w:val="none"/>
        <w:shd w:val="clear" w:color="auto" w:fill="auto"/>
        <w:vertAlign w:val="baseline"/>
      </w:rPr>
    </w:lvl>
  </w:abstractNum>
  <w:abstractNum w:abstractNumId="4" w15:restartNumberingAfterBreak="0">
    <w:nsid w:val="2FD52FBB"/>
    <w:multiLevelType w:val="multilevel"/>
    <w:tmpl w:val="B8D8EEC6"/>
    <w:lvl w:ilvl="0">
      <w:start w:val="12"/>
      <w:numFmt w:val="decimal"/>
      <w:lvlText w:val="%1."/>
      <w:lvlJc w:val="left"/>
      <w:pPr>
        <w:ind w:left="2070" w:hanging="360"/>
      </w:pPr>
      <w:rPr>
        <w:rFonts w:hint="default"/>
        <w:u w:val="none"/>
      </w:rPr>
    </w:lvl>
    <w:lvl w:ilvl="1">
      <w:start w:val="1"/>
      <w:numFmt w:val="lowerLetter"/>
      <w:lvlText w:val="%2."/>
      <w:lvlJc w:val="left"/>
      <w:pPr>
        <w:ind w:left="2970" w:hanging="360"/>
      </w:pPr>
    </w:lvl>
    <w:lvl w:ilvl="2">
      <w:start w:val="1"/>
      <w:numFmt w:val="lowerRoman"/>
      <w:lvlText w:val="%3."/>
      <w:lvlJc w:val="right"/>
      <w:pPr>
        <w:ind w:left="3690" w:hanging="180"/>
      </w:pPr>
    </w:lvl>
    <w:lvl w:ilvl="3">
      <w:start w:val="1"/>
      <w:numFmt w:val="decimal"/>
      <w:lvlText w:val="%4."/>
      <w:lvlJc w:val="left"/>
      <w:pPr>
        <w:ind w:left="4410" w:hanging="360"/>
      </w:pPr>
    </w:lvl>
    <w:lvl w:ilvl="4">
      <w:start w:val="1"/>
      <w:numFmt w:val="lowerLetter"/>
      <w:lvlText w:val="%5."/>
      <w:lvlJc w:val="left"/>
      <w:pPr>
        <w:ind w:left="5130" w:hanging="360"/>
      </w:pPr>
    </w:lvl>
    <w:lvl w:ilvl="5">
      <w:start w:val="1"/>
      <w:numFmt w:val="lowerRoman"/>
      <w:lvlText w:val="%6."/>
      <w:lvlJc w:val="right"/>
      <w:pPr>
        <w:ind w:left="5850" w:hanging="180"/>
      </w:pPr>
    </w:lvl>
    <w:lvl w:ilvl="6">
      <w:start w:val="1"/>
      <w:numFmt w:val="decimal"/>
      <w:lvlText w:val="%7."/>
      <w:lvlJc w:val="left"/>
      <w:pPr>
        <w:ind w:left="6570" w:hanging="360"/>
      </w:pPr>
    </w:lvl>
    <w:lvl w:ilvl="7">
      <w:start w:val="1"/>
      <w:numFmt w:val="lowerLetter"/>
      <w:lvlText w:val="%8."/>
      <w:lvlJc w:val="left"/>
      <w:pPr>
        <w:ind w:left="7290" w:hanging="360"/>
      </w:pPr>
    </w:lvl>
    <w:lvl w:ilvl="8">
      <w:start w:val="1"/>
      <w:numFmt w:val="lowerRoman"/>
      <w:lvlText w:val="%9."/>
      <w:lvlJc w:val="right"/>
      <w:pPr>
        <w:ind w:left="8010" w:hanging="180"/>
      </w:pPr>
    </w:lvl>
  </w:abstractNum>
  <w:abstractNum w:abstractNumId="5" w15:restartNumberingAfterBreak="0">
    <w:nsid w:val="58B02728"/>
    <w:multiLevelType w:val="multilevel"/>
    <w:tmpl w:val="32D68E12"/>
    <w:lvl w:ilvl="0">
      <w:start w:val="1"/>
      <w:numFmt w:val="decimal"/>
      <w:lvlText w:val="%1."/>
      <w:lvlJc w:val="left"/>
      <w:pPr>
        <w:ind w:left="720" w:hanging="360"/>
      </w:pPr>
      <w:rPr>
        <w:b w:val="0"/>
        <w:bCs w:val="0"/>
      </w:rPr>
    </w:lvl>
    <w:lvl w:ilvl="1">
      <w:start w:val="1"/>
      <w:numFmt w:val="lowerLetter"/>
      <w:lvlText w:val="%2."/>
      <w:lvlJc w:val="left"/>
      <w:pPr>
        <w:ind w:left="1440" w:hanging="360"/>
      </w:pPr>
      <w:rPr>
        <w:b w:val="0"/>
        <w:bCs w:val="0"/>
      </w:rPr>
    </w:lvl>
    <w:lvl w:ilvl="2">
      <w:start w:val="1"/>
      <w:numFmt w:val="lowerRoman"/>
      <w:lvlText w:val="%3."/>
      <w:lvlJc w:val="right"/>
      <w:pPr>
        <w:ind w:left="2160" w:hanging="180"/>
      </w:pPr>
      <w:rPr>
        <w:b w:val="0"/>
        <w:bCs w:val="0"/>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63E172DF"/>
    <w:multiLevelType w:val="multilevel"/>
    <w:tmpl w:val="26B69D8E"/>
    <w:lvl w:ilvl="0">
      <w:start w:val="1"/>
      <w:numFmt w:val="decimal"/>
      <w:lvlText w:val="%1"/>
      <w:lvlJc w:val="left"/>
      <w:pPr>
        <w:ind w:left="360"/>
      </w:pPr>
      <w:rPr>
        <w:rFonts w:ascii="Times New Roman" w:eastAsia="Times New Roman" w:hAnsi="Times New Roman" w:cs="Times New Roman"/>
        <w:b w:val="0"/>
        <w:i w:val="0"/>
        <w:strike w:val="0"/>
        <w:color w:val="000000"/>
        <w:sz w:val="24"/>
        <w:szCs w:val="24"/>
        <w:u w:val="none"/>
        <w:shd w:val="clear" w:color="auto" w:fill="auto"/>
        <w:vertAlign w:val="baseline"/>
      </w:rPr>
    </w:lvl>
    <w:lvl w:ilvl="1">
      <w:start w:val="1"/>
      <w:numFmt w:val="lowerLetter"/>
      <w:lvlText w:val="%2"/>
      <w:lvlJc w:val="left"/>
      <w:pPr>
        <w:ind w:left="1427"/>
      </w:pPr>
      <w:rPr>
        <w:rFonts w:ascii="Times New Roman" w:eastAsia="Times New Roman" w:hAnsi="Times New Roman" w:cs="Times New Roman"/>
        <w:b w:val="0"/>
        <w:i w:val="0"/>
        <w:strike w:val="0"/>
        <w:color w:val="000000"/>
        <w:sz w:val="24"/>
        <w:szCs w:val="24"/>
        <w:u w:val="none"/>
        <w:shd w:val="clear" w:color="auto" w:fill="auto"/>
        <w:vertAlign w:val="baseline"/>
      </w:rPr>
    </w:lvl>
    <w:lvl w:ilvl="2">
      <w:start w:val="1"/>
      <w:numFmt w:val="lowerRoman"/>
      <w:lvlText w:val="%3"/>
      <w:lvlJc w:val="left"/>
      <w:pPr>
        <w:ind w:left="2493"/>
      </w:pPr>
      <w:rPr>
        <w:rFonts w:ascii="Times New Roman" w:eastAsia="Times New Roman" w:hAnsi="Times New Roman" w:cs="Times New Roman"/>
        <w:b w:val="0"/>
        <w:i w:val="0"/>
        <w:strike w:val="0"/>
        <w:color w:val="000000"/>
        <w:sz w:val="24"/>
        <w:szCs w:val="24"/>
        <w:u w:val="none"/>
        <w:shd w:val="clear" w:color="auto" w:fill="auto"/>
        <w:vertAlign w:val="baseline"/>
      </w:rPr>
    </w:lvl>
    <w:lvl w:ilvl="3">
      <w:start w:val="1"/>
      <w:numFmt w:val="lowerRoman"/>
      <w:lvlRestart w:val="0"/>
      <w:lvlText w:val="(%4)"/>
      <w:lvlJc w:val="left"/>
      <w:pPr>
        <w:ind w:left="3200"/>
      </w:pPr>
      <w:rPr>
        <w:rFonts w:ascii="Times New Roman" w:eastAsia="Times New Roman" w:hAnsi="Times New Roman" w:cs="Times New Roman"/>
        <w:b w:val="0"/>
        <w:i w:val="0"/>
        <w:strike w:val="0"/>
        <w:color w:val="000000"/>
        <w:sz w:val="24"/>
        <w:szCs w:val="24"/>
        <w:u w:val="none"/>
        <w:shd w:val="clear" w:color="auto" w:fill="auto"/>
        <w:vertAlign w:val="baseline"/>
      </w:rPr>
    </w:lvl>
    <w:lvl w:ilvl="4">
      <w:start w:val="1"/>
      <w:numFmt w:val="lowerLetter"/>
      <w:lvlText w:val="%5"/>
      <w:lvlJc w:val="left"/>
      <w:pPr>
        <w:ind w:left="4280"/>
      </w:pPr>
      <w:rPr>
        <w:rFonts w:ascii="Times New Roman" w:eastAsia="Times New Roman" w:hAnsi="Times New Roman" w:cs="Times New Roman"/>
        <w:b w:val="0"/>
        <w:i w:val="0"/>
        <w:strike w:val="0"/>
        <w:color w:val="000000"/>
        <w:sz w:val="24"/>
        <w:szCs w:val="24"/>
        <w:u w:val="none"/>
        <w:shd w:val="clear" w:color="auto" w:fill="auto"/>
        <w:vertAlign w:val="baseline"/>
      </w:rPr>
    </w:lvl>
    <w:lvl w:ilvl="5">
      <w:start w:val="1"/>
      <w:numFmt w:val="lowerRoman"/>
      <w:lvlText w:val="%6"/>
      <w:lvlJc w:val="left"/>
      <w:pPr>
        <w:ind w:left="5000"/>
      </w:pPr>
      <w:rPr>
        <w:rFonts w:ascii="Times New Roman" w:eastAsia="Times New Roman" w:hAnsi="Times New Roman" w:cs="Times New Roman"/>
        <w:b w:val="0"/>
        <w:i w:val="0"/>
        <w:strike w:val="0"/>
        <w:color w:val="000000"/>
        <w:sz w:val="24"/>
        <w:szCs w:val="24"/>
        <w:u w:val="none"/>
        <w:shd w:val="clear" w:color="auto" w:fill="auto"/>
        <w:vertAlign w:val="baseline"/>
      </w:rPr>
    </w:lvl>
    <w:lvl w:ilvl="6">
      <w:start w:val="1"/>
      <w:numFmt w:val="decimal"/>
      <w:lvlText w:val="%7"/>
      <w:lvlJc w:val="left"/>
      <w:pPr>
        <w:ind w:left="5720"/>
      </w:pPr>
      <w:rPr>
        <w:rFonts w:ascii="Times New Roman" w:eastAsia="Times New Roman" w:hAnsi="Times New Roman" w:cs="Times New Roman"/>
        <w:b w:val="0"/>
        <w:i w:val="0"/>
        <w:strike w:val="0"/>
        <w:color w:val="000000"/>
        <w:sz w:val="24"/>
        <w:szCs w:val="24"/>
        <w:u w:val="none"/>
        <w:shd w:val="clear" w:color="auto" w:fill="auto"/>
        <w:vertAlign w:val="baseline"/>
      </w:rPr>
    </w:lvl>
    <w:lvl w:ilvl="7">
      <w:start w:val="1"/>
      <w:numFmt w:val="lowerLetter"/>
      <w:lvlText w:val="%8"/>
      <w:lvlJc w:val="left"/>
      <w:pPr>
        <w:ind w:left="6440"/>
      </w:pPr>
      <w:rPr>
        <w:rFonts w:ascii="Times New Roman" w:eastAsia="Times New Roman" w:hAnsi="Times New Roman" w:cs="Times New Roman"/>
        <w:b w:val="0"/>
        <w:i w:val="0"/>
        <w:strike w:val="0"/>
        <w:color w:val="000000"/>
        <w:sz w:val="24"/>
        <w:szCs w:val="24"/>
        <w:u w:val="none"/>
        <w:shd w:val="clear" w:color="auto" w:fill="auto"/>
        <w:vertAlign w:val="baseline"/>
      </w:rPr>
    </w:lvl>
    <w:lvl w:ilvl="8">
      <w:start w:val="1"/>
      <w:numFmt w:val="lowerRoman"/>
      <w:lvlText w:val="%9"/>
      <w:lvlJc w:val="left"/>
      <w:pPr>
        <w:ind w:left="7160"/>
      </w:pPr>
      <w:rPr>
        <w:rFonts w:ascii="Times New Roman" w:eastAsia="Times New Roman" w:hAnsi="Times New Roman" w:cs="Times New Roman"/>
        <w:b w:val="0"/>
        <w:i w:val="0"/>
        <w:strike w:val="0"/>
        <w:color w:val="000000"/>
        <w:sz w:val="24"/>
        <w:szCs w:val="24"/>
        <w:u w:val="none"/>
        <w:shd w:val="clear" w:color="auto" w:fill="auto"/>
        <w:vertAlign w:val="baseline"/>
      </w:rPr>
    </w:lvl>
  </w:abstractNum>
  <w:num w:numId="1" w16cid:durableId="1558516179">
    <w:abstractNumId w:val="0"/>
  </w:num>
  <w:num w:numId="2" w16cid:durableId="1322389082">
    <w:abstractNumId w:val="5"/>
  </w:num>
  <w:num w:numId="3" w16cid:durableId="253977198">
    <w:abstractNumId w:val="6"/>
  </w:num>
  <w:num w:numId="4" w16cid:durableId="957447002">
    <w:abstractNumId w:val="1"/>
  </w:num>
  <w:num w:numId="5" w16cid:durableId="1012604921">
    <w:abstractNumId w:val="3"/>
  </w:num>
  <w:num w:numId="6" w16cid:durableId="953631306">
    <w:abstractNumId w:val="4"/>
  </w:num>
  <w:num w:numId="7" w16cid:durableId="112358029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7656"/>
    <w:rsid w:val="0005617B"/>
    <w:rsid w:val="004C3442"/>
    <w:rsid w:val="00505869"/>
    <w:rsid w:val="006A7A10"/>
    <w:rsid w:val="00993163"/>
    <w:rsid w:val="009B6B98"/>
    <w:rsid w:val="00AB7656"/>
    <w:rsid w:val="00F20705"/>
  </w:rsids>
  <m:mathPr>
    <m:mathFont m:val="Cambria Math"/>
    <m:brkBin m:val="before"/>
    <m:brkBinSub m:val="--"/>
    <m:smallFrac m:val="0"/>
    <m:dispDef/>
    <m:lMargin m:val="0"/>
    <m:rMargin m:val="0"/>
    <m:defJc m:val="centerGroup"/>
    <m:wrapIndent m:val="1440"/>
    <m:intLim m:val="subSup"/>
    <m:naryLim m:val="undOvr"/>
  </m:mathPr>
  <w:themeFontLang w:val="en-US" w:eastAsia="zh-CN"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F17ACF2"/>
  <w15:docId w15:val="{6B99A59C-E9AC-47F1-9C84-310EEB32BE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33" w:line="248" w:lineRule="auto"/>
      <w:ind w:left="1040" w:right="66" w:firstLine="710"/>
      <w:jc w:val="both"/>
    </w:pPr>
    <w:rPr>
      <w:rFonts w:eastAsia="Times New Roman" w:cs="Times New Roman"/>
      <w:color w:val="000000"/>
    </w:rPr>
  </w:style>
  <w:style w:type="paragraph" w:styleId="Heading1">
    <w:name w:val="heading 1"/>
    <w:basedOn w:val="Normal"/>
    <w:next w:val="Heading2"/>
    <w:link w:val="Heading1Char"/>
    <w:uiPriority w:val="9"/>
    <w:qFormat/>
    <w:pPr>
      <w:keepNext/>
      <w:keepLines/>
      <w:outlineLvl w:val="0"/>
    </w:pPr>
    <w:rPr>
      <w:rFonts w:eastAsiaTheme="majorEastAsia" w:cstheme="majorBidi"/>
      <w:b/>
      <w:szCs w:val="32"/>
    </w:rPr>
  </w:style>
  <w:style w:type="paragraph" w:styleId="Heading2">
    <w:name w:val="heading 2"/>
    <w:basedOn w:val="Normal"/>
    <w:link w:val="Heading2Char"/>
    <w:uiPriority w:val="9"/>
    <w:qFormat/>
    <w:pPr>
      <w:outlineLvl w:val="1"/>
    </w:pPr>
    <w:rPr>
      <w:rFonts w:eastAsiaTheme="majorEastAsia" w:cstheme="majorBidi"/>
      <w:b/>
      <w:szCs w:val="26"/>
    </w:rPr>
  </w:style>
  <w:style w:type="paragraph" w:styleId="Heading3">
    <w:name w:val="heading 3"/>
    <w:basedOn w:val="Normal"/>
    <w:link w:val="Heading3Char"/>
    <w:uiPriority w:val="9"/>
    <w:qFormat/>
    <w:pPr>
      <w:outlineLvl w:val="2"/>
    </w:pPr>
    <w:rPr>
      <w:rFonts w:eastAsiaTheme="majorEastAsia" w:cstheme="majorBidi"/>
      <w:b/>
      <w:i/>
    </w:rPr>
  </w:style>
  <w:style w:type="paragraph" w:styleId="Heading4">
    <w:name w:val="heading 4"/>
    <w:basedOn w:val="Normal"/>
    <w:link w:val="Heading4Char"/>
    <w:uiPriority w:val="9"/>
    <w:unhideWhenUsed/>
    <w:pPr>
      <w:outlineLvl w:val="3"/>
    </w:pPr>
    <w:rPr>
      <w:rFonts w:eastAsiaTheme="majorEastAsia" w:cstheme="majorBidi"/>
      <w:i/>
      <w:iCs/>
    </w:rPr>
  </w:style>
  <w:style w:type="paragraph" w:styleId="Heading5">
    <w:name w:val="heading 5"/>
    <w:basedOn w:val="Normal"/>
    <w:link w:val="Heading5Char"/>
    <w:uiPriority w:val="9"/>
    <w:semiHidden/>
    <w:pPr>
      <w:keepNext/>
      <w:keepLines/>
      <w:spacing w:before="40" w:after="0"/>
      <w:outlineLvl w:val="4"/>
    </w:pPr>
    <w:rPr>
      <w:rFonts w:eastAsiaTheme="majorEastAsia" w:cstheme="majorBidi"/>
    </w:rPr>
  </w:style>
  <w:style w:type="paragraph" w:styleId="Heading6">
    <w:name w:val="heading 6"/>
    <w:basedOn w:val="Normal"/>
    <w:link w:val="Heading6Char"/>
    <w:uiPriority w:val="9"/>
    <w:semiHidden/>
    <w:pPr>
      <w:keepNext/>
      <w:keepLines/>
      <w:spacing w:before="40" w:after="0"/>
      <w:outlineLvl w:val="5"/>
    </w:pPr>
    <w:rPr>
      <w:rFonts w:eastAsiaTheme="majorEastAsia" w:cstheme="majorBidi"/>
    </w:rPr>
  </w:style>
  <w:style w:type="paragraph" w:styleId="Heading7">
    <w:name w:val="heading 7"/>
    <w:basedOn w:val="Normal"/>
    <w:link w:val="Heading7Char"/>
    <w:uiPriority w:val="9"/>
    <w:semiHidden/>
    <w:pPr>
      <w:keepNext/>
      <w:keepLines/>
      <w:spacing w:before="40" w:after="0"/>
      <w:outlineLvl w:val="6"/>
    </w:pPr>
    <w:rPr>
      <w:rFonts w:eastAsiaTheme="majorEastAsia" w:cstheme="majorBidi"/>
      <w:i/>
      <w:iCs/>
    </w:rPr>
  </w:style>
  <w:style w:type="paragraph" w:styleId="Heading8">
    <w:name w:val="heading 8"/>
    <w:basedOn w:val="Normal"/>
    <w:link w:val="Heading8Char"/>
    <w:uiPriority w:val="9"/>
    <w:semiHidden/>
    <w:pPr>
      <w:keepNext/>
      <w:keepLines/>
      <w:spacing w:before="40" w:after="0"/>
      <w:outlineLvl w:val="7"/>
    </w:pPr>
    <w:rPr>
      <w:rFonts w:eastAsiaTheme="majorEastAsia" w:cstheme="majorBidi"/>
      <w:szCs w:val="21"/>
    </w:rPr>
  </w:style>
  <w:style w:type="paragraph" w:styleId="Heading9">
    <w:name w:val="heading 9"/>
    <w:basedOn w:val="Normal"/>
    <w:link w:val="Heading9Char"/>
    <w:uiPriority w:val="9"/>
    <w:semiHidden/>
    <w:pPr>
      <w:keepNext/>
      <w:keepLines/>
      <w:spacing w:before="40" w:after="0"/>
      <w:outlineLvl w:val="8"/>
    </w:pPr>
    <w:rPr>
      <w:rFonts w:eastAsiaTheme="majorEastAsia" w:cstheme="majorBidi"/>
      <w:i/>
      <w:iCs/>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Light">
    <w:name w:val="Grid Table Light"/>
    <w:basedOn w:val="Table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PlainTable1">
    <w:name w:val="Plain Table 1"/>
    <w:basedOn w:val="Table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PlainTable2">
    <w:name w:val="Plain Table 2"/>
    <w:basedOn w:val="TableNormal"/>
    <w:uiPriority w:val="59"/>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99"/>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4">
    <w:name w:val="Plain Table 4"/>
    <w:basedOn w:val="TableNormal"/>
    <w:uiPriority w:val="99"/>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5">
    <w:name w:val="Plain Table 5"/>
    <w:basedOn w:val="TableNormal"/>
    <w:uiPriority w:val="99"/>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ridTable1Light">
    <w:name w:val="Grid Table 1 Light"/>
    <w:basedOn w:val="TableNormal"/>
    <w:uiPriority w:val="99"/>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GridTable1Light-Accent1">
    <w:name w:val="Grid Table 1 Light Accent 1"/>
    <w:basedOn w:val="TableNormal"/>
    <w:uiPriority w:val="99"/>
    <w:tblPr>
      <w:tblStyleRowBandSize w:val="1"/>
      <w:tblStyleColBandSize w:val="1"/>
      <w:tbl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insideH w:val="single" w:sz="4" w:space="0" w:color="B3C5E7" w:themeColor="accent1" w:themeTint="67"/>
        <w:insideV w:val="single" w:sz="4" w:space="0" w:color="B3C5E7" w:themeColor="accent1" w:themeTint="67"/>
      </w:tblBorders>
    </w:tblPr>
    <w:tblStylePr w:type="firstRow">
      <w:rPr>
        <w:b/>
        <w:color w:val="404040"/>
      </w:rPr>
      <w:tblPr/>
      <w:tcPr>
        <w:tcBorders>
          <w:bottom w:val="single" w:sz="12" w:space="0" w:color="91ACDC"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tcBorders>
      </w:tcPr>
    </w:tblStylePr>
  </w:style>
  <w:style w:type="table" w:styleId="GridTable1Light-Accent2">
    <w:name w:val="Grid Table 1 Light Accent 2"/>
    <w:basedOn w:val="TableNormal"/>
    <w:uiPriority w:val="99"/>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styleId="GridTable1Light-Accent3">
    <w:name w:val="Grid Table 1 Light Accent 3"/>
    <w:basedOn w:val="TableNormal"/>
    <w:uiPriority w:val="99"/>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styleId="GridTable1Light-Accent4">
    <w:name w:val="Grid Table 1 Light Accent 4"/>
    <w:basedOn w:val="TableNormal"/>
    <w:uiPriority w:val="99"/>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styleId="GridTable1Light-Accent5">
    <w:name w:val="Grid Table 1 Light Accent 5"/>
    <w:basedOn w:val="TableNormal"/>
    <w:uiPriority w:val="99"/>
    <w:tblPr>
      <w:tblStyleRowBandSize w:val="1"/>
      <w:tblStyleColBandSize w:val="1"/>
      <w:tbl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insideH w:val="single" w:sz="4" w:space="0" w:color="BCD6EE" w:themeColor="accent5" w:themeTint="67"/>
        <w:insideV w:val="single" w:sz="4" w:space="0" w:color="BCD6EE" w:themeColor="accent5" w:themeTint="67"/>
      </w:tblBorders>
    </w:tblPr>
    <w:tblStylePr w:type="firstRow">
      <w:rPr>
        <w:b/>
        <w:color w:val="404040"/>
      </w:rPr>
      <w:tblPr/>
      <w:tcPr>
        <w:tcBorders>
          <w:bottom w:val="single" w:sz="12" w:space="0" w:color="9EC4E6"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tcBorders>
      </w:tcPr>
    </w:tblStylePr>
  </w:style>
  <w:style w:type="table" w:styleId="GridTable1Light-Accent6">
    <w:name w:val="Grid Table 1 Light Accent 6"/>
    <w:basedOn w:val="TableNormal"/>
    <w:uiPriority w:val="99"/>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styleId="GridTable2">
    <w:name w:val="Grid Table 2"/>
    <w:basedOn w:val="TableNormal"/>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2-Accent1">
    <w:name w:val="Grid Table 2 Accent 1"/>
    <w:basedOn w:val="TableNormal"/>
    <w:uiPriority w:val="99"/>
    <w:tblPr>
      <w:tblStyleRowBandSize w:val="1"/>
      <w:tblStyleColBandSize w:val="1"/>
      <w:tblBorders>
        <w:bottom w:val="single" w:sz="4" w:space="0" w:color="537DC8" w:themeColor="accent1" w:themeTint="EA"/>
        <w:insideH w:val="single" w:sz="4" w:space="0" w:color="537DC8" w:themeColor="accent1" w:themeTint="EA"/>
        <w:insideV w:val="single" w:sz="4" w:space="0" w:color="537DC8" w:themeColor="accent1" w:themeTint="EA"/>
      </w:tblBorders>
    </w:tblPr>
    <w:tblStylePr w:type="firstRow">
      <w:rPr>
        <w:b/>
        <w:color w:val="404040"/>
      </w:rPr>
      <w:tblPr/>
      <w:tcPr>
        <w:tcBorders>
          <w:top w:val="none" w:sz="4" w:space="0" w:color="000000"/>
          <w:left w:val="none" w:sz="4" w:space="0" w:color="000000"/>
          <w:bottom w:val="single" w:sz="12" w:space="0" w:color="537DC8" w:themeColor="accent1" w:themeTint="EA"/>
          <w:right w:val="none" w:sz="4" w:space="0" w:color="000000"/>
        </w:tcBorders>
        <w:shd w:val="clear" w:color="FFFFFF" w:fill="auto"/>
      </w:tcPr>
    </w:tblStylePr>
    <w:tblStylePr w:type="lastRow">
      <w:rPr>
        <w:b/>
        <w:color w:val="404040"/>
      </w:rPr>
      <w:tblPr/>
      <w:tcPr>
        <w:tcBorders>
          <w:top w:val="single" w:sz="4" w:space="0" w:color="537DC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1" w:themeTint="34" w:fill="D8E2F3" w:themeFill="accent1" w:themeFillTint="34"/>
      </w:tcPr>
    </w:tblStylePr>
    <w:tblStylePr w:type="band1Horz">
      <w:rPr>
        <w:rFonts w:ascii="Arial" w:hAnsi="Arial"/>
        <w:color w:val="404040"/>
        <w:sz w:val="22"/>
      </w:rPr>
      <w:tblPr/>
      <w:tcPr>
        <w:shd w:val="clear" w:color="D8E2F3" w:themeColor="accent1" w:themeTint="34" w:fill="D8E2F3" w:themeFill="accent1" w:themeFillTint="34"/>
      </w:tcPr>
    </w:tblStylePr>
  </w:style>
  <w:style w:type="table" w:styleId="GridTable2-Accent2">
    <w:name w:val="Grid Table 2 Accent 2"/>
    <w:basedOn w:val="TableNormal"/>
    <w:uiPriority w:val="99"/>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2-Accent3">
    <w:name w:val="Grid Table 2 Accent 3"/>
    <w:basedOn w:val="TableNormal"/>
    <w:uiPriority w:val="99"/>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2-Accent4">
    <w:name w:val="Grid Table 2 Accent 4"/>
    <w:basedOn w:val="TableNormal"/>
    <w:uiPriority w:val="99"/>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2-Accent5">
    <w:name w:val="Grid Table 2 Accent 5"/>
    <w:basedOn w:val="TableNormal"/>
    <w:uiPriority w:val="99"/>
    <w:tblPr>
      <w:tblStyleRowBandSize w:val="1"/>
      <w:tblStyleColBandSize w:val="1"/>
      <w:tblBorders>
        <w:bottom w:val="single" w:sz="4" w:space="0" w:color="5B9BD5" w:themeColor="accent5"/>
        <w:insideH w:val="single" w:sz="4" w:space="0" w:color="5B9BD5" w:themeColor="accent5"/>
        <w:insideV w:val="single" w:sz="4" w:space="0" w:color="5B9BD5" w:themeColor="accent5"/>
      </w:tblBorders>
    </w:tblPr>
    <w:tblStylePr w:type="firstRow">
      <w:rPr>
        <w:b/>
        <w:color w:val="404040"/>
      </w:rPr>
      <w:tblPr/>
      <w:tcPr>
        <w:tcBorders>
          <w:top w:val="none" w:sz="4" w:space="0" w:color="000000"/>
          <w:left w:val="none" w:sz="4" w:space="0" w:color="000000"/>
          <w:bottom w:val="single" w:sz="12" w:space="0" w:color="5B9BD5" w:themeColor="accent5"/>
          <w:right w:val="none" w:sz="4" w:space="0" w:color="000000"/>
        </w:tcBorders>
        <w:shd w:val="clear" w:color="FFFFFF" w:fill="auto"/>
      </w:tcPr>
    </w:tblStylePr>
    <w:tblStylePr w:type="lastRow">
      <w:rPr>
        <w:b/>
        <w:color w:val="404040"/>
      </w:rPr>
      <w:tblPr/>
      <w:tcPr>
        <w:tcBorders>
          <w:top w:val="single" w:sz="4" w:space="0" w:color="5B9BD5"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styleId="GridTable2-Accent6">
    <w:name w:val="Grid Table 2 Accent 6"/>
    <w:basedOn w:val="TableNormal"/>
    <w:uiPriority w:val="99"/>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3">
    <w:name w:val="Grid Table 3"/>
    <w:basedOn w:val="TableNormal"/>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3-Accent1">
    <w:name w:val="Grid Table 3 Accent 1"/>
    <w:basedOn w:val="TableNormal"/>
    <w:uiPriority w:val="99"/>
    <w:tblPr>
      <w:tblStyleRowBandSize w:val="1"/>
      <w:tblStyleColBandSize w:val="1"/>
      <w:tblBorders>
        <w:bottom w:val="single" w:sz="4" w:space="0" w:color="537DC8" w:themeColor="accent1" w:themeTint="EA"/>
        <w:insideH w:val="single" w:sz="4" w:space="0" w:color="537DC8" w:themeColor="accent1" w:themeTint="EA"/>
        <w:insideV w:val="single" w:sz="4" w:space="0" w:color="537DC8"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1" w:themeTint="34" w:fill="D8E2F3" w:themeFill="accent1" w:themeFillTint="34"/>
      </w:tcPr>
    </w:tblStylePr>
    <w:tblStylePr w:type="band1Horz">
      <w:rPr>
        <w:rFonts w:ascii="Arial" w:hAnsi="Arial"/>
        <w:color w:val="404040"/>
        <w:sz w:val="22"/>
      </w:rPr>
      <w:tblPr/>
      <w:tcPr>
        <w:shd w:val="clear" w:color="D8E2F3" w:themeColor="accent1" w:themeTint="34" w:fill="D8E2F3" w:themeFill="accent1" w:themeFillTint="34"/>
      </w:tcPr>
    </w:tblStylePr>
  </w:style>
  <w:style w:type="table" w:styleId="GridTable3-Accent2">
    <w:name w:val="Grid Table 3 Accent 2"/>
    <w:basedOn w:val="TableNormal"/>
    <w:uiPriority w:val="99"/>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3-Accent3">
    <w:name w:val="Grid Table 3 Accent 3"/>
    <w:basedOn w:val="TableNormal"/>
    <w:uiPriority w:val="99"/>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3-Accent4">
    <w:name w:val="Grid Table 3 Accent 4"/>
    <w:basedOn w:val="TableNormal"/>
    <w:uiPriority w:val="99"/>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3-Accent5">
    <w:name w:val="Grid Table 3 Accent 5"/>
    <w:basedOn w:val="TableNormal"/>
    <w:uiPriority w:val="99"/>
    <w:tblPr>
      <w:tblStyleRowBandSize w:val="1"/>
      <w:tblStyleColBandSize w:val="1"/>
      <w:tblBorders>
        <w:bottom w:val="single" w:sz="4" w:space="0" w:color="5B9BD5" w:themeColor="accent5"/>
        <w:insideH w:val="single" w:sz="4" w:space="0" w:color="5B9BD5" w:themeColor="accent5"/>
        <w:insideV w:val="single" w:sz="4" w:space="0" w:color="5B9BD5"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styleId="GridTable3-Accent6">
    <w:name w:val="Grid Table 3 Accent 6"/>
    <w:basedOn w:val="TableNormal"/>
    <w:uiPriority w:val="99"/>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4">
    <w:name w:val="Grid Table 4"/>
    <w:basedOn w:val="TableNormal"/>
    <w:uiPriority w:val="59"/>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4-Accent1">
    <w:name w:val="Grid Table 4 Accent 1"/>
    <w:basedOn w:val="TableNormal"/>
    <w:uiPriority w:val="59"/>
    <w:tblPr>
      <w:tblStyleRowBandSize w:val="1"/>
      <w:tblStyleColBandSize w:val="1"/>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insideV w:val="single" w:sz="4" w:space="0" w:color="95AFDD" w:themeColor="accent1" w:themeTint="90"/>
      </w:tblBorders>
    </w:tblPr>
    <w:tblStylePr w:type="firstRow">
      <w:rPr>
        <w:rFonts w:ascii="Arial" w:hAnsi="Arial"/>
        <w:b/>
        <w:color w:val="FFFFFF"/>
        <w:sz w:val="22"/>
      </w:rPr>
      <w:tblPr/>
      <w:tcPr>
        <w:tcBorders>
          <w:top w:val="single" w:sz="4" w:space="0" w:color="537DC8" w:themeColor="accent1" w:themeTint="EA"/>
          <w:left w:val="single" w:sz="4" w:space="0" w:color="537DC8" w:themeColor="accent1" w:themeTint="EA"/>
          <w:bottom w:val="single" w:sz="4" w:space="0" w:color="537DC8" w:themeColor="accent1" w:themeTint="EA"/>
          <w:right w:val="single" w:sz="4" w:space="0" w:color="537DC8" w:themeColor="accent1" w:themeTint="EA"/>
        </w:tcBorders>
        <w:shd w:val="clear" w:color="537DC8" w:themeColor="accent1" w:themeTint="EA" w:fill="537DC8" w:themeFill="accent1" w:themeFillTint="EA"/>
      </w:tcPr>
    </w:tblStylePr>
    <w:tblStylePr w:type="lastRow">
      <w:rPr>
        <w:b/>
        <w:color w:val="404040"/>
      </w:rPr>
      <w:tblPr/>
      <w:tcPr>
        <w:tcBorders>
          <w:top w:val="single" w:sz="4" w:space="0" w:color="537DC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3F3" w:themeColor="accent1" w:themeTint="32" w:fill="DAE3F3" w:themeFill="accent1" w:themeFillTint="32"/>
      </w:tcPr>
    </w:tblStylePr>
    <w:tblStylePr w:type="band1Horz">
      <w:rPr>
        <w:rFonts w:ascii="Arial" w:hAnsi="Arial"/>
        <w:color w:val="404040"/>
        <w:sz w:val="22"/>
      </w:rPr>
      <w:tblPr/>
      <w:tcPr>
        <w:shd w:val="clear" w:color="DAE3F3" w:themeColor="accent1" w:themeTint="32" w:fill="DAE3F3" w:themeFill="accent1" w:themeFillTint="32"/>
      </w:tcPr>
    </w:tblStylePr>
  </w:style>
  <w:style w:type="table" w:styleId="GridTable4-Accent2">
    <w:name w:val="Grid Table 4 Accent 2"/>
    <w:basedOn w:val="TableNormal"/>
    <w:uiPriority w:val="59"/>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4-Accent3">
    <w:name w:val="Grid Table 4 Accent 3"/>
    <w:basedOn w:val="TableNormal"/>
    <w:uiPriority w:val="59"/>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4-Accent4">
    <w:name w:val="Grid Table 4 Accent 4"/>
    <w:basedOn w:val="TableNormal"/>
    <w:uiPriority w:val="59"/>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4-Accent5">
    <w:name w:val="Grid Table 4 Accent 5"/>
    <w:basedOn w:val="TableNormal"/>
    <w:uiPriority w:val="59"/>
    <w:tblPr>
      <w:tblStyleRowBandSize w:val="1"/>
      <w:tblStyleColBandSize w:val="1"/>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Pr>
    <w:tblStylePr w:type="firstRow">
      <w:rPr>
        <w:rFonts w:ascii="Arial" w:hAnsi="Arial"/>
        <w:b/>
        <w:color w:val="FFFFFF"/>
        <w:sz w:val="22"/>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tcBorders>
        <w:shd w:val="clear" w:color="5B9BD5" w:themeColor="accent5" w:fill="5B9BD5" w:themeFill="accent5"/>
      </w:tcPr>
    </w:tblStylePr>
    <w:tblStylePr w:type="lastRow">
      <w:rPr>
        <w:b/>
        <w:color w:val="404040"/>
      </w:rPr>
      <w:tblPr/>
      <w:tcPr>
        <w:tcBorders>
          <w:top w:val="single" w:sz="4" w:space="0" w:color="5B9BD5"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styleId="GridTable4-Accent6">
    <w:name w:val="Grid Table 4 Accent 6"/>
    <w:basedOn w:val="TableNormal"/>
    <w:uiPriority w:val="59"/>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5Dark">
    <w:name w:val="Grid Table 5 Dark"/>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1" w:themeTint="34" w:fill="D8E2F3" w:themeFill="accent1" w:themeFillTint="34"/>
    </w:tblPr>
    <w:tblStylePr w:type="firstRow">
      <w:rPr>
        <w:rFonts w:ascii="Arial" w:hAnsi="Arial"/>
        <w:b/>
        <w:color w:val="FFFFFF"/>
        <w:sz w:val="22"/>
      </w:rPr>
      <w:tblPr/>
      <w:tcPr>
        <w:shd w:val="clear" w:color="4472C4" w:themeColor="accent1" w:fill="4472C4" w:themeFill="accent1"/>
      </w:tcPr>
    </w:tblStylePr>
    <w:tblStylePr w:type="lastRow">
      <w:rPr>
        <w:rFonts w:ascii="Arial" w:hAnsi="Arial"/>
        <w:b/>
        <w:color w:val="FFFFFF"/>
        <w:sz w:val="22"/>
      </w:rPr>
      <w:tblPr/>
      <w:tcPr>
        <w:tcBorders>
          <w:top w:val="single" w:sz="4" w:space="0" w:color="FFFFFF" w:themeColor="light1"/>
        </w:tcBorders>
        <w:shd w:val="clear" w:color="4472C4" w:themeColor="accent1" w:fill="4472C4" w:themeFill="accent1"/>
      </w:tcPr>
    </w:tblStylePr>
    <w:tblStylePr w:type="firstCol">
      <w:rPr>
        <w:rFonts w:ascii="Arial" w:hAnsi="Arial"/>
        <w:b/>
        <w:color w:val="FFFFFF"/>
        <w:sz w:val="22"/>
      </w:rPr>
      <w:tblPr/>
      <w:tcPr>
        <w:shd w:val="clear" w:color="4472C4" w:themeColor="accent1" w:fill="4472C4" w:themeFill="accent1"/>
      </w:tcPr>
    </w:tblStylePr>
    <w:tblStylePr w:type="lastCol">
      <w:rPr>
        <w:rFonts w:ascii="Arial" w:hAnsi="Arial"/>
        <w:b/>
        <w:color w:val="FFFFFF"/>
        <w:sz w:val="22"/>
      </w:rPr>
      <w:tblPr/>
      <w:tcPr>
        <w:shd w:val="clear" w:color="4472C4" w:themeColor="accent1" w:fill="4472C4" w:themeFill="accent1"/>
      </w:tcPr>
    </w:tblStylePr>
    <w:tblStylePr w:type="band1Vert">
      <w:tblPr/>
      <w:tcPr>
        <w:shd w:val="clear" w:color="A9BEE4" w:themeColor="accent1" w:themeTint="75" w:fill="A9BEE4" w:themeFill="accent1" w:themeFillTint="75"/>
      </w:tcPr>
    </w:tblStylePr>
    <w:tblStylePr w:type="band1Horz">
      <w:tblPr/>
      <w:tcPr>
        <w:shd w:val="clear" w:color="A9BEE4" w:themeColor="accent1" w:themeTint="75" w:fill="A9BEE4" w:themeFill="accent1" w:themeFillTint="75"/>
      </w:tcPr>
    </w:tblStylePr>
  </w:style>
  <w:style w:type="table" w:styleId="GridTable5Dark-Accent2">
    <w:name w:val="Grid Table 5 Dark Accent 2"/>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styleId="GridTable5Dark-Accent3">
    <w:name w:val="Grid Table 5 Dark Accent 3"/>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4">
    <w:name w:val="Grid Table 5 Dark- Accent 4"/>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styleId="GridTable5Dark-Accent5">
    <w:name w:val="Grid Table 5 Dark Accent 5"/>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5" w:themeTint="34" w:fill="DDEAF6" w:themeFill="accent5" w:themeFillTint="34"/>
    </w:tblPr>
    <w:tblStylePr w:type="firstRow">
      <w:rPr>
        <w:rFonts w:ascii="Arial" w:hAnsi="Arial"/>
        <w:b/>
        <w:color w:val="FFFFFF"/>
        <w:sz w:val="22"/>
      </w:rPr>
      <w:tblPr/>
      <w:tcPr>
        <w:shd w:val="clear" w:color="5B9BD5" w:themeColor="accent5" w:fill="5B9BD5" w:themeFill="accent5"/>
      </w:tcPr>
    </w:tblStylePr>
    <w:tblStylePr w:type="lastRow">
      <w:rPr>
        <w:rFonts w:ascii="Arial" w:hAnsi="Arial"/>
        <w:b/>
        <w:color w:val="FFFFFF"/>
        <w:sz w:val="22"/>
      </w:rPr>
      <w:tblPr/>
      <w:tcPr>
        <w:tcBorders>
          <w:top w:val="single" w:sz="4" w:space="0" w:color="FFFFFF" w:themeColor="light1"/>
        </w:tcBorders>
        <w:shd w:val="clear" w:color="5B9BD5" w:themeColor="accent5" w:fill="5B9BD5" w:themeFill="accent5"/>
      </w:tcPr>
    </w:tblStylePr>
    <w:tblStylePr w:type="firstCol">
      <w:rPr>
        <w:rFonts w:ascii="Arial" w:hAnsi="Arial"/>
        <w:b/>
        <w:color w:val="FFFFFF"/>
        <w:sz w:val="22"/>
      </w:rPr>
      <w:tblPr/>
      <w:tcPr>
        <w:shd w:val="clear" w:color="5B9BD5" w:themeColor="accent5" w:fill="5B9BD5" w:themeFill="accent5"/>
      </w:tcPr>
    </w:tblStylePr>
    <w:tblStylePr w:type="lastCol">
      <w:rPr>
        <w:rFonts w:ascii="Arial" w:hAnsi="Arial"/>
        <w:b/>
        <w:color w:val="FFFFFF"/>
        <w:sz w:val="22"/>
      </w:rPr>
      <w:tblPr/>
      <w:tcPr>
        <w:shd w:val="clear" w:color="5B9BD5" w:themeColor="accent5" w:fill="5B9BD5" w:themeFill="accent5"/>
      </w:tcPr>
    </w:tblStylePr>
    <w:tblStylePr w:type="band1Vert">
      <w:tblPr/>
      <w:tcPr>
        <w:shd w:val="clear" w:color="B3D0EB" w:themeColor="accent5" w:themeTint="75" w:fill="B3D0EB" w:themeFill="accent5" w:themeFillTint="75"/>
      </w:tcPr>
    </w:tblStylePr>
    <w:tblStylePr w:type="band1Horz">
      <w:tblPr/>
      <w:tcPr>
        <w:shd w:val="clear" w:color="B3D0EB" w:themeColor="accent5" w:themeTint="75" w:fill="B3D0EB" w:themeFill="accent5" w:themeFillTint="75"/>
      </w:tcPr>
    </w:tblStylePr>
  </w:style>
  <w:style w:type="table" w:styleId="GridTable5Dark-Accent6">
    <w:name w:val="Grid Table 5 Dark Accent 6"/>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styleId="GridTable6Colorful">
    <w:name w:val="Grid Table 6 Colorful"/>
    <w:basedOn w:val="TableNormal"/>
    <w:uiPriority w:val="99"/>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styleId="GridTable6Colorful-Accent1">
    <w:name w:val="Grid Table 6 Colorful Accent 1"/>
    <w:basedOn w:val="TableNormal"/>
    <w:uiPriority w:val="99"/>
    <w:tblPr>
      <w:tblStyleRowBandSize w:val="1"/>
      <w:tblStyleColBandSize w:val="1"/>
      <w:tblBorders>
        <w:top w:val="single" w:sz="4" w:space="0" w:color="A0B7E1" w:themeColor="accent1" w:themeTint="80"/>
        <w:left w:val="single" w:sz="4" w:space="0" w:color="A0B7E1" w:themeColor="accent1" w:themeTint="80"/>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Pr>
    <w:tblStylePr w:type="firstRow">
      <w:rPr>
        <w:b/>
        <w:color w:val="A0B7E1" w:themeColor="accent1" w:themeTint="80" w:themeShade="95"/>
      </w:rPr>
      <w:tblPr/>
      <w:tcPr>
        <w:tcBorders>
          <w:bottom w:val="single" w:sz="12" w:space="0" w:color="A0B7E1" w:themeColor="accent1" w:themeTint="80"/>
        </w:tcBorders>
      </w:tcPr>
    </w:tblStylePr>
    <w:tblStylePr w:type="lastRow">
      <w:rPr>
        <w:b/>
        <w:color w:val="A0B7E1" w:themeColor="accent1" w:themeTint="80" w:themeShade="95"/>
      </w:rPr>
    </w:tblStylePr>
    <w:tblStylePr w:type="firstCol">
      <w:rPr>
        <w:b/>
        <w:color w:val="A0B7E1" w:themeColor="accent1" w:themeTint="80" w:themeShade="95"/>
      </w:rPr>
    </w:tblStylePr>
    <w:tblStylePr w:type="lastCol">
      <w:rPr>
        <w:b/>
        <w:color w:val="A0B7E1" w:themeColor="accent1" w:themeTint="80" w:themeShade="95"/>
      </w:rPr>
    </w:tblStylePr>
    <w:tblStylePr w:type="band1Vert">
      <w:tblPr/>
      <w:tcPr>
        <w:shd w:val="clear" w:color="D8E2F3" w:themeColor="accent1" w:themeTint="34" w:fill="D8E2F3" w:themeFill="accent1" w:themeFillTint="34"/>
      </w:tcPr>
    </w:tblStylePr>
    <w:tblStylePr w:type="band1Horz">
      <w:rPr>
        <w:rFonts w:ascii="Arial" w:hAnsi="Arial"/>
        <w:color w:val="A0B7E1" w:themeColor="accent1" w:themeTint="80" w:themeShade="95"/>
        <w:sz w:val="22"/>
      </w:rPr>
      <w:tblPr/>
      <w:tcPr>
        <w:shd w:val="clear" w:color="D8E2F3" w:themeColor="accent1" w:themeTint="34" w:fill="D8E2F3" w:themeFill="accent1" w:themeFillTint="34"/>
      </w:tcPr>
    </w:tblStylePr>
    <w:tblStylePr w:type="band2Horz">
      <w:rPr>
        <w:rFonts w:ascii="Arial" w:hAnsi="Arial"/>
        <w:color w:val="A0B7E1" w:themeColor="accent1" w:themeTint="80" w:themeShade="95"/>
        <w:sz w:val="22"/>
      </w:rPr>
    </w:tblStylePr>
  </w:style>
  <w:style w:type="table" w:styleId="GridTable6Colorful-Accent2">
    <w:name w:val="Grid Table 6 Colorful Accent 2"/>
    <w:basedOn w:val="TableNormal"/>
    <w:uiPriority w:val="99"/>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styleId="GridTable6Colorful-Accent3">
    <w:name w:val="Grid Table 6 Colorful Accent 3"/>
    <w:basedOn w:val="TableNormal"/>
    <w:uiPriority w:val="99"/>
    <w:tblPr>
      <w:tblStyleRowBandSize w:val="1"/>
      <w:tblStyleColBandSize w:val="1"/>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styleId="GridTable6Colorful-Accent4">
    <w:name w:val="Grid Table 6 Colorful Accent 4"/>
    <w:basedOn w:val="TableNormal"/>
    <w:uiPriority w:val="99"/>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styleId="GridTable6Colorful-Accent5">
    <w:name w:val="Grid Table 6 Colorful Accent 5"/>
    <w:basedOn w:val="TableNormal"/>
    <w:uiPriority w:val="99"/>
    <w:tblPr>
      <w:tblStyleRowBandSize w:val="1"/>
      <w:tblStyleColBandSize w:val="1"/>
      <w:tblBorders>
        <w:top w:val="single" w:sz="4" w:space="0" w:color="5B9BD5" w:themeColor="accent5"/>
        <w:left w:val="single" w:sz="4" w:space="0" w:color="5B9BD5" w:themeColor="accent5"/>
        <w:bottom w:val="single" w:sz="4" w:space="0" w:color="5B9BD5" w:themeColor="accent5"/>
        <w:right w:val="single" w:sz="4" w:space="0" w:color="5B9BD5" w:themeColor="accent5"/>
        <w:insideH w:val="single" w:sz="4" w:space="0" w:color="5B9BD5" w:themeColor="accent5"/>
        <w:insideV w:val="single" w:sz="4" w:space="0" w:color="5B9BD5" w:themeColor="accent5"/>
      </w:tblBorders>
    </w:tblPr>
    <w:tblStylePr w:type="firstRow">
      <w:rPr>
        <w:b/>
        <w:color w:val="245A8D" w:themeColor="accent5" w:themeShade="95"/>
      </w:rPr>
      <w:tblPr/>
      <w:tcPr>
        <w:tcBorders>
          <w:bottom w:val="single" w:sz="12" w:space="0" w:color="5B9BD5" w:themeColor="accent5"/>
        </w:tcBorders>
      </w:tcPr>
    </w:tblStylePr>
    <w:tblStylePr w:type="lastRow">
      <w:rPr>
        <w:b/>
        <w:color w:val="245A8D" w:themeColor="accent5" w:themeShade="95"/>
      </w:rPr>
    </w:tblStylePr>
    <w:tblStylePr w:type="firstCol">
      <w:rPr>
        <w:b/>
        <w:color w:val="245A8D" w:themeColor="accent5" w:themeShade="95"/>
      </w:rPr>
    </w:tblStylePr>
    <w:tblStylePr w:type="lastCol">
      <w:rPr>
        <w:b/>
        <w:color w:val="245A8D" w:themeColor="accent5" w:themeShade="95"/>
      </w:rPr>
    </w:tblStylePr>
    <w:tblStylePr w:type="band1Vert">
      <w:tblPr/>
      <w:tcPr>
        <w:shd w:val="clear" w:color="DDEAF6" w:themeColor="accent5" w:themeTint="34" w:fill="DDEAF6" w:themeFill="accent5" w:themeFillTint="34"/>
      </w:tcPr>
    </w:tblStylePr>
    <w:tblStylePr w:type="band1Horz">
      <w:rPr>
        <w:rFonts w:ascii="Arial" w:hAnsi="Arial"/>
        <w:color w:val="245A8D" w:themeColor="accent5" w:themeShade="95"/>
        <w:sz w:val="22"/>
      </w:rPr>
      <w:tblPr/>
      <w:tcPr>
        <w:shd w:val="clear" w:color="DDEAF6" w:themeColor="accent5" w:themeTint="34" w:fill="DDEAF6" w:themeFill="accent5" w:themeFillTint="34"/>
      </w:tcPr>
    </w:tblStylePr>
    <w:tblStylePr w:type="band2Horz">
      <w:rPr>
        <w:rFonts w:ascii="Arial" w:hAnsi="Arial"/>
        <w:color w:val="245A8D" w:themeColor="accent5" w:themeShade="95"/>
        <w:sz w:val="22"/>
      </w:rPr>
    </w:tblStylePr>
  </w:style>
  <w:style w:type="table" w:styleId="GridTable6Colorful-Accent6">
    <w:name w:val="Grid Table 6 Colorful Accent 6"/>
    <w:basedOn w:val="TableNormal"/>
    <w:uiPriority w:val="99"/>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Pr>
    <w:tblStylePr w:type="firstRow">
      <w:rPr>
        <w:b/>
        <w:color w:val="245A8D" w:themeColor="accent5" w:themeShade="95"/>
      </w:rPr>
      <w:tblPr/>
      <w:tcPr>
        <w:tcBorders>
          <w:bottom w:val="single" w:sz="12" w:space="0" w:color="70AD47" w:themeColor="accent6"/>
        </w:tcBorders>
      </w:tcPr>
    </w:tblStylePr>
    <w:tblStylePr w:type="lastRow">
      <w:rPr>
        <w:b/>
        <w:color w:val="245A8D" w:themeColor="accent5" w:themeShade="95"/>
      </w:rPr>
    </w:tblStylePr>
    <w:tblStylePr w:type="firstCol">
      <w:rPr>
        <w:b/>
        <w:color w:val="245A8D" w:themeColor="accent5" w:themeShade="95"/>
      </w:rPr>
    </w:tblStylePr>
    <w:tblStylePr w:type="lastCol">
      <w:rPr>
        <w:b/>
        <w:color w:val="245A8D"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45A8D" w:themeColor="accent5" w:themeShade="95"/>
        <w:sz w:val="22"/>
      </w:rPr>
      <w:tblPr/>
      <w:tcPr>
        <w:shd w:val="clear" w:color="E1EFD8" w:themeColor="accent6" w:themeTint="34" w:fill="E1EFD8" w:themeFill="accent6" w:themeFillTint="34"/>
      </w:tcPr>
    </w:tblStylePr>
    <w:tblStylePr w:type="band2Horz">
      <w:rPr>
        <w:rFonts w:ascii="Arial" w:hAnsi="Arial"/>
        <w:color w:val="245A8D" w:themeColor="accent5" w:themeShade="95"/>
        <w:sz w:val="22"/>
      </w:rPr>
    </w:tblStylePr>
  </w:style>
  <w:style w:type="table" w:styleId="GridTable7Colorful">
    <w:name w:val="Grid Table 7 Colorful"/>
    <w:basedOn w:val="TableNormal"/>
    <w:uiPriority w:val="99"/>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styleId="GridTable7Colorful-Accent1">
    <w:name w:val="Grid Table 7 Colorful Accent 1"/>
    <w:basedOn w:val="TableNormal"/>
    <w:uiPriority w:val="99"/>
    <w:tblPr>
      <w:tblStyleRowBandSize w:val="1"/>
      <w:tblStyleColBandSize w:val="1"/>
      <w:tblBorders>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Pr>
    <w:tblStylePr w:type="firstRow">
      <w:rPr>
        <w:rFonts w:ascii="Arial" w:hAnsi="Arial"/>
        <w:b/>
        <w:color w:val="A0B7E1" w:themeColor="accent1" w:themeTint="80" w:themeShade="95"/>
        <w:sz w:val="22"/>
      </w:rPr>
      <w:tblPr/>
      <w:tcPr>
        <w:tcBorders>
          <w:top w:val="none" w:sz="4" w:space="0" w:color="000000"/>
          <w:left w:val="none" w:sz="4" w:space="0" w:color="000000"/>
          <w:bottom w:val="single" w:sz="4" w:space="0" w:color="A0B7E1" w:themeColor="accent1" w:themeTint="80"/>
          <w:right w:val="none" w:sz="4" w:space="0" w:color="000000"/>
        </w:tcBorders>
        <w:shd w:val="clear" w:color="FFFFFF" w:themeColor="light1" w:fill="FFFFFF" w:themeFill="light1"/>
      </w:tcPr>
    </w:tblStylePr>
    <w:tblStylePr w:type="lastRow">
      <w:rPr>
        <w:rFonts w:ascii="Arial" w:hAnsi="Arial"/>
        <w:b/>
        <w:color w:val="A0B7E1" w:themeColor="accent1" w:themeTint="80" w:themeShade="95"/>
        <w:sz w:val="22"/>
      </w:rPr>
      <w:tblPr/>
      <w:tcPr>
        <w:tcBorders>
          <w:top w:val="single" w:sz="4" w:space="0" w:color="A0B7E1"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0B7E1" w:themeColor="accent1" w:themeTint="80" w:themeShade="95"/>
        <w:sz w:val="22"/>
      </w:rPr>
      <w:tblPr/>
      <w:tcPr>
        <w:tcBorders>
          <w:top w:val="none" w:sz="4" w:space="0" w:color="000000"/>
          <w:left w:val="none" w:sz="4" w:space="0" w:color="000000"/>
          <w:bottom w:val="none" w:sz="4" w:space="0" w:color="000000"/>
          <w:right w:val="single" w:sz="4" w:space="0" w:color="A0B7E1" w:themeColor="accent1" w:themeTint="80"/>
        </w:tcBorders>
        <w:shd w:val="clear" w:color="FFFFFF" w:fill="auto"/>
      </w:tcPr>
    </w:tblStylePr>
    <w:tblStylePr w:type="lastCol">
      <w:rPr>
        <w:rFonts w:ascii="Arial" w:hAnsi="Arial"/>
        <w:i/>
        <w:color w:val="A0B7E1" w:themeColor="accent1" w:themeTint="80" w:themeShade="95"/>
        <w:sz w:val="22"/>
      </w:rPr>
      <w:tblPr/>
      <w:tcPr>
        <w:tcBorders>
          <w:top w:val="none" w:sz="4" w:space="0" w:color="000000"/>
          <w:left w:val="single" w:sz="4" w:space="0" w:color="A0B7E1" w:themeColor="accent1" w:themeTint="80"/>
          <w:bottom w:val="none" w:sz="4" w:space="0" w:color="000000"/>
          <w:right w:val="none" w:sz="4" w:space="0" w:color="000000"/>
        </w:tcBorders>
        <w:shd w:val="clear" w:color="FFFFFF" w:fill="auto"/>
      </w:tcPr>
    </w:tblStylePr>
    <w:tblStylePr w:type="band1Vert">
      <w:tblPr/>
      <w:tcPr>
        <w:shd w:val="clear" w:color="D8E2F3" w:themeColor="accent1" w:themeTint="34" w:fill="D8E2F3" w:themeFill="accent1" w:themeFillTint="34"/>
      </w:tcPr>
    </w:tblStylePr>
    <w:tblStylePr w:type="band1Horz">
      <w:rPr>
        <w:rFonts w:ascii="Arial" w:hAnsi="Arial"/>
        <w:color w:val="A0B7E1" w:themeColor="accent1" w:themeTint="80" w:themeShade="95"/>
        <w:sz w:val="22"/>
      </w:rPr>
      <w:tblPr/>
      <w:tcPr>
        <w:shd w:val="clear" w:color="D8E2F3" w:themeColor="accent1" w:themeTint="34" w:fill="D8E2F3" w:themeFill="accent1" w:themeFillTint="34"/>
      </w:tcPr>
    </w:tblStylePr>
    <w:tblStylePr w:type="band2Horz">
      <w:rPr>
        <w:rFonts w:ascii="Arial" w:hAnsi="Arial"/>
        <w:color w:val="A0B7E1" w:themeColor="accent1" w:themeTint="80" w:themeShade="95"/>
        <w:sz w:val="22"/>
      </w:rPr>
    </w:tblStylePr>
  </w:style>
  <w:style w:type="table" w:styleId="GridTable7Colorful-Accent2">
    <w:name w:val="Grid Table 7 Colorful Accent 2"/>
    <w:basedOn w:val="TableNormal"/>
    <w:uiPriority w:val="99"/>
    <w:tblPr>
      <w:tblStyleRowBandSize w:val="1"/>
      <w:tblStyleColBandSize w:val="1"/>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rFonts w:ascii="Arial" w:hAnsi="Arial"/>
        <w:b/>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styleId="GridTable7Colorful-Accent3">
    <w:name w:val="Grid Table 7 Colorful Accent 3"/>
    <w:basedOn w:val="TableNormal"/>
    <w:uiPriority w:val="99"/>
    <w:tblPr>
      <w:tblStyleRowBandSize w:val="1"/>
      <w:tblStyleColBandSize w:val="1"/>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rFonts w:ascii="Arial" w:hAnsi="Arial"/>
        <w:b/>
        <w:color w:val="A5A5A5" w:themeColor="accent3" w:themeTint="FE" w:themeShade="95"/>
        <w:sz w:val="22"/>
      </w:rPr>
      <w:tblPr/>
      <w:tcPr>
        <w:tcBorders>
          <w:top w:val="none" w:sz="4" w:space="0" w:color="000000"/>
          <w:left w:val="none" w:sz="4" w:space="0" w:color="000000"/>
          <w:bottom w:val="single" w:sz="4" w:space="0" w:color="A5A5A5" w:themeColor="accent3" w:themeTint="FE"/>
          <w:right w:val="none" w:sz="4" w:space="0" w:color="000000"/>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4" w:space="0" w:color="000000"/>
          <w:left w:val="none" w:sz="4" w:space="0" w:color="000000"/>
          <w:bottom w:val="none" w:sz="4" w:space="0" w:color="000000"/>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4" w:space="0" w:color="000000"/>
          <w:left w:val="single" w:sz="4" w:space="0" w:color="A5A5A5" w:themeColor="accent3" w:themeTint="FE"/>
          <w:bottom w:val="none" w:sz="4" w:space="0" w:color="000000"/>
          <w:right w:val="none" w:sz="4" w:space="0" w:color="000000"/>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styleId="GridTable7Colorful-Accent4">
    <w:name w:val="Grid Table 7 Colorful Accent 4"/>
    <w:basedOn w:val="TableNormal"/>
    <w:uiPriority w:val="99"/>
    <w:tblPr>
      <w:tblStyleRowBandSize w:val="1"/>
      <w:tblStyleColBandSize w:val="1"/>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rFonts w:ascii="Arial" w:hAnsi="Arial"/>
        <w:b/>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styleId="GridTable7Colorful-Accent5">
    <w:name w:val="Grid Table 7 Colorful Accent 5"/>
    <w:basedOn w:val="TableNormal"/>
    <w:uiPriority w:val="99"/>
    <w:tblPr>
      <w:tblStyleRowBandSize w:val="1"/>
      <w:tblStyleColBandSize w:val="1"/>
      <w:tblBorders>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Pr>
    <w:tblStylePr w:type="firstRow">
      <w:rPr>
        <w:rFonts w:ascii="Arial" w:hAnsi="Arial"/>
        <w:b/>
        <w:color w:val="245A8D" w:themeColor="accent5" w:themeShade="95"/>
        <w:sz w:val="22"/>
      </w:rPr>
      <w:tblPr/>
      <w:tcPr>
        <w:tcBorders>
          <w:top w:val="none" w:sz="4" w:space="0" w:color="000000"/>
          <w:left w:val="none" w:sz="4" w:space="0" w:color="000000"/>
          <w:bottom w:val="single" w:sz="4" w:space="0" w:color="A2C6E7" w:themeColor="accent5" w:themeTint="90"/>
          <w:right w:val="none" w:sz="4" w:space="0" w:color="000000"/>
        </w:tcBorders>
        <w:shd w:val="clear" w:color="FFFFFF" w:themeColor="light1" w:fill="FFFFFF" w:themeFill="light1"/>
      </w:tcPr>
    </w:tblStylePr>
    <w:tblStylePr w:type="lastRow">
      <w:rPr>
        <w:rFonts w:ascii="Arial" w:hAnsi="Arial"/>
        <w:b/>
        <w:color w:val="245A8D" w:themeColor="accent5" w:themeShade="95"/>
        <w:sz w:val="22"/>
      </w:rPr>
      <w:tblPr/>
      <w:tcPr>
        <w:tcBorders>
          <w:top w:val="single" w:sz="4" w:space="0" w:color="A2C6E7"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45A8D" w:themeColor="accent5" w:themeShade="95"/>
        <w:sz w:val="22"/>
      </w:rPr>
      <w:tblPr/>
      <w:tcPr>
        <w:tcBorders>
          <w:top w:val="none" w:sz="4" w:space="0" w:color="000000"/>
          <w:left w:val="none" w:sz="4" w:space="0" w:color="000000"/>
          <w:bottom w:val="none" w:sz="4" w:space="0" w:color="000000"/>
          <w:right w:val="single" w:sz="4" w:space="0" w:color="A2C6E7" w:themeColor="accent5" w:themeTint="90"/>
        </w:tcBorders>
        <w:shd w:val="clear" w:color="FFFFFF" w:fill="auto"/>
      </w:tcPr>
    </w:tblStylePr>
    <w:tblStylePr w:type="lastCol">
      <w:rPr>
        <w:rFonts w:ascii="Arial" w:hAnsi="Arial"/>
        <w:i/>
        <w:color w:val="245A8D" w:themeColor="accent5" w:themeShade="95"/>
        <w:sz w:val="22"/>
      </w:rPr>
      <w:tblPr/>
      <w:tcPr>
        <w:tcBorders>
          <w:top w:val="none" w:sz="4" w:space="0" w:color="000000"/>
          <w:left w:val="single" w:sz="4" w:space="0" w:color="A2C6E7" w:themeColor="accent5" w:themeTint="90"/>
          <w:bottom w:val="none" w:sz="4" w:space="0" w:color="000000"/>
          <w:right w:val="none" w:sz="4" w:space="0" w:color="000000"/>
        </w:tcBorders>
        <w:shd w:val="clear" w:color="FFFFFF" w:fill="auto"/>
      </w:tcPr>
    </w:tblStylePr>
    <w:tblStylePr w:type="band1Vert">
      <w:tblPr/>
      <w:tcPr>
        <w:shd w:val="clear" w:color="DDEAF6" w:themeColor="accent5" w:themeTint="34" w:fill="DDEAF6" w:themeFill="accent5" w:themeFillTint="34"/>
      </w:tcPr>
    </w:tblStylePr>
    <w:tblStylePr w:type="band1Horz">
      <w:rPr>
        <w:rFonts w:ascii="Arial" w:hAnsi="Arial"/>
        <w:color w:val="245A8D" w:themeColor="accent5" w:themeShade="95"/>
        <w:sz w:val="22"/>
      </w:rPr>
      <w:tblPr/>
      <w:tcPr>
        <w:shd w:val="clear" w:color="DDEAF6" w:themeColor="accent5" w:themeTint="34" w:fill="DDEAF6" w:themeFill="accent5" w:themeFillTint="34"/>
      </w:tcPr>
    </w:tblStylePr>
    <w:tblStylePr w:type="band2Horz">
      <w:rPr>
        <w:rFonts w:ascii="Arial" w:hAnsi="Arial"/>
        <w:color w:val="245A8D" w:themeColor="accent5" w:themeShade="95"/>
        <w:sz w:val="22"/>
      </w:rPr>
    </w:tblStylePr>
  </w:style>
  <w:style w:type="table" w:styleId="GridTable7Colorful-Accent6">
    <w:name w:val="Grid Table 7 Colorful Accent 6"/>
    <w:basedOn w:val="TableNormal"/>
    <w:uiPriority w:val="99"/>
    <w:tblPr>
      <w:tblStyleRowBandSize w:val="1"/>
      <w:tblStyleColBandSize w:val="1"/>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416429" w:themeColor="accent6" w:themeShade="95"/>
        <w:sz w:val="22"/>
      </w:rPr>
      <w:tblPr/>
      <w:tcPr>
        <w:tcBorders>
          <w:top w:val="none" w:sz="4" w:space="0" w:color="000000"/>
          <w:left w:val="none" w:sz="4" w:space="0" w:color="000000"/>
          <w:bottom w:val="single" w:sz="4" w:space="0" w:color="ADD394" w:themeColor="accent6" w:themeTint="90"/>
          <w:right w:val="none" w:sz="4" w:space="0" w:color="000000"/>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4" w:space="0" w:color="000000"/>
          <w:left w:val="none" w:sz="4" w:space="0" w:color="000000"/>
          <w:bottom w:val="none" w:sz="4" w:space="0" w:color="000000"/>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4" w:space="0" w:color="000000"/>
          <w:left w:val="single" w:sz="4" w:space="0" w:color="ADD394" w:themeColor="accent6" w:themeTint="90"/>
          <w:bottom w:val="none" w:sz="4" w:space="0" w:color="000000"/>
          <w:right w:val="none" w:sz="4" w:space="0" w:color="000000"/>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styleId="ListTable1Light">
    <w:name w:val="List Table 1 Light"/>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styleId="ListTable1Light-Accent1">
    <w:name w:val="List Table 1 Light Accent 1"/>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472C4" w:themeColor="accent1"/>
          <w:right w:val="none" w:sz="4" w:space="0" w:color="000000"/>
        </w:tcBorders>
      </w:tcPr>
    </w:tblStylePr>
    <w:tblStylePr w:type="lastRow">
      <w:rPr>
        <w:b/>
        <w:color w:val="404040"/>
      </w:rPr>
      <w:tblPr/>
      <w:tcPr>
        <w:tcBorders>
          <w:top w:val="single" w:sz="4" w:space="0" w:color="4472C4"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1" w:themeTint="40" w:fill="CFDBF0" w:themeFill="accent1" w:themeFillTint="40"/>
      </w:tcPr>
    </w:tblStylePr>
    <w:tblStylePr w:type="band1Horz">
      <w:tblPr/>
      <w:tcPr>
        <w:shd w:val="clear" w:color="CFDBF0" w:themeColor="accent1" w:themeTint="40" w:fill="CFDBF0" w:themeFill="accent1" w:themeFillTint="40"/>
      </w:tcPr>
    </w:tblStylePr>
  </w:style>
  <w:style w:type="table" w:styleId="ListTable1Light-Accent2">
    <w:name w:val="List Table 1 Light Accent 2"/>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styleId="ListTable1Light-Accent3">
    <w:name w:val="List Table 1 Light Accent 3"/>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styleId="ListTable1Light-Accent4">
    <w:name w:val="List Table 1 Light Accent 4"/>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styleId="ListTable1Light-Accent5">
    <w:name w:val="List Table 1 Light Accent 5"/>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5B9BD5" w:themeColor="accent5"/>
          <w:right w:val="none" w:sz="4" w:space="0" w:color="000000"/>
        </w:tcBorders>
      </w:tcPr>
    </w:tblStylePr>
    <w:tblStylePr w:type="lastRow">
      <w:rPr>
        <w:b/>
        <w:color w:val="404040"/>
      </w:rPr>
      <w:tblPr/>
      <w:tcPr>
        <w:tcBorders>
          <w:top w:val="single" w:sz="4" w:space="0" w:color="5B9BD5"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5" w:themeTint="40" w:fill="D5E5F4" w:themeFill="accent5" w:themeFillTint="40"/>
      </w:tcPr>
    </w:tblStylePr>
    <w:tblStylePr w:type="band1Horz">
      <w:tblPr/>
      <w:tcPr>
        <w:shd w:val="clear" w:color="D5E5F4" w:themeColor="accent5" w:themeTint="40" w:fill="D5E5F4" w:themeFill="accent5" w:themeFillTint="40"/>
      </w:tcPr>
    </w:tblStylePr>
  </w:style>
  <w:style w:type="table" w:styleId="ListTable1Light-Accent6">
    <w:name w:val="List Table 1 Light Accent 6"/>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styleId="ListTable2">
    <w:name w:val="List Table 2"/>
    <w:basedOn w:val="TableNormal"/>
    <w:uiPriority w:val="99"/>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2-Accent1">
    <w:name w:val="List Table 2 Accent 1"/>
    <w:basedOn w:val="TableNormal"/>
    <w:uiPriority w:val="99"/>
    <w:tblPr>
      <w:tblStyleRowBandSize w:val="1"/>
      <w:tblStyleColBandSize w:val="1"/>
      <w:tblBorders>
        <w:top w:val="single" w:sz="4" w:space="0" w:color="95AFDD" w:themeColor="accent1" w:themeTint="90"/>
        <w:bottom w:val="single" w:sz="4" w:space="0" w:color="95AFDD" w:themeColor="accent1" w:themeTint="90"/>
        <w:insideH w:val="single" w:sz="4" w:space="0" w:color="95AFDD" w:themeColor="accent1" w:themeTint="90"/>
      </w:tblBorders>
    </w:tblPr>
    <w:tblStylePr w:type="firstRow">
      <w:rPr>
        <w:rFonts w:ascii="Arial" w:hAnsi="Arial"/>
        <w:b/>
        <w:color w:val="404040"/>
        <w:sz w:val="22"/>
      </w:rPr>
      <w:tblPr/>
      <w:tcPr>
        <w:tcBorders>
          <w:top w:val="single" w:sz="4" w:space="0" w:color="95AFDD" w:themeColor="accent1" w:themeTint="90"/>
          <w:left w:val="none" w:sz="4" w:space="0" w:color="000000"/>
          <w:bottom w:val="single" w:sz="4" w:space="0" w:color="95AFDD" w:themeColor="accent1" w:themeTint="90"/>
          <w:right w:val="none" w:sz="4" w:space="0" w:color="000000"/>
        </w:tcBorders>
      </w:tcPr>
    </w:tblStylePr>
    <w:tblStylePr w:type="lastRow">
      <w:rPr>
        <w:rFonts w:ascii="Arial" w:hAnsi="Arial"/>
        <w:b/>
        <w:color w:val="404040"/>
        <w:sz w:val="22"/>
      </w:rPr>
      <w:tblPr/>
      <w:tcPr>
        <w:tcBorders>
          <w:top w:val="single" w:sz="4" w:space="0" w:color="95AFDD" w:themeColor="accent1" w:themeTint="90"/>
          <w:left w:val="none" w:sz="4" w:space="0" w:color="000000"/>
          <w:bottom w:val="single" w:sz="4" w:space="0" w:color="95AFDD"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1" w:themeTint="40" w:fill="CFDBF0" w:themeFill="accent1" w:themeFillTint="40"/>
      </w:tcPr>
    </w:tblStylePr>
    <w:tblStylePr w:type="band1Horz">
      <w:rPr>
        <w:rFonts w:ascii="Arial" w:hAnsi="Arial"/>
        <w:color w:val="404040"/>
        <w:sz w:val="22"/>
      </w:rPr>
      <w:tblPr/>
      <w:tcPr>
        <w:shd w:val="clear" w:color="CFDBF0" w:themeColor="accent1" w:themeTint="40" w:fill="CFDBF0" w:themeFill="accent1" w:themeFillTint="40"/>
      </w:tcPr>
    </w:tblStylePr>
  </w:style>
  <w:style w:type="table" w:styleId="ListTable2-Accent2">
    <w:name w:val="List Table 2 Accent 2"/>
    <w:basedOn w:val="TableNormal"/>
    <w:uiPriority w:val="99"/>
    <w:tblPr>
      <w:tblStyleRowBandSize w:val="1"/>
      <w:tblStyleColBandSize w:val="1"/>
      <w:tblBorders>
        <w:top w:val="single" w:sz="4" w:space="0" w:color="F4B58A" w:themeColor="accent2" w:themeTint="90"/>
        <w:bottom w:val="single" w:sz="4" w:space="0" w:color="F4B58A" w:themeColor="accent2" w:themeTint="90"/>
        <w:insideH w:val="single" w:sz="4" w:space="0" w:color="F4B58A" w:themeColor="accent2" w:themeTint="90"/>
      </w:tblBorders>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styleId="ListTable2-Accent3">
    <w:name w:val="List Table 2 Accent 3"/>
    <w:basedOn w:val="TableNormal"/>
    <w:uiPriority w:val="99"/>
    <w:tblPr>
      <w:tblStyleRowBandSize w:val="1"/>
      <w:tblStyleColBandSize w:val="1"/>
      <w:tblBorders>
        <w:top w:val="single" w:sz="4" w:space="0" w:color="CCCCCC" w:themeColor="accent3" w:themeTint="90"/>
        <w:bottom w:val="single" w:sz="4" w:space="0" w:color="CCCCCC" w:themeColor="accent3" w:themeTint="90"/>
        <w:insideH w:val="single" w:sz="4" w:space="0" w:color="CCCCCC" w:themeColor="accent3" w:themeTint="90"/>
      </w:tblBorders>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styleId="ListTable2-Accent4">
    <w:name w:val="List Table 2 Accent 4"/>
    <w:basedOn w:val="TableNormal"/>
    <w:uiPriority w:val="99"/>
    <w:tblPr>
      <w:tblStyleRowBandSize w:val="1"/>
      <w:tblStyleColBandSize w:val="1"/>
      <w:tblBorders>
        <w:top w:val="single" w:sz="4" w:space="0" w:color="FFDB6F" w:themeColor="accent4" w:themeTint="90"/>
        <w:bottom w:val="single" w:sz="4" w:space="0" w:color="FFDB6F" w:themeColor="accent4" w:themeTint="90"/>
        <w:insideH w:val="single" w:sz="4" w:space="0" w:color="FFDB6F" w:themeColor="accent4" w:themeTint="90"/>
      </w:tblBorders>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styleId="ListTable2-Accent5">
    <w:name w:val="List Table 2 Accent 5"/>
    <w:basedOn w:val="TableNormal"/>
    <w:uiPriority w:val="99"/>
    <w:tblPr>
      <w:tblStyleRowBandSize w:val="1"/>
      <w:tblStyleColBandSize w:val="1"/>
      <w:tblBorders>
        <w:top w:val="single" w:sz="4" w:space="0" w:color="A2C6E7" w:themeColor="accent5" w:themeTint="90"/>
        <w:bottom w:val="single" w:sz="4" w:space="0" w:color="A2C6E7" w:themeColor="accent5" w:themeTint="90"/>
        <w:insideH w:val="single" w:sz="4" w:space="0" w:color="A2C6E7" w:themeColor="accent5" w:themeTint="90"/>
      </w:tblBorders>
    </w:tblPr>
    <w:tblStylePr w:type="firstRow">
      <w:rPr>
        <w:rFonts w:ascii="Arial" w:hAnsi="Arial"/>
        <w:b/>
        <w:color w:val="404040"/>
        <w:sz w:val="22"/>
      </w:rPr>
      <w:tblPr/>
      <w:tcPr>
        <w:tcBorders>
          <w:top w:val="single" w:sz="4" w:space="0" w:color="A2C6E7" w:themeColor="accent5" w:themeTint="90"/>
          <w:left w:val="none" w:sz="4" w:space="0" w:color="000000"/>
          <w:bottom w:val="single" w:sz="4" w:space="0" w:color="A2C6E7" w:themeColor="accent5" w:themeTint="90"/>
          <w:right w:val="none" w:sz="4" w:space="0" w:color="000000"/>
        </w:tcBorders>
      </w:tcPr>
    </w:tblStylePr>
    <w:tblStylePr w:type="lastRow">
      <w:rPr>
        <w:rFonts w:ascii="Arial" w:hAnsi="Arial"/>
        <w:b/>
        <w:color w:val="404040"/>
        <w:sz w:val="22"/>
      </w:rPr>
      <w:tblPr/>
      <w:tcPr>
        <w:tcBorders>
          <w:top w:val="single" w:sz="4" w:space="0" w:color="A2C6E7" w:themeColor="accent5" w:themeTint="90"/>
          <w:left w:val="none" w:sz="4" w:space="0" w:color="000000"/>
          <w:bottom w:val="single" w:sz="4" w:space="0" w:color="A2C6E7"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5" w:themeTint="40" w:fill="D5E5F4" w:themeFill="accent5" w:themeFillTint="40"/>
      </w:tcPr>
    </w:tblStylePr>
    <w:tblStylePr w:type="band1Horz">
      <w:rPr>
        <w:rFonts w:ascii="Arial" w:hAnsi="Arial"/>
        <w:color w:val="404040"/>
        <w:sz w:val="22"/>
      </w:rPr>
      <w:tblPr/>
      <w:tcPr>
        <w:shd w:val="clear" w:color="D5E5F4" w:themeColor="accent5" w:themeTint="40" w:fill="D5E5F4" w:themeFill="accent5" w:themeFillTint="40"/>
      </w:tcPr>
    </w:tblStylePr>
  </w:style>
  <w:style w:type="table" w:styleId="ListTable2-Accent6">
    <w:name w:val="List Table 2 Accent 6"/>
    <w:basedOn w:val="TableNormal"/>
    <w:uiPriority w:val="99"/>
    <w:tblPr>
      <w:tblStyleRowBandSize w:val="1"/>
      <w:tblStyleColBandSize w:val="1"/>
      <w:tblBorders>
        <w:top w:val="single" w:sz="4" w:space="0" w:color="ADD394" w:themeColor="accent6" w:themeTint="90"/>
        <w:bottom w:val="single" w:sz="4" w:space="0" w:color="ADD394" w:themeColor="accent6" w:themeTint="90"/>
        <w:insideH w:val="single" w:sz="4" w:space="0" w:color="ADD394" w:themeColor="accent6" w:themeTint="90"/>
      </w:tblBorders>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ListTable3">
    <w:name w:val="List Table 3"/>
    <w:basedOn w:val="TableNormal"/>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ListTable3-Accent1">
    <w:name w:val="List Table 3 Accent 1"/>
    <w:basedOn w:val="TableNormal"/>
    <w:uiPriority w:val="99"/>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rFonts w:ascii="Arial" w:hAnsi="Arial"/>
        <w:b/>
        <w:color w:val="FFFFFF"/>
        <w:sz w:val="22"/>
      </w:rPr>
      <w:tblPr/>
      <w:tcPr>
        <w:shd w:val="clear" w:color="4472C4" w:themeColor="accent1"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472C4" w:themeColor="accent1"/>
          <w:right w:val="single" w:sz="4" w:space="0" w:color="4472C4" w:themeColor="accent1"/>
        </w:tcBorders>
      </w:tcPr>
    </w:tblStylePr>
    <w:tblStylePr w:type="band1Horz">
      <w:rPr>
        <w:rFonts w:ascii="Arial" w:hAnsi="Arial"/>
        <w:color w:val="404040"/>
        <w:sz w:val="22"/>
      </w:rPr>
      <w:tblPr/>
      <w:tcPr>
        <w:tcBorders>
          <w:top w:val="single" w:sz="4" w:space="0" w:color="4472C4" w:themeColor="accent1"/>
          <w:bottom w:val="single" w:sz="4" w:space="0" w:color="4472C4" w:themeColor="accent1"/>
        </w:tcBorders>
      </w:tcPr>
    </w:tblStylePr>
  </w:style>
  <w:style w:type="table" w:styleId="ListTable3-Accent2">
    <w:name w:val="List Table 3 Accent 2"/>
    <w:basedOn w:val="TableNormal"/>
    <w:uiPriority w:val="99"/>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styleId="ListTable3-Accent3">
    <w:name w:val="List Table 3 Accent 3"/>
    <w:basedOn w:val="TableNormal"/>
    <w:uiPriority w:val="99"/>
    <w:tblPr>
      <w:tblStyleRowBandSize w:val="1"/>
      <w:tblStyleColBandSize w:val="1"/>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styleId="ListTable3-Accent4">
    <w:name w:val="List Table 3 Accent 4"/>
    <w:basedOn w:val="TableNormal"/>
    <w:uiPriority w:val="99"/>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styleId="ListTable3-Accent5">
    <w:name w:val="List Table 3 Accent 5"/>
    <w:basedOn w:val="TableNormal"/>
    <w:uiPriority w:val="99"/>
    <w:tblPr>
      <w:tblStyleRowBandSize w:val="1"/>
      <w:tblStyleColBandSize w:val="1"/>
      <w:tblBorders>
        <w:top w:val="single" w:sz="4" w:space="0" w:color="9BC2E5" w:themeColor="accent5" w:themeTint="9A"/>
        <w:left w:val="single" w:sz="4" w:space="0" w:color="9BC2E5" w:themeColor="accent5" w:themeTint="9A"/>
        <w:bottom w:val="single" w:sz="4" w:space="0" w:color="9BC2E5" w:themeColor="accent5" w:themeTint="9A"/>
        <w:right w:val="single" w:sz="4" w:space="0" w:color="9BC2E5" w:themeColor="accent5" w:themeTint="9A"/>
      </w:tblBorders>
    </w:tblPr>
    <w:tblStylePr w:type="firstRow">
      <w:rPr>
        <w:rFonts w:ascii="Arial" w:hAnsi="Arial"/>
        <w:b/>
        <w:color w:val="FFFFFF"/>
        <w:sz w:val="22"/>
      </w:rPr>
      <w:tblPr/>
      <w:tcPr>
        <w:shd w:val="clear" w:color="9BC2E5" w:themeColor="accent5" w:themeTint="9A" w:fill="9BC2E5"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BC2E5" w:themeColor="accent5" w:themeTint="9A"/>
          <w:right w:val="single" w:sz="4" w:space="0" w:color="9BC2E5" w:themeColor="accent5" w:themeTint="9A"/>
        </w:tcBorders>
      </w:tcPr>
    </w:tblStylePr>
    <w:tblStylePr w:type="band1Horz">
      <w:rPr>
        <w:rFonts w:ascii="Arial" w:hAnsi="Arial"/>
        <w:color w:val="404040"/>
        <w:sz w:val="22"/>
      </w:rPr>
      <w:tblPr/>
      <w:tcPr>
        <w:tcBorders>
          <w:top w:val="single" w:sz="4" w:space="0" w:color="9BC2E5" w:themeColor="accent5" w:themeTint="9A"/>
          <w:bottom w:val="single" w:sz="4" w:space="0" w:color="9BC2E5" w:themeColor="accent5" w:themeTint="9A"/>
        </w:tcBorders>
      </w:tcPr>
    </w:tblStylePr>
  </w:style>
  <w:style w:type="table" w:styleId="ListTable3-Accent6">
    <w:name w:val="List Table 3 Accent 6"/>
    <w:basedOn w:val="TableNormal"/>
    <w:uiPriority w:val="99"/>
    <w:tblPr>
      <w:tblStyleRowBandSize w:val="1"/>
      <w:tblStyleColBandSize w:val="1"/>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styleId="ListTable4">
    <w:name w:val="List Table 4"/>
    <w:basedOn w:val="TableNormal"/>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4-Accent1">
    <w:name w:val="List Table 4 Accent 1"/>
    <w:basedOn w:val="TableNormal"/>
    <w:uiPriority w:val="99"/>
    <w:tblPr>
      <w:tblStyleRowBandSize w:val="1"/>
      <w:tblStyleColBandSize w:val="1"/>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tblBorders>
    </w:tblPr>
    <w:tblStylePr w:type="firstRow">
      <w:rPr>
        <w:rFonts w:ascii="Arial" w:hAnsi="Arial"/>
        <w:b/>
        <w:color w:val="FFFFFF"/>
        <w:sz w:val="22"/>
      </w:rPr>
      <w:tblPr/>
      <w:tcPr>
        <w:shd w:val="clear" w:color="4472C4" w:themeColor="accent1"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1" w:themeTint="40" w:fill="CFDBF0" w:themeFill="accent1" w:themeFillTint="40"/>
      </w:tcPr>
    </w:tblStylePr>
    <w:tblStylePr w:type="band1Horz">
      <w:rPr>
        <w:rFonts w:ascii="Arial" w:hAnsi="Arial"/>
        <w:color w:val="404040"/>
        <w:sz w:val="22"/>
      </w:rPr>
      <w:tblPr/>
      <w:tcPr>
        <w:shd w:val="clear" w:color="CFDBF0" w:themeColor="accent1" w:themeTint="40" w:fill="CFDBF0" w:themeFill="accent1" w:themeFillTint="40"/>
      </w:tcPr>
    </w:tblStylePr>
  </w:style>
  <w:style w:type="table" w:styleId="ListTable4-Accent2">
    <w:name w:val="List Table 4 Accent 2"/>
    <w:basedOn w:val="TableNormal"/>
    <w:uiPriority w:val="99"/>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styleId="ListTable4-Accent3">
    <w:name w:val="List Table 4 Accent 3"/>
    <w:basedOn w:val="TableNormal"/>
    <w:uiPriority w:val="99"/>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styleId="ListTable4-Accent4">
    <w:name w:val="List Table 4 Accent 4"/>
    <w:basedOn w:val="TableNormal"/>
    <w:uiPriority w:val="99"/>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styleId="ListTable4-Accent5">
    <w:name w:val="List Table 4 Accent 5"/>
    <w:basedOn w:val="TableNormal"/>
    <w:uiPriority w:val="99"/>
    <w:tblPr>
      <w:tblStyleRowBandSize w:val="1"/>
      <w:tblStyleColBandSize w:val="1"/>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tblBorders>
    </w:tblPr>
    <w:tblStylePr w:type="firstRow">
      <w:rPr>
        <w:rFonts w:ascii="Arial" w:hAnsi="Arial"/>
        <w:b/>
        <w:color w:val="FFFFFF"/>
        <w:sz w:val="22"/>
      </w:rPr>
      <w:tblPr/>
      <w:tcPr>
        <w:shd w:val="clear" w:color="5B9BD5" w:themeColor="accent5" w:fill="5B9BD5"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5" w:themeTint="40" w:fill="D5E5F4" w:themeFill="accent5" w:themeFillTint="40"/>
      </w:tcPr>
    </w:tblStylePr>
    <w:tblStylePr w:type="band1Horz">
      <w:rPr>
        <w:rFonts w:ascii="Arial" w:hAnsi="Arial"/>
        <w:color w:val="404040"/>
        <w:sz w:val="22"/>
      </w:rPr>
      <w:tblPr/>
      <w:tcPr>
        <w:shd w:val="clear" w:color="D5E5F4" w:themeColor="accent5" w:themeTint="40" w:fill="D5E5F4" w:themeFill="accent5" w:themeFillTint="40"/>
      </w:tcPr>
    </w:tblStylePr>
  </w:style>
  <w:style w:type="table" w:styleId="ListTable4-Accent6">
    <w:name w:val="List Table 4 Accent 6"/>
    <w:basedOn w:val="TableNormal"/>
    <w:uiPriority w:val="99"/>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ListTable5Dark">
    <w:name w:val="List Table 5 Dark"/>
    <w:basedOn w:val="TableNormal"/>
    <w:uiPriority w:val="99"/>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styleId="ListTable5Dark-Accent1">
    <w:name w:val="List Table 5 Dark Accent 1"/>
    <w:basedOn w:val="TableNormal"/>
    <w:uiPriority w:val="99"/>
    <w:tblPr>
      <w:tblStyleRowBandSize w:val="1"/>
      <w:tblStyleColBandSize w:val="1"/>
      <w:tblBorders>
        <w:top w:val="single" w:sz="32" w:space="0" w:color="4472C4" w:themeColor="accent1"/>
        <w:left w:val="single" w:sz="32" w:space="0" w:color="4472C4" w:themeColor="accent1"/>
        <w:bottom w:val="single" w:sz="32" w:space="0" w:color="4472C4" w:themeColor="accent1"/>
        <w:right w:val="single" w:sz="32" w:space="0" w:color="4472C4" w:themeColor="accent1"/>
      </w:tblBorders>
      <w:shd w:val="clear" w:color="4472C4" w:themeColor="accent1" w:fill="4472C4" w:themeFill="accent1"/>
    </w:tblPr>
    <w:tblStylePr w:type="firstRow">
      <w:rPr>
        <w:rFonts w:ascii="Arial" w:hAnsi="Arial"/>
        <w:b/>
        <w:color w:val="FFFFFF" w:themeColor="light1"/>
        <w:sz w:val="22"/>
      </w:rPr>
      <w:tblPr/>
      <w:tcPr>
        <w:tcBorders>
          <w:top w:val="single" w:sz="32" w:space="0" w:color="4472C4" w:themeColor="accent1"/>
          <w:bottom w:val="single" w:sz="12" w:space="0" w:color="FFFFFF" w:themeColor="light1"/>
        </w:tcBorders>
        <w:shd w:val="clear" w:color="4472C4" w:themeColor="accent1" w:fill="4472C4"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472C4" w:themeColor="accent1"/>
          <w:right w:val="single" w:sz="4" w:space="0" w:color="FFFFFF" w:themeColor="light1"/>
        </w:tcBorders>
      </w:tcPr>
    </w:tblStylePr>
    <w:tblStylePr w:type="lastCol">
      <w:tblPr/>
      <w:tcPr>
        <w:tcBorders>
          <w:left w:val="single" w:sz="4" w:space="0" w:color="FFFFFF" w:themeColor="light1"/>
          <w:right w:val="single" w:sz="32" w:space="0" w:color="4472C4" w:themeColor="accent1"/>
        </w:tcBorders>
      </w:tcPr>
    </w:tblStylePr>
    <w:tblStylePr w:type="band1Vert">
      <w:tblPr/>
      <w:tcPr>
        <w:tcBorders>
          <w:left w:val="single" w:sz="4" w:space="0" w:color="FFFFFF" w:themeColor="light1"/>
          <w:right w:val="single" w:sz="4" w:space="0" w:color="FFFFFF" w:themeColor="light1"/>
        </w:tcBorders>
        <w:shd w:val="clear" w:color="4472C4" w:themeColor="accent1" w:fill="4472C4"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472C4" w:themeColor="accent1" w:fill="4472C4" w:themeFill="accent1"/>
      </w:tcPr>
    </w:tblStylePr>
    <w:tblStylePr w:type="band2Horz">
      <w:tblPr/>
      <w:tcPr>
        <w:tcBorders>
          <w:top w:val="single" w:sz="4" w:space="0" w:color="FFFFFF" w:themeColor="light1"/>
          <w:bottom w:val="single" w:sz="4" w:space="0" w:color="FFFFFF" w:themeColor="light1"/>
        </w:tcBorders>
        <w:shd w:val="clear" w:color="4472C4" w:themeColor="accent1" w:fill="4472C4" w:themeFill="accent1"/>
      </w:tcPr>
    </w:tblStylePr>
  </w:style>
  <w:style w:type="table" w:styleId="ListTable5Dark-Accent2">
    <w:name w:val="List Table 5 Dark Accent 2"/>
    <w:basedOn w:val="TableNormal"/>
    <w:uiPriority w:val="99"/>
    <w:tblPr>
      <w:tblStyleRowBandSize w:val="1"/>
      <w:tblStyleColBandSize w:val="1"/>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styleId="ListTable5Dark-Accent3">
    <w:name w:val="List Table 5 Dark Accent 3"/>
    <w:basedOn w:val="TableNormal"/>
    <w:uiPriority w:val="99"/>
    <w:tblPr>
      <w:tblStyleRowBandSize w:val="1"/>
      <w:tblStyleColBandSize w:val="1"/>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styleId="ListTable5Dark-Accent4">
    <w:name w:val="List Table 5 Dark Accent 4"/>
    <w:basedOn w:val="TableNormal"/>
    <w:uiPriority w:val="99"/>
    <w:tblPr>
      <w:tblStyleRowBandSize w:val="1"/>
      <w:tblStyleColBandSize w:val="1"/>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styleId="ListTable5Dark-Accent5">
    <w:name w:val="List Table 5 Dark Accent 5"/>
    <w:basedOn w:val="TableNormal"/>
    <w:uiPriority w:val="99"/>
    <w:tblPr>
      <w:tblStyleRowBandSize w:val="1"/>
      <w:tblStyleColBandSize w:val="1"/>
      <w:tblBorders>
        <w:top w:val="single" w:sz="32" w:space="0" w:color="9BC2E5" w:themeColor="accent5" w:themeTint="9A"/>
        <w:left w:val="single" w:sz="32" w:space="0" w:color="9BC2E5" w:themeColor="accent5" w:themeTint="9A"/>
        <w:bottom w:val="single" w:sz="32" w:space="0" w:color="9BC2E5" w:themeColor="accent5" w:themeTint="9A"/>
        <w:right w:val="single" w:sz="32" w:space="0" w:color="9BC2E5" w:themeColor="accent5" w:themeTint="9A"/>
      </w:tblBorders>
      <w:shd w:val="clear" w:color="9BC2E5" w:themeColor="accent5" w:themeTint="9A" w:fill="9BC2E5" w:themeFill="accent5" w:themeFillTint="9A"/>
    </w:tblPr>
    <w:tblStylePr w:type="firstRow">
      <w:rPr>
        <w:rFonts w:ascii="Arial" w:hAnsi="Arial"/>
        <w:b/>
        <w:color w:val="FFFFFF" w:themeColor="light1"/>
        <w:sz w:val="22"/>
      </w:rPr>
      <w:tblPr/>
      <w:tcPr>
        <w:tcBorders>
          <w:top w:val="single" w:sz="32" w:space="0" w:color="9BC2E5" w:themeColor="accent5" w:themeTint="9A"/>
          <w:bottom w:val="single" w:sz="12" w:space="0" w:color="FFFFFF" w:themeColor="light1"/>
        </w:tcBorders>
        <w:shd w:val="clear" w:color="9BC2E5" w:themeColor="accent5" w:themeTint="9A" w:fill="9BC2E5"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BC2E5" w:themeColor="accent5" w:themeTint="9A"/>
          <w:right w:val="single" w:sz="4" w:space="0" w:color="FFFFFF" w:themeColor="light1"/>
        </w:tcBorders>
      </w:tcPr>
    </w:tblStylePr>
    <w:tblStylePr w:type="lastCol">
      <w:tblPr/>
      <w:tcPr>
        <w:tcBorders>
          <w:left w:val="single" w:sz="4" w:space="0" w:color="FFFFFF" w:themeColor="light1"/>
          <w:right w:val="single" w:sz="32" w:space="0" w:color="9BC2E5" w:themeColor="accent5" w:themeTint="9A"/>
        </w:tcBorders>
      </w:tcPr>
    </w:tblStylePr>
    <w:tblStylePr w:type="band1Vert">
      <w:tblPr/>
      <w:tcPr>
        <w:tcBorders>
          <w:left w:val="single" w:sz="4" w:space="0" w:color="FFFFFF" w:themeColor="light1"/>
          <w:right w:val="single" w:sz="4" w:space="0" w:color="FFFFFF" w:themeColor="light1"/>
        </w:tcBorders>
        <w:shd w:val="clear" w:color="9BC2E5" w:themeColor="accent5" w:themeTint="9A" w:fill="9BC2E5"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BC2E5" w:themeColor="accent5" w:themeTint="9A" w:fill="9BC2E5" w:themeFill="accent5" w:themeFillTint="9A"/>
      </w:tcPr>
    </w:tblStylePr>
    <w:tblStylePr w:type="band2Horz">
      <w:tblPr/>
      <w:tcPr>
        <w:tcBorders>
          <w:top w:val="single" w:sz="4" w:space="0" w:color="FFFFFF" w:themeColor="light1"/>
          <w:bottom w:val="single" w:sz="4" w:space="0" w:color="FFFFFF" w:themeColor="light1"/>
        </w:tcBorders>
        <w:shd w:val="clear" w:color="9BC2E5" w:themeColor="accent5" w:themeTint="9A" w:fill="9BC2E5" w:themeFill="accent5" w:themeFillTint="9A"/>
      </w:tcPr>
    </w:tblStylePr>
  </w:style>
  <w:style w:type="table" w:styleId="ListTable5Dark-Accent6">
    <w:name w:val="List Table 5 Dark Accent 6"/>
    <w:basedOn w:val="TableNormal"/>
    <w:uiPriority w:val="99"/>
    <w:tblPr>
      <w:tblStyleRowBandSize w:val="1"/>
      <w:tblStyleColBandSize w:val="1"/>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styleId="ListTable6Colorful">
    <w:name w:val="List Table 6 Colorful"/>
    <w:basedOn w:val="TableNormal"/>
    <w:uiPriority w:val="99"/>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styleId="ListTable6Colorful-Accent1">
    <w:name w:val="List Table 6 Colorful Accent 1"/>
    <w:basedOn w:val="TableNormal"/>
    <w:uiPriority w:val="99"/>
    <w:tblPr>
      <w:tblStyleRowBandSize w:val="1"/>
      <w:tblStyleColBandSize w:val="1"/>
      <w:tblBorders>
        <w:top w:val="single" w:sz="4" w:space="0" w:color="4472C4" w:themeColor="accent1"/>
        <w:bottom w:val="single" w:sz="4" w:space="0" w:color="4472C4" w:themeColor="accent1"/>
      </w:tblBorders>
    </w:tblPr>
    <w:tblStylePr w:type="firstRow">
      <w:rPr>
        <w:b/>
        <w:color w:val="254175" w:themeColor="accent1" w:themeShade="95"/>
      </w:rPr>
      <w:tblPr/>
      <w:tcPr>
        <w:tcBorders>
          <w:bottom w:val="single" w:sz="4" w:space="0" w:color="4472C4" w:themeColor="accent1"/>
        </w:tcBorders>
      </w:tcPr>
    </w:tblStylePr>
    <w:tblStylePr w:type="lastRow">
      <w:rPr>
        <w:b/>
        <w:color w:val="254175" w:themeColor="accent1" w:themeShade="95"/>
      </w:rPr>
      <w:tblPr/>
      <w:tcPr>
        <w:tcBorders>
          <w:top w:val="single" w:sz="4" w:space="0" w:color="4472C4" w:themeColor="accent1"/>
        </w:tcBorders>
      </w:tcPr>
    </w:tblStylePr>
    <w:tblStylePr w:type="firstCol">
      <w:rPr>
        <w:b/>
        <w:color w:val="254175" w:themeColor="accent1" w:themeShade="95"/>
      </w:rPr>
    </w:tblStylePr>
    <w:tblStylePr w:type="lastCol">
      <w:rPr>
        <w:b/>
        <w:color w:val="254175" w:themeColor="accent1" w:themeShade="95"/>
      </w:rPr>
    </w:tblStylePr>
    <w:tblStylePr w:type="band1Vert">
      <w:tblPr/>
      <w:tcPr>
        <w:shd w:val="clear" w:color="CFDBF0" w:themeColor="accent1" w:themeTint="40" w:fill="CFDBF0" w:themeFill="accent1" w:themeFillTint="40"/>
      </w:tcPr>
    </w:tblStylePr>
    <w:tblStylePr w:type="band1Horz">
      <w:rPr>
        <w:rFonts w:ascii="Arial" w:hAnsi="Arial"/>
        <w:color w:val="254175" w:themeColor="accent1" w:themeShade="95"/>
        <w:sz w:val="22"/>
      </w:rPr>
      <w:tblPr/>
      <w:tcPr>
        <w:shd w:val="clear" w:color="CFDBF0" w:themeColor="accent1" w:themeTint="40" w:fill="CFDBF0" w:themeFill="accent1" w:themeFillTint="40"/>
      </w:tcPr>
    </w:tblStylePr>
    <w:tblStylePr w:type="band2Horz">
      <w:rPr>
        <w:rFonts w:ascii="Arial" w:hAnsi="Arial"/>
        <w:color w:val="254175" w:themeColor="accent1" w:themeShade="95"/>
        <w:sz w:val="22"/>
      </w:rPr>
    </w:tblStylePr>
  </w:style>
  <w:style w:type="table" w:styleId="ListTable6Colorful-Accent2">
    <w:name w:val="List Table 6 Colorful Accent 2"/>
    <w:basedOn w:val="TableNormal"/>
    <w:uiPriority w:val="99"/>
    <w:tblPr>
      <w:tblStyleRowBandSize w:val="1"/>
      <w:tblStyleColBandSize w:val="1"/>
      <w:tblBorders>
        <w:top w:val="single" w:sz="4" w:space="0" w:color="F4B184" w:themeColor="accent2" w:themeTint="97"/>
        <w:bottom w:val="single" w:sz="4" w:space="0" w:color="F4B184" w:themeColor="accent2" w:themeTint="97"/>
      </w:tblBorders>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styleId="ListTable6Colorful-Accent3">
    <w:name w:val="List Table 6 Colorful Accent 3"/>
    <w:basedOn w:val="TableNormal"/>
    <w:uiPriority w:val="99"/>
    <w:tblPr>
      <w:tblStyleRowBandSize w:val="1"/>
      <w:tblStyleColBandSize w:val="1"/>
      <w:tblBorders>
        <w:top w:val="single" w:sz="4" w:space="0" w:color="C9C9C9" w:themeColor="accent3" w:themeTint="98"/>
        <w:bottom w:val="single" w:sz="4" w:space="0" w:color="C9C9C9" w:themeColor="accent3" w:themeTint="98"/>
      </w:tblBorders>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styleId="ListTable6Colorful-Accent4">
    <w:name w:val="List Table 6 Colorful Accent 4"/>
    <w:basedOn w:val="TableNormal"/>
    <w:uiPriority w:val="99"/>
    <w:tblPr>
      <w:tblStyleRowBandSize w:val="1"/>
      <w:tblStyleColBandSize w:val="1"/>
      <w:tblBorders>
        <w:top w:val="single" w:sz="4" w:space="0" w:color="FFD865" w:themeColor="accent4" w:themeTint="9A"/>
        <w:bottom w:val="single" w:sz="4" w:space="0" w:color="FFD865" w:themeColor="accent4" w:themeTint="9A"/>
      </w:tblBorders>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styleId="ListTable6Colorful-Accent5">
    <w:name w:val="List Table 6 Colorful Accent 5"/>
    <w:basedOn w:val="TableNormal"/>
    <w:uiPriority w:val="99"/>
    <w:tblPr>
      <w:tblStyleRowBandSize w:val="1"/>
      <w:tblStyleColBandSize w:val="1"/>
      <w:tblBorders>
        <w:top w:val="single" w:sz="4" w:space="0" w:color="9BC2E5" w:themeColor="accent5" w:themeTint="9A"/>
        <w:bottom w:val="single" w:sz="4" w:space="0" w:color="9BC2E5" w:themeColor="accent5" w:themeTint="9A"/>
      </w:tblBorders>
    </w:tblPr>
    <w:tblStylePr w:type="firstRow">
      <w:rPr>
        <w:b/>
        <w:color w:val="9BC2E5" w:themeColor="accent5" w:themeTint="9A" w:themeShade="95"/>
      </w:rPr>
      <w:tblPr/>
      <w:tcPr>
        <w:tcBorders>
          <w:bottom w:val="single" w:sz="4" w:space="0" w:color="9BC2E5" w:themeColor="accent5" w:themeTint="9A"/>
        </w:tcBorders>
      </w:tcPr>
    </w:tblStylePr>
    <w:tblStylePr w:type="lastRow">
      <w:rPr>
        <w:b/>
        <w:color w:val="9BC2E5" w:themeColor="accent5" w:themeTint="9A" w:themeShade="95"/>
      </w:rPr>
      <w:tblPr/>
      <w:tcPr>
        <w:tcBorders>
          <w:top w:val="single" w:sz="4" w:space="0" w:color="9BC2E5" w:themeColor="accent5" w:themeTint="9A"/>
        </w:tcBorders>
      </w:tcPr>
    </w:tblStylePr>
    <w:tblStylePr w:type="firstCol">
      <w:rPr>
        <w:b/>
        <w:color w:val="9BC2E5" w:themeColor="accent5" w:themeTint="9A" w:themeShade="95"/>
      </w:rPr>
    </w:tblStylePr>
    <w:tblStylePr w:type="lastCol">
      <w:rPr>
        <w:b/>
        <w:color w:val="9BC2E5" w:themeColor="accent5" w:themeTint="9A" w:themeShade="95"/>
      </w:rPr>
    </w:tblStylePr>
    <w:tblStylePr w:type="band1Vert">
      <w:tblPr/>
      <w:tcPr>
        <w:shd w:val="clear" w:color="D5E5F4" w:themeColor="accent5" w:themeTint="40" w:fill="D5E5F4" w:themeFill="accent5" w:themeFillTint="40"/>
      </w:tcPr>
    </w:tblStylePr>
    <w:tblStylePr w:type="band1Horz">
      <w:rPr>
        <w:rFonts w:ascii="Arial" w:hAnsi="Arial"/>
        <w:color w:val="9BC2E5" w:themeColor="accent5" w:themeTint="9A" w:themeShade="95"/>
        <w:sz w:val="22"/>
      </w:rPr>
      <w:tblPr/>
      <w:tcPr>
        <w:shd w:val="clear" w:color="D5E5F4" w:themeColor="accent5" w:themeTint="40" w:fill="D5E5F4" w:themeFill="accent5" w:themeFillTint="40"/>
      </w:tcPr>
    </w:tblStylePr>
    <w:tblStylePr w:type="band2Horz">
      <w:rPr>
        <w:rFonts w:ascii="Arial" w:hAnsi="Arial"/>
        <w:color w:val="9BC2E5" w:themeColor="accent5" w:themeTint="9A" w:themeShade="95"/>
        <w:sz w:val="22"/>
      </w:rPr>
    </w:tblStylePr>
  </w:style>
  <w:style w:type="table" w:styleId="ListTable6Colorful-Accent6">
    <w:name w:val="List Table 6 Colorful Accent 6"/>
    <w:basedOn w:val="TableNormal"/>
    <w:uiPriority w:val="99"/>
    <w:tblPr>
      <w:tblStyleRowBandSize w:val="1"/>
      <w:tblStyleColBandSize w:val="1"/>
      <w:tblBorders>
        <w:top w:val="single" w:sz="4" w:space="0" w:color="A9D08E" w:themeColor="accent6" w:themeTint="98"/>
        <w:bottom w:val="single" w:sz="4" w:space="0" w:color="A9D08E" w:themeColor="accent6" w:themeTint="98"/>
      </w:tblBorders>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styleId="ListTable7Colorful">
    <w:name w:val="List Table 7 Colorful"/>
    <w:basedOn w:val="TableNormal"/>
    <w:uiPriority w:val="99"/>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styleId="ListTable7Colorful-Accent1">
    <w:name w:val="List Table 7 Colorful Accent 1"/>
    <w:basedOn w:val="TableNormal"/>
    <w:uiPriority w:val="99"/>
    <w:tblPr>
      <w:tblStyleRowBandSize w:val="1"/>
      <w:tblStyleColBandSize w:val="1"/>
      <w:tblBorders>
        <w:right w:val="single" w:sz="4" w:space="0" w:color="4472C4" w:themeColor="accent1"/>
      </w:tblBorders>
    </w:tblPr>
    <w:tblStylePr w:type="firstRow">
      <w:rPr>
        <w:rFonts w:ascii="Arial" w:hAnsi="Arial"/>
        <w:i/>
        <w:color w:val="254175" w:themeColor="accent1" w:themeShade="95"/>
        <w:sz w:val="22"/>
      </w:rPr>
      <w:tblPr/>
      <w:tcPr>
        <w:tcBorders>
          <w:top w:val="none" w:sz="4" w:space="0" w:color="000000"/>
          <w:left w:val="none" w:sz="4" w:space="0" w:color="000000"/>
          <w:bottom w:val="single" w:sz="4" w:space="0" w:color="4472C4" w:themeColor="accent1"/>
          <w:right w:val="none" w:sz="4" w:space="0" w:color="000000"/>
        </w:tcBorders>
        <w:shd w:val="clear" w:color="FFFFFF" w:themeColor="light1" w:fill="FFFFFF" w:themeFill="light1"/>
      </w:tcPr>
    </w:tblStylePr>
    <w:tblStylePr w:type="lastRow">
      <w:rPr>
        <w:rFonts w:ascii="Arial" w:hAnsi="Arial"/>
        <w:i/>
        <w:color w:val="254175" w:themeColor="accent1" w:themeShade="95"/>
        <w:sz w:val="22"/>
      </w:rPr>
      <w:tblPr/>
      <w:tcPr>
        <w:tcBorders>
          <w:top w:val="single" w:sz="4" w:space="0" w:color="4472C4"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54175" w:themeColor="accent1" w:themeShade="95"/>
        <w:sz w:val="22"/>
      </w:rPr>
      <w:tblPr/>
      <w:tcPr>
        <w:tcBorders>
          <w:top w:val="none" w:sz="4" w:space="0" w:color="000000"/>
          <w:left w:val="none" w:sz="4" w:space="0" w:color="000000"/>
          <w:bottom w:val="none" w:sz="4" w:space="0" w:color="000000"/>
          <w:right w:val="single" w:sz="4" w:space="0" w:color="4472C4" w:themeColor="accent1"/>
        </w:tcBorders>
        <w:shd w:val="clear" w:color="FFFFFF" w:fill="auto"/>
      </w:tcPr>
    </w:tblStylePr>
    <w:tblStylePr w:type="lastCol">
      <w:rPr>
        <w:rFonts w:ascii="Arial" w:hAnsi="Arial"/>
        <w:i/>
        <w:color w:val="254175" w:themeColor="accent1" w:themeShade="95"/>
        <w:sz w:val="22"/>
      </w:rPr>
      <w:tblPr/>
      <w:tcPr>
        <w:tcBorders>
          <w:top w:val="none" w:sz="4" w:space="0" w:color="000000"/>
          <w:left w:val="single" w:sz="4" w:space="0" w:color="4472C4" w:themeColor="accent1"/>
          <w:bottom w:val="none" w:sz="4" w:space="0" w:color="000000"/>
          <w:right w:val="none" w:sz="4" w:space="0" w:color="000000"/>
        </w:tcBorders>
        <w:shd w:val="clear" w:color="FFFFFF" w:fill="auto"/>
      </w:tcPr>
    </w:tblStylePr>
    <w:tblStylePr w:type="band1Vert">
      <w:tblPr/>
      <w:tcPr>
        <w:shd w:val="clear" w:color="CFDBF0" w:themeColor="accent1" w:themeTint="40" w:fill="CFDBF0" w:themeFill="accent1" w:themeFillTint="40"/>
      </w:tcPr>
    </w:tblStylePr>
    <w:tblStylePr w:type="band1Horz">
      <w:rPr>
        <w:rFonts w:ascii="Arial" w:hAnsi="Arial"/>
        <w:color w:val="254175" w:themeColor="accent1" w:themeShade="95"/>
        <w:sz w:val="22"/>
      </w:rPr>
      <w:tblPr/>
      <w:tcPr>
        <w:shd w:val="clear" w:color="CFDBF0" w:themeColor="accent1" w:themeTint="40" w:fill="CFDBF0" w:themeFill="accent1" w:themeFillTint="40"/>
      </w:tcPr>
    </w:tblStylePr>
    <w:tblStylePr w:type="band2Horz">
      <w:rPr>
        <w:rFonts w:ascii="Arial" w:hAnsi="Arial"/>
        <w:color w:val="254175" w:themeColor="accent1" w:themeShade="95"/>
        <w:sz w:val="22"/>
      </w:rPr>
    </w:tblStylePr>
  </w:style>
  <w:style w:type="table" w:styleId="ListTable7Colorful-Accent2">
    <w:name w:val="List Table 7 Colorful Accent 2"/>
    <w:basedOn w:val="TableNormal"/>
    <w:uiPriority w:val="99"/>
    <w:tblPr>
      <w:tblStyleRowBandSize w:val="1"/>
      <w:tblStyleColBandSize w:val="1"/>
      <w:tblBorders>
        <w:right w:val="single" w:sz="4" w:space="0" w:color="F4B184" w:themeColor="accent2" w:themeTint="97"/>
      </w:tblBorders>
    </w:tblPr>
    <w:tblStylePr w:type="firstRow">
      <w:rPr>
        <w:rFonts w:ascii="Arial" w:hAnsi="Arial"/>
        <w:i/>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styleId="ListTable7Colorful-Accent3">
    <w:name w:val="List Table 7 Colorful Accent 3"/>
    <w:basedOn w:val="TableNormal"/>
    <w:uiPriority w:val="99"/>
    <w:tblPr>
      <w:tblStyleRowBandSize w:val="1"/>
      <w:tblStyleColBandSize w:val="1"/>
      <w:tblBorders>
        <w:right w:val="single" w:sz="4" w:space="0" w:color="C9C9C9" w:themeColor="accent3" w:themeTint="98"/>
      </w:tblBorders>
    </w:tblPr>
    <w:tblStylePr w:type="firstRow">
      <w:rPr>
        <w:rFonts w:ascii="Arial" w:hAnsi="Arial"/>
        <w:i/>
        <w:color w:val="C9C9C9" w:themeColor="accent3" w:themeTint="98" w:themeShade="95"/>
        <w:sz w:val="22"/>
      </w:rPr>
      <w:tblPr/>
      <w:tcPr>
        <w:tcBorders>
          <w:top w:val="none" w:sz="4" w:space="0" w:color="000000"/>
          <w:left w:val="none" w:sz="4" w:space="0" w:color="000000"/>
          <w:bottom w:val="single" w:sz="4" w:space="0" w:color="C9C9C9" w:themeColor="accent3" w:themeTint="98"/>
          <w:right w:val="none" w:sz="4" w:space="0" w:color="000000"/>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4" w:space="0" w:color="000000"/>
          <w:left w:val="none" w:sz="4" w:space="0" w:color="000000"/>
          <w:bottom w:val="none" w:sz="4" w:space="0" w:color="000000"/>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4" w:space="0" w:color="000000"/>
          <w:left w:val="single" w:sz="4" w:space="0" w:color="C9C9C9" w:themeColor="accent3" w:themeTint="98"/>
          <w:bottom w:val="none" w:sz="4" w:space="0" w:color="000000"/>
          <w:right w:val="none" w:sz="4" w:space="0" w:color="000000"/>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styleId="ListTable7Colorful-Accent4">
    <w:name w:val="List Table 7 Colorful Accent 4"/>
    <w:basedOn w:val="TableNormal"/>
    <w:uiPriority w:val="99"/>
    <w:tblPr>
      <w:tblStyleRowBandSize w:val="1"/>
      <w:tblStyleColBandSize w:val="1"/>
      <w:tblBorders>
        <w:right w:val="single" w:sz="4" w:space="0" w:color="FFD865" w:themeColor="accent4" w:themeTint="9A"/>
      </w:tblBorders>
    </w:tblPr>
    <w:tblStylePr w:type="firstRow">
      <w:rPr>
        <w:rFonts w:ascii="Arial" w:hAnsi="Arial"/>
        <w:i/>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styleId="ListTable7Colorful-Accent5">
    <w:name w:val="List Table 7 Colorful Accent 5"/>
    <w:basedOn w:val="TableNormal"/>
    <w:uiPriority w:val="99"/>
    <w:tblPr>
      <w:tblStyleRowBandSize w:val="1"/>
      <w:tblStyleColBandSize w:val="1"/>
      <w:tblBorders>
        <w:right w:val="single" w:sz="4" w:space="0" w:color="9BC2E5" w:themeColor="accent5" w:themeTint="9A"/>
      </w:tblBorders>
    </w:tblPr>
    <w:tblStylePr w:type="firstRow">
      <w:rPr>
        <w:rFonts w:ascii="Arial" w:hAnsi="Arial"/>
        <w:i/>
        <w:color w:val="9BC2E5" w:themeColor="accent5" w:themeTint="9A" w:themeShade="95"/>
        <w:sz w:val="22"/>
      </w:rPr>
      <w:tblPr/>
      <w:tcPr>
        <w:tcBorders>
          <w:top w:val="none" w:sz="4" w:space="0" w:color="000000"/>
          <w:left w:val="none" w:sz="4" w:space="0" w:color="000000"/>
          <w:bottom w:val="single" w:sz="4" w:space="0" w:color="9BC2E5" w:themeColor="accent5" w:themeTint="9A"/>
          <w:right w:val="none" w:sz="4" w:space="0" w:color="000000"/>
        </w:tcBorders>
        <w:shd w:val="clear" w:color="FFFFFF" w:themeColor="light1" w:fill="FFFFFF" w:themeFill="light1"/>
      </w:tcPr>
    </w:tblStylePr>
    <w:tblStylePr w:type="lastRow">
      <w:rPr>
        <w:rFonts w:ascii="Arial" w:hAnsi="Arial"/>
        <w:i/>
        <w:color w:val="9BC2E5" w:themeColor="accent5" w:themeTint="9A" w:themeShade="95"/>
        <w:sz w:val="22"/>
      </w:rPr>
      <w:tblPr/>
      <w:tcPr>
        <w:tcBorders>
          <w:top w:val="single" w:sz="4" w:space="0" w:color="9BC2E5"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BC2E5" w:themeColor="accent5" w:themeTint="9A" w:themeShade="95"/>
        <w:sz w:val="22"/>
      </w:rPr>
      <w:tblPr/>
      <w:tcPr>
        <w:tcBorders>
          <w:top w:val="none" w:sz="4" w:space="0" w:color="000000"/>
          <w:left w:val="none" w:sz="4" w:space="0" w:color="000000"/>
          <w:bottom w:val="none" w:sz="4" w:space="0" w:color="000000"/>
          <w:right w:val="single" w:sz="4" w:space="0" w:color="9BC2E5" w:themeColor="accent5" w:themeTint="9A"/>
        </w:tcBorders>
        <w:shd w:val="clear" w:color="FFFFFF" w:fill="auto"/>
      </w:tcPr>
    </w:tblStylePr>
    <w:tblStylePr w:type="lastCol">
      <w:rPr>
        <w:rFonts w:ascii="Arial" w:hAnsi="Arial"/>
        <w:i/>
        <w:color w:val="9BC2E5" w:themeColor="accent5" w:themeTint="9A" w:themeShade="95"/>
        <w:sz w:val="22"/>
      </w:rPr>
      <w:tblPr/>
      <w:tcPr>
        <w:tcBorders>
          <w:top w:val="none" w:sz="4" w:space="0" w:color="000000"/>
          <w:left w:val="single" w:sz="4" w:space="0" w:color="9BC2E5" w:themeColor="accent5" w:themeTint="9A"/>
          <w:bottom w:val="none" w:sz="4" w:space="0" w:color="000000"/>
          <w:right w:val="none" w:sz="4" w:space="0" w:color="000000"/>
        </w:tcBorders>
        <w:shd w:val="clear" w:color="FFFFFF" w:fill="auto"/>
      </w:tcPr>
    </w:tblStylePr>
    <w:tblStylePr w:type="band1Vert">
      <w:tblPr/>
      <w:tcPr>
        <w:shd w:val="clear" w:color="D5E5F4" w:themeColor="accent5" w:themeTint="40" w:fill="D5E5F4" w:themeFill="accent5" w:themeFillTint="40"/>
      </w:tcPr>
    </w:tblStylePr>
    <w:tblStylePr w:type="band1Horz">
      <w:rPr>
        <w:rFonts w:ascii="Arial" w:hAnsi="Arial"/>
        <w:color w:val="9BC2E5" w:themeColor="accent5" w:themeTint="9A" w:themeShade="95"/>
        <w:sz w:val="22"/>
      </w:rPr>
      <w:tblPr/>
      <w:tcPr>
        <w:shd w:val="clear" w:color="D5E5F4" w:themeColor="accent5" w:themeTint="40" w:fill="D5E5F4" w:themeFill="accent5" w:themeFillTint="40"/>
      </w:tcPr>
    </w:tblStylePr>
    <w:tblStylePr w:type="band2Horz">
      <w:rPr>
        <w:rFonts w:ascii="Arial" w:hAnsi="Arial"/>
        <w:color w:val="9BC2E5" w:themeColor="accent5" w:themeTint="9A" w:themeShade="95"/>
        <w:sz w:val="22"/>
      </w:rPr>
    </w:tblStylePr>
  </w:style>
  <w:style w:type="table" w:styleId="ListTable7Colorful-Accent6">
    <w:name w:val="List Table 7 Colorful Accent 6"/>
    <w:basedOn w:val="TableNormal"/>
    <w:uiPriority w:val="99"/>
    <w:tblPr>
      <w:tblStyleRowBandSize w:val="1"/>
      <w:tblStyleColBandSize w:val="1"/>
      <w:tblBorders>
        <w:right w:val="single" w:sz="4" w:space="0" w:color="A9D08E" w:themeColor="accent6" w:themeTint="98"/>
      </w:tblBorders>
    </w:tblPr>
    <w:tblStylePr w:type="firstRow">
      <w:rPr>
        <w:rFonts w:ascii="Arial" w:hAnsi="Arial"/>
        <w:i/>
        <w:color w:val="A9D08E" w:themeColor="accent6" w:themeTint="98" w:themeShade="95"/>
        <w:sz w:val="22"/>
      </w:rPr>
      <w:tblPr/>
      <w:tcPr>
        <w:tcBorders>
          <w:top w:val="none" w:sz="4" w:space="0" w:color="000000"/>
          <w:left w:val="none" w:sz="4" w:space="0" w:color="000000"/>
          <w:bottom w:val="single" w:sz="4" w:space="0" w:color="A9D08E" w:themeColor="accent6" w:themeTint="98"/>
          <w:right w:val="none" w:sz="4" w:space="0" w:color="000000"/>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4" w:space="0" w:color="000000"/>
          <w:left w:val="none" w:sz="4" w:space="0" w:color="000000"/>
          <w:bottom w:val="none" w:sz="4" w:space="0" w:color="000000"/>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4" w:space="0" w:color="000000"/>
          <w:left w:val="single" w:sz="4" w:space="0" w:color="A9D08E" w:themeColor="accent6" w:themeTint="98"/>
          <w:bottom w:val="none" w:sz="4" w:space="0" w:color="000000"/>
          <w:right w:val="none" w:sz="4" w:space="0" w:color="000000"/>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ned-Accent">
    <w:name w:val="Lined - Accent"/>
    <w:basedOn w:val="TableNormal"/>
    <w:uiPriority w:val="99"/>
    <w:rPr>
      <w:color w:val="404040"/>
      <w:sz w:val="20"/>
      <w:szCs w:val="20"/>
      <w:lang w:bidi="he-IL"/>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rPr>
      <w:color w:val="404040"/>
      <w:sz w:val="20"/>
      <w:szCs w:val="20"/>
      <w:lang w:bidi="he-IL"/>
    </w:rPr>
    <w:tblPr>
      <w:tblStyleRowBandSize w:val="1"/>
      <w:tblStyleColBandSize w:val="1"/>
    </w:tblPr>
    <w:tblStylePr w:type="firstRow">
      <w:rPr>
        <w:rFonts w:ascii="Arial" w:hAnsi="Arial"/>
        <w:color w:val="F2F2F2"/>
        <w:sz w:val="22"/>
      </w:rPr>
      <w:tblPr/>
      <w:tcPr>
        <w:shd w:val="clear" w:color="537DC8" w:themeColor="accent1" w:themeTint="EA" w:fill="537DC8" w:themeFill="accent1" w:themeFillTint="EA"/>
      </w:tcPr>
    </w:tblStylePr>
    <w:tblStylePr w:type="lastRow">
      <w:rPr>
        <w:rFonts w:ascii="Arial" w:hAnsi="Arial"/>
        <w:color w:val="F2F2F2"/>
        <w:sz w:val="22"/>
      </w:rPr>
      <w:tblPr/>
      <w:tcPr>
        <w:shd w:val="clear" w:color="537DC8" w:themeColor="accent1" w:themeTint="EA" w:fill="537DC8" w:themeFill="accent1" w:themeFillTint="EA"/>
      </w:tcPr>
    </w:tblStylePr>
    <w:tblStylePr w:type="firstCol">
      <w:rPr>
        <w:rFonts w:ascii="Arial" w:hAnsi="Arial"/>
        <w:color w:val="F2F2F2"/>
        <w:sz w:val="22"/>
      </w:rPr>
      <w:tblPr/>
      <w:tcPr>
        <w:shd w:val="clear" w:color="537DC8" w:themeColor="accent1" w:themeTint="EA" w:fill="537DC8" w:themeFill="accent1" w:themeFillTint="EA"/>
      </w:tcPr>
    </w:tblStylePr>
    <w:tblStylePr w:type="lastCol">
      <w:rPr>
        <w:rFonts w:ascii="Arial" w:hAnsi="Arial"/>
        <w:color w:val="F2F2F2"/>
        <w:sz w:val="22"/>
      </w:rPr>
      <w:tblPr/>
      <w:tcPr>
        <w:shd w:val="clear" w:color="537DC8" w:themeColor="accent1" w:themeTint="EA" w:fill="537DC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4D2EC" w:themeColor="accent1" w:themeTint="50" w:fill="C4D2EC"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4D2EC" w:themeColor="accent1" w:themeTint="50" w:fill="C4D2EC" w:themeFill="accent1" w:themeFillTint="50"/>
      </w:tcPr>
    </w:tblStylePr>
  </w:style>
  <w:style w:type="table" w:customStyle="1" w:styleId="Lined-Accent2">
    <w:name w:val="Lined - Accent 2"/>
    <w:basedOn w:val="TableNormal"/>
    <w:uiPriority w:val="99"/>
    <w:rPr>
      <w:color w:val="404040"/>
      <w:sz w:val="20"/>
      <w:szCs w:val="20"/>
      <w:lang w:bidi="he-IL"/>
    </w:rPr>
    <w:tblPr>
      <w:tblStyleRowBandSize w:val="1"/>
      <w:tblStyleColBandSize w:val="1"/>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TableNormal"/>
    <w:uiPriority w:val="99"/>
    <w:rPr>
      <w:color w:val="404040"/>
      <w:sz w:val="20"/>
      <w:szCs w:val="20"/>
      <w:lang w:bidi="he-IL"/>
    </w:rPr>
    <w:tblPr>
      <w:tblStyleRowBandSize w:val="1"/>
      <w:tblStyleColBandSize w:val="1"/>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TableNormal"/>
    <w:uiPriority w:val="99"/>
    <w:rPr>
      <w:color w:val="404040"/>
      <w:sz w:val="20"/>
      <w:szCs w:val="20"/>
      <w:lang w:bidi="he-IL"/>
    </w:rPr>
    <w:tblPr>
      <w:tblStyleRowBandSize w:val="1"/>
      <w:tblStyleColBandSize w:val="1"/>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TableNormal"/>
    <w:uiPriority w:val="99"/>
    <w:rPr>
      <w:color w:val="404040"/>
      <w:sz w:val="20"/>
      <w:szCs w:val="20"/>
      <w:lang w:bidi="he-IL"/>
    </w:rPr>
    <w:tblPr>
      <w:tblStyleRowBandSize w:val="1"/>
      <w:tblStyleColBandSize w:val="1"/>
    </w:tblPr>
    <w:tblStylePr w:type="firstRow">
      <w:rPr>
        <w:rFonts w:ascii="Arial" w:hAnsi="Arial"/>
        <w:color w:val="F2F2F2"/>
        <w:sz w:val="22"/>
      </w:rPr>
      <w:tblPr/>
      <w:tcPr>
        <w:shd w:val="clear" w:color="5B9BD5" w:themeColor="accent5" w:fill="5B9BD5" w:themeFill="accent5"/>
      </w:tcPr>
    </w:tblStylePr>
    <w:tblStylePr w:type="lastRow">
      <w:rPr>
        <w:rFonts w:ascii="Arial" w:hAnsi="Arial"/>
        <w:color w:val="F2F2F2"/>
        <w:sz w:val="22"/>
      </w:rPr>
      <w:tblPr/>
      <w:tcPr>
        <w:shd w:val="clear" w:color="5B9BD5" w:themeColor="accent5" w:fill="5B9BD5" w:themeFill="accent5"/>
      </w:tcPr>
    </w:tblStylePr>
    <w:tblStylePr w:type="firstCol">
      <w:rPr>
        <w:rFonts w:ascii="Arial" w:hAnsi="Arial"/>
        <w:color w:val="F2F2F2"/>
        <w:sz w:val="22"/>
      </w:rPr>
      <w:tblPr/>
      <w:tcPr>
        <w:shd w:val="clear" w:color="5B9BD5" w:themeColor="accent5" w:fill="5B9BD5" w:themeFill="accent5"/>
      </w:tcPr>
    </w:tblStylePr>
    <w:tblStylePr w:type="lastCol">
      <w:rPr>
        <w:rFonts w:ascii="Arial" w:hAnsi="Arial"/>
        <w:color w:val="F2F2F2"/>
        <w:sz w:val="22"/>
      </w:rPr>
      <w:tblPr/>
      <w:tcPr>
        <w:shd w:val="clear" w:color="5B9BD5" w:themeColor="accent5" w:fill="5B9BD5"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DEAF6" w:themeColor="accent5" w:themeTint="34" w:fill="DDEAF6" w:themeFill="accent5" w:themeFillTint="34"/>
      </w:tcPr>
    </w:tblStylePr>
  </w:style>
  <w:style w:type="table" w:customStyle="1" w:styleId="Lined-Accent6">
    <w:name w:val="Lined - Accent 6"/>
    <w:basedOn w:val="TableNormal"/>
    <w:uiPriority w:val="99"/>
    <w:rPr>
      <w:color w:val="404040"/>
      <w:sz w:val="20"/>
      <w:szCs w:val="20"/>
      <w:lang w:bidi="he-IL"/>
    </w:rPr>
    <w:tblPr>
      <w:tblStyleRowBandSize w:val="1"/>
      <w:tblStyleColBandSize w:val="1"/>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TableNormal"/>
    <w:uiPriority w:val="99"/>
    <w:rPr>
      <w:color w:val="404040"/>
      <w:sz w:val="20"/>
      <w:szCs w:val="20"/>
      <w:lang w:bidi="he-IL"/>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rPr>
      <w:color w:val="404040"/>
      <w:sz w:val="20"/>
      <w:szCs w:val="20"/>
      <w:lang w:bidi="he-IL"/>
    </w:rPr>
    <w:tblPr>
      <w:tblStyleRowBandSize w:val="1"/>
      <w:tblStyleColBandSize w:val="1"/>
      <w:tblBorders>
        <w:top w:val="single" w:sz="4" w:space="0" w:color="254175" w:themeColor="accent1" w:themeShade="95"/>
        <w:left w:val="single" w:sz="4" w:space="0" w:color="254175" w:themeColor="accent1" w:themeShade="95"/>
        <w:bottom w:val="single" w:sz="4" w:space="0" w:color="254175" w:themeColor="accent1" w:themeShade="95"/>
        <w:right w:val="single" w:sz="4" w:space="0" w:color="254175" w:themeColor="accent1" w:themeShade="95"/>
        <w:insideH w:val="single" w:sz="4" w:space="0" w:color="254175" w:themeColor="accent1" w:themeShade="95"/>
        <w:insideV w:val="single" w:sz="4" w:space="0" w:color="254175" w:themeColor="accent1" w:themeShade="95"/>
      </w:tblBorders>
    </w:tblPr>
    <w:tblStylePr w:type="firstRow">
      <w:rPr>
        <w:rFonts w:ascii="Arial" w:hAnsi="Arial"/>
        <w:color w:val="F2F2F2"/>
        <w:sz w:val="22"/>
      </w:rPr>
      <w:tblPr/>
      <w:tcPr>
        <w:shd w:val="clear" w:color="537DC8" w:themeColor="accent1" w:themeTint="EA" w:fill="537DC8" w:themeFill="accent1" w:themeFillTint="EA"/>
      </w:tcPr>
    </w:tblStylePr>
    <w:tblStylePr w:type="lastRow">
      <w:rPr>
        <w:rFonts w:ascii="Arial" w:hAnsi="Arial"/>
        <w:color w:val="F2F2F2"/>
        <w:sz w:val="22"/>
      </w:rPr>
      <w:tblPr/>
      <w:tcPr>
        <w:shd w:val="clear" w:color="537DC8" w:themeColor="accent1" w:themeTint="EA" w:fill="537DC8" w:themeFill="accent1" w:themeFillTint="EA"/>
      </w:tcPr>
    </w:tblStylePr>
    <w:tblStylePr w:type="firstCol">
      <w:rPr>
        <w:rFonts w:ascii="Arial" w:hAnsi="Arial"/>
        <w:color w:val="F2F2F2"/>
        <w:sz w:val="22"/>
      </w:rPr>
      <w:tblPr/>
      <w:tcPr>
        <w:shd w:val="clear" w:color="537DC8" w:themeColor="accent1" w:themeTint="EA" w:fill="537DC8" w:themeFill="accent1" w:themeFillTint="EA"/>
      </w:tcPr>
    </w:tblStylePr>
    <w:tblStylePr w:type="lastCol">
      <w:rPr>
        <w:rFonts w:ascii="Arial" w:hAnsi="Arial"/>
        <w:color w:val="F2F2F2"/>
        <w:sz w:val="22"/>
      </w:rPr>
      <w:tblPr/>
      <w:tcPr>
        <w:shd w:val="clear" w:color="537DC8" w:themeColor="accent1" w:themeTint="EA" w:fill="537DC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4D2EC" w:themeColor="accent1" w:themeTint="50" w:fill="C4D2EC"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4D2EC" w:themeColor="accent1" w:themeTint="50" w:fill="C4D2EC" w:themeFill="accent1" w:themeFillTint="50"/>
      </w:tcPr>
    </w:tblStylePr>
  </w:style>
  <w:style w:type="table" w:customStyle="1" w:styleId="BorderedLined-Accent2">
    <w:name w:val="Bordered &amp; Lined - Accent 2"/>
    <w:basedOn w:val="TableNormal"/>
    <w:uiPriority w:val="99"/>
    <w:rPr>
      <w:color w:val="404040"/>
      <w:sz w:val="20"/>
      <w:szCs w:val="20"/>
      <w:lang w:bidi="he-IL"/>
    </w:rPr>
    <w:tblPr>
      <w:tblStyleRowBandSize w:val="1"/>
      <w:tblStyleColBandSize w:val="1"/>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TableNormal"/>
    <w:uiPriority w:val="99"/>
    <w:rPr>
      <w:color w:val="404040"/>
      <w:sz w:val="20"/>
      <w:szCs w:val="20"/>
      <w:lang w:bidi="he-IL"/>
    </w:rPr>
    <w:tblPr>
      <w:tblStyleRowBandSize w:val="1"/>
      <w:tblStyleColBandSize w:val="1"/>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TableNormal"/>
    <w:uiPriority w:val="99"/>
    <w:rPr>
      <w:color w:val="404040"/>
      <w:sz w:val="20"/>
      <w:szCs w:val="20"/>
      <w:lang w:bidi="he-IL"/>
    </w:rPr>
    <w:tblPr>
      <w:tblStyleRowBandSize w:val="1"/>
      <w:tblStyleColBandSize w:val="1"/>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TableNormal"/>
    <w:uiPriority w:val="99"/>
    <w:rPr>
      <w:color w:val="404040"/>
      <w:sz w:val="20"/>
      <w:szCs w:val="20"/>
      <w:lang w:bidi="he-IL"/>
    </w:rPr>
    <w:tblPr>
      <w:tblStyleRowBandSize w:val="1"/>
      <w:tblStyleColBandSize w:val="1"/>
      <w:tblBorders>
        <w:top w:val="single" w:sz="4" w:space="0" w:color="245A8D" w:themeColor="accent5" w:themeShade="95"/>
        <w:left w:val="single" w:sz="4" w:space="0" w:color="245A8D" w:themeColor="accent5" w:themeShade="95"/>
        <w:bottom w:val="single" w:sz="4" w:space="0" w:color="245A8D" w:themeColor="accent5" w:themeShade="95"/>
        <w:right w:val="single" w:sz="4" w:space="0" w:color="245A8D" w:themeColor="accent5" w:themeShade="95"/>
        <w:insideH w:val="single" w:sz="4" w:space="0" w:color="245A8D" w:themeColor="accent5" w:themeShade="95"/>
        <w:insideV w:val="single" w:sz="4" w:space="0" w:color="245A8D" w:themeColor="accent5" w:themeShade="95"/>
      </w:tblBorders>
    </w:tblPr>
    <w:tblStylePr w:type="firstRow">
      <w:rPr>
        <w:rFonts w:ascii="Arial" w:hAnsi="Arial"/>
        <w:color w:val="F2F2F2"/>
        <w:sz w:val="22"/>
      </w:rPr>
      <w:tblPr/>
      <w:tcPr>
        <w:shd w:val="clear" w:color="5B9BD5" w:themeColor="accent5" w:fill="5B9BD5" w:themeFill="accent5"/>
      </w:tcPr>
    </w:tblStylePr>
    <w:tblStylePr w:type="lastRow">
      <w:rPr>
        <w:rFonts w:ascii="Arial" w:hAnsi="Arial"/>
        <w:color w:val="F2F2F2"/>
        <w:sz w:val="22"/>
      </w:rPr>
      <w:tblPr/>
      <w:tcPr>
        <w:shd w:val="clear" w:color="5B9BD5" w:themeColor="accent5" w:fill="5B9BD5" w:themeFill="accent5"/>
      </w:tcPr>
    </w:tblStylePr>
    <w:tblStylePr w:type="firstCol">
      <w:rPr>
        <w:rFonts w:ascii="Arial" w:hAnsi="Arial"/>
        <w:color w:val="F2F2F2"/>
        <w:sz w:val="22"/>
      </w:rPr>
      <w:tblPr/>
      <w:tcPr>
        <w:shd w:val="clear" w:color="5B9BD5" w:themeColor="accent5" w:fill="5B9BD5" w:themeFill="accent5"/>
      </w:tcPr>
    </w:tblStylePr>
    <w:tblStylePr w:type="lastCol">
      <w:rPr>
        <w:rFonts w:ascii="Arial" w:hAnsi="Arial"/>
        <w:color w:val="F2F2F2"/>
        <w:sz w:val="22"/>
      </w:rPr>
      <w:tblPr/>
      <w:tcPr>
        <w:shd w:val="clear" w:color="5B9BD5" w:themeColor="accent5" w:fill="5B9BD5"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DEAF6" w:themeColor="accent5" w:themeTint="34" w:fill="DDEAF6" w:themeFill="accent5" w:themeFillTint="34"/>
      </w:tcPr>
    </w:tblStylePr>
  </w:style>
  <w:style w:type="table" w:customStyle="1" w:styleId="BorderedLined-Accent6">
    <w:name w:val="Bordered &amp; Lined - Accent 6"/>
    <w:basedOn w:val="TableNormal"/>
    <w:uiPriority w:val="99"/>
    <w:rPr>
      <w:color w:val="404040"/>
      <w:sz w:val="20"/>
      <w:szCs w:val="20"/>
      <w:lang w:bidi="he-IL"/>
    </w:rPr>
    <w:tblPr>
      <w:tblStyleRowBandSize w:val="1"/>
      <w:tblStyleColBandSize w:val="1"/>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TableNormal"/>
    <w:uiPriority w:val="99"/>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tblPr>
      <w:tblStyleRowBandSize w:val="1"/>
      <w:tblStyleColBandSize w:val="1"/>
      <w:tbl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insideH w:val="single" w:sz="4" w:space="0" w:color="B3C5E7" w:themeColor="accent1" w:themeTint="67"/>
        <w:insideV w:val="single" w:sz="4" w:space="0" w:color="B3C5E7" w:themeColor="accent1" w:themeTint="67"/>
      </w:tblBorders>
    </w:tblPr>
    <w:tblStylePr w:type="firstRow">
      <w:rPr>
        <w:rFonts w:ascii="Arial" w:hAnsi="Arial"/>
        <w:color w:val="404040"/>
        <w:sz w:val="22"/>
      </w:rPr>
      <w:tblPr/>
      <w:tcPr>
        <w:tcBorders>
          <w:bottom w:val="single" w:sz="12" w:space="0" w:color="4472C4" w:themeColor="accent1"/>
        </w:tcBorders>
      </w:tcPr>
    </w:tblStylePr>
    <w:tblStylePr w:type="lastRow">
      <w:rPr>
        <w:rFonts w:ascii="Arial" w:hAnsi="Arial"/>
        <w:color w:val="404040"/>
        <w:sz w:val="22"/>
      </w:rPr>
      <w:tblPr/>
      <w:tcPr>
        <w:tcBorders>
          <w:top w:val="single" w:sz="12" w:space="0" w:color="4472C4"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472C4" w:themeColor="accent1"/>
        </w:tcBorders>
      </w:tcPr>
    </w:tblStylePr>
    <w:tblStylePr w:type="band1Horz">
      <w:rPr>
        <w:rFonts w:ascii="Arial" w:hAnsi="Arial"/>
        <w:color w:val="404040"/>
        <w:sz w:val="22"/>
      </w:rPr>
      <w:tblPr/>
      <w:tcPr>
        <w:tc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tcBorders>
      </w:tcPr>
    </w:tblStylePr>
  </w:style>
  <w:style w:type="table" w:customStyle="1" w:styleId="Bordered-Accent2">
    <w:name w:val="Bordered - Accent 2"/>
    <w:basedOn w:val="TableNormal"/>
    <w:uiPriority w:val="99"/>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TableNormal"/>
    <w:uiPriority w:val="99"/>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TableNormal"/>
    <w:uiPriority w:val="99"/>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TableNormal"/>
    <w:uiPriority w:val="99"/>
    <w:tblPr>
      <w:tblStyleRowBandSize w:val="1"/>
      <w:tblStyleColBandSize w:val="1"/>
      <w:tbl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insideH w:val="single" w:sz="4" w:space="0" w:color="BCD6EE" w:themeColor="accent5" w:themeTint="67"/>
        <w:insideV w:val="single" w:sz="4" w:space="0" w:color="BCD6EE" w:themeColor="accent5" w:themeTint="67"/>
      </w:tblBorders>
    </w:tblPr>
    <w:tblStylePr w:type="firstRow">
      <w:rPr>
        <w:rFonts w:ascii="Arial" w:hAnsi="Arial"/>
        <w:color w:val="404040"/>
        <w:sz w:val="22"/>
      </w:rPr>
      <w:tblPr/>
      <w:tcPr>
        <w:tcBorders>
          <w:bottom w:val="single" w:sz="12" w:space="0" w:color="9BC2E5" w:themeColor="accent5" w:themeTint="9A"/>
        </w:tcBorders>
      </w:tcPr>
    </w:tblStylePr>
    <w:tblStylePr w:type="lastRow">
      <w:rPr>
        <w:rFonts w:ascii="Arial" w:hAnsi="Arial"/>
        <w:color w:val="404040"/>
        <w:sz w:val="22"/>
      </w:rPr>
      <w:tblPr/>
      <w:tcPr>
        <w:tcBorders>
          <w:top w:val="single" w:sz="12" w:space="0" w:color="9BC2E5"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BC2E5" w:themeColor="accent5" w:themeTint="9A"/>
        </w:tcBorders>
      </w:tcPr>
    </w:tblStylePr>
    <w:tblStylePr w:type="band1Horz">
      <w:rPr>
        <w:rFonts w:ascii="Arial" w:hAnsi="Arial"/>
        <w:color w:val="404040"/>
        <w:sz w:val="22"/>
      </w:rPr>
      <w:tblPr/>
      <w:tcPr>
        <w:tc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tcBorders>
      </w:tcPr>
    </w:tblStylePr>
  </w:style>
  <w:style w:type="table" w:customStyle="1" w:styleId="Bordered-Accent6">
    <w:name w:val="Bordered - Accent 6"/>
    <w:basedOn w:val="TableNormal"/>
    <w:uiPriority w:val="99"/>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character" w:styleId="IntenseEmphasis">
    <w:name w:val="Intense Emphasis"/>
    <w:basedOn w:val="DefaultParagraphFont"/>
    <w:uiPriority w:val="21"/>
    <w:qFormat/>
    <w:rPr>
      <w:i/>
      <w:iCs/>
      <w:color w:val="2F5496" w:themeColor="accent1" w:themeShade="BF"/>
    </w:rPr>
  </w:style>
  <w:style w:type="character" w:styleId="IntenseReference">
    <w:name w:val="Intense Reference"/>
    <w:basedOn w:val="DefaultParagraphFont"/>
    <w:uiPriority w:val="32"/>
    <w:qFormat/>
    <w:rPr>
      <w:b/>
      <w:bCs/>
      <w:smallCaps/>
      <w:color w:val="2F5496" w:themeColor="accent1" w:themeShade="BF"/>
      <w:spacing w:val="5"/>
    </w:rPr>
  </w:style>
  <w:style w:type="character" w:styleId="SubtleEmphasis">
    <w:name w:val="Subtle Emphasis"/>
    <w:basedOn w:val="DefaultParagraphFont"/>
    <w:uiPriority w:val="19"/>
    <w:qFormat/>
    <w:rPr>
      <w:i/>
      <w:iCs/>
      <w:color w:val="404040" w:themeColor="text1" w:themeTint="BF"/>
    </w:rPr>
  </w:style>
  <w:style w:type="character" w:styleId="Strong">
    <w:name w:val="Strong"/>
    <w:basedOn w:val="DefaultParagraphFont"/>
    <w:uiPriority w:val="22"/>
    <w:qFormat/>
    <w:rPr>
      <w:b/>
      <w:bCs/>
    </w:rPr>
  </w:style>
  <w:style w:type="character" w:styleId="SubtleReference">
    <w:name w:val="Subtle Reference"/>
    <w:basedOn w:val="DefaultParagraphFont"/>
    <w:uiPriority w:val="31"/>
    <w:qFormat/>
    <w:rPr>
      <w:smallCaps/>
      <w:color w:val="5A5A5A" w:themeColor="text1" w:themeTint="A5"/>
    </w:rPr>
  </w:style>
  <w:style w:type="character" w:styleId="BookTitle">
    <w:name w:val="Book Title"/>
    <w:basedOn w:val="DefaultParagraphFont"/>
    <w:uiPriority w:val="33"/>
    <w:qFormat/>
    <w:rPr>
      <w:b/>
      <w:bCs/>
      <w:i/>
      <w:iCs/>
      <w:spacing w:val="5"/>
    </w:rPr>
  </w:style>
  <w:style w:type="paragraph" w:styleId="Caption">
    <w:name w:val="caption"/>
    <w:basedOn w:val="Normal"/>
    <w:next w:val="Normal"/>
    <w:uiPriority w:val="35"/>
    <w:unhideWhenUsed/>
    <w:qFormat/>
    <w:pPr>
      <w:spacing w:after="200" w:line="240" w:lineRule="auto"/>
    </w:pPr>
    <w:rPr>
      <w:i/>
      <w:iCs/>
      <w:color w:val="44546A" w:themeColor="text2"/>
      <w:sz w:val="18"/>
      <w:szCs w:val="18"/>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customStyle="1" w:styleId="EndnoteTextChar">
    <w:name w:val="Endnote Text Char"/>
    <w:basedOn w:val="DefaultParagraphFont"/>
    <w:link w:val="EndnoteText"/>
    <w:uiPriority w:val="99"/>
    <w:semiHidden/>
    <w:rPr>
      <w:sz w:val="20"/>
      <w:szCs w:val="20"/>
    </w:rPr>
  </w:style>
  <w:style w:type="character" w:styleId="EndnoteReference">
    <w:name w:val="endnote reference"/>
    <w:basedOn w:val="DefaultParagraphFont"/>
    <w:uiPriority w:val="99"/>
    <w:semiHidden/>
    <w:unhideWhenUsed/>
    <w:rPr>
      <w:vertAlign w:val="superscript"/>
    </w:rPr>
  </w:style>
  <w:style w:type="character" w:styleId="FollowedHyperlink">
    <w:name w:val="FollowedHyperlink"/>
    <w:basedOn w:val="DefaultParagraphFont"/>
    <w:uiPriority w:val="99"/>
    <w:semiHidden/>
    <w:unhideWhenUsed/>
    <w:rPr>
      <w:color w:val="954F72" w:themeColor="followedHyperlink"/>
      <w:u w:val="single"/>
    </w:rPr>
  </w:style>
  <w:style w:type="paragraph" w:styleId="TOC1">
    <w:name w:val="toc 1"/>
    <w:basedOn w:val="Normal"/>
    <w:next w:val="Normal"/>
    <w:uiPriority w:val="39"/>
    <w:unhideWhenUsed/>
    <w:pPr>
      <w:spacing w:after="100"/>
    </w:pPr>
  </w:style>
  <w:style w:type="paragraph" w:styleId="TOC2">
    <w:name w:val="toc 2"/>
    <w:basedOn w:val="Normal"/>
    <w:next w:val="Normal"/>
    <w:uiPriority w:val="39"/>
    <w:unhideWhenUsed/>
    <w:pPr>
      <w:spacing w:after="100"/>
      <w:ind w:left="220"/>
    </w:pPr>
  </w:style>
  <w:style w:type="paragraph" w:styleId="TOC3">
    <w:name w:val="toc 3"/>
    <w:basedOn w:val="Normal"/>
    <w:next w:val="Normal"/>
    <w:uiPriority w:val="39"/>
    <w:unhideWhenUsed/>
    <w:pPr>
      <w:spacing w:after="100"/>
      <w:ind w:left="440"/>
    </w:pPr>
  </w:style>
  <w:style w:type="paragraph" w:styleId="TOC4">
    <w:name w:val="toc 4"/>
    <w:basedOn w:val="Normal"/>
    <w:next w:val="Normal"/>
    <w:uiPriority w:val="39"/>
    <w:unhideWhenUsed/>
    <w:pPr>
      <w:spacing w:after="100"/>
      <w:ind w:left="660"/>
    </w:pPr>
  </w:style>
  <w:style w:type="paragraph" w:styleId="TOC5">
    <w:name w:val="toc 5"/>
    <w:basedOn w:val="Normal"/>
    <w:next w:val="Normal"/>
    <w:uiPriority w:val="39"/>
    <w:unhideWhenUsed/>
    <w:pPr>
      <w:spacing w:after="100"/>
      <w:ind w:left="880"/>
    </w:pPr>
  </w:style>
  <w:style w:type="paragraph" w:styleId="TOC6">
    <w:name w:val="toc 6"/>
    <w:basedOn w:val="Normal"/>
    <w:next w:val="Normal"/>
    <w:uiPriority w:val="39"/>
    <w:unhideWhenUsed/>
    <w:pPr>
      <w:spacing w:after="100"/>
      <w:ind w:left="1100"/>
    </w:pPr>
  </w:style>
  <w:style w:type="paragraph" w:styleId="TOC7">
    <w:name w:val="toc 7"/>
    <w:basedOn w:val="Normal"/>
    <w:next w:val="Normal"/>
    <w:uiPriority w:val="39"/>
    <w:unhideWhenUsed/>
    <w:pPr>
      <w:spacing w:after="100"/>
      <w:ind w:left="1320"/>
    </w:pPr>
  </w:style>
  <w:style w:type="paragraph" w:styleId="TOC8">
    <w:name w:val="toc 8"/>
    <w:basedOn w:val="Normal"/>
    <w:next w:val="Normal"/>
    <w:uiPriority w:val="39"/>
    <w:unhideWhenUsed/>
    <w:pPr>
      <w:spacing w:after="100"/>
      <w:ind w:left="1540"/>
    </w:pPr>
  </w:style>
  <w:style w:type="paragraph" w:styleId="TOC9">
    <w:name w:val="toc 9"/>
    <w:basedOn w:val="Normal"/>
    <w:next w:val="Normal"/>
    <w:uiPriority w:val="39"/>
    <w:unhideWhenUsed/>
    <w:pPr>
      <w:spacing w:after="100"/>
      <w:ind w:left="1760"/>
    </w:pPr>
  </w:style>
  <w:style w:type="character" w:styleId="PlaceholderText">
    <w:name w:val="Placeholder Text"/>
    <w:basedOn w:val="DefaultParagraphFont"/>
    <w:uiPriority w:val="99"/>
    <w:semiHidden/>
    <w:rPr>
      <w:color w:val="666666"/>
    </w:rPr>
  </w:style>
  <w:style w:type="paragraph" w:styleId="TOCHeading">
    <w:name w:val="TOC Heading"/>
    <w:uiPriority w:val="39"/>
    <w:unhideWhenUsed/>
  </w:style>
  <w:style w:type="paragraph" w:styleId="TableofFigures">
    <w:name w:val="table of figures"/>
    <w:basedOn w:val="Normal"/>
    <w:next w:val="Normal"/>
    <w:uiPriority w:val="99"/>
    <w:unhideWhenUsed/>
    <w:pPr>
      <w:spacing w:after="0"/>
    </w:pPr>
  </w:style>
  <w:style w:type="paragraph" w:styleId="NoSpacing">
    <w:name w:val="No Spacing"/>
    <w:uiPriority w:val="1"/>
    <w:qFormat/>
  </w:style>
  <w:style w:type="paragraph" w:styleId="BodyText">
    <w:name w:val="Body Text"/>
    <w:basedOn w:val="Normal"/>
    <w:link w:val="BodyTextChar"/>
    <w:uiPriority w:val="4"/>
    <w:qFormat/>
  </w:style>
  <w:style w:type="character" w:customStyle="1" w:styleId="BodyTextChar">
    <w:name w:val="Body Text Char"/>
    <w:basedOn w:val="DefaultParagraphFont"/>
    <w:link w:val="BodyText"/>
    <w:uiPriority w:val="4"/>
  </w:style>
  <w:style w:type="paragraph" w:styleId="BodyText2">
    <w:name w:val="Body Text 2"/>
    <w:basedOn w:val="Normal"/>
    <w:link w:val="BodyText2Char"/>
    <w:uiPriority w:val="4"/>
    <w:qFormat/>
  </w:style>
  <w:style w:type="character" w:customStyle="1" w:styleId="BodyText2Char">
    <w:name w:val="Body Text 2 Char"/>
    <w:basedOn w:val="DefaultParagraphFont"/>
    <w:link w:val="BodyText2"/>
    <w:uiPriority w:val="4"/>
  </w:style>
  <w:style w:type="paragraph" w:styleId="BodyText3">
    <w:name w:val="Body Text 3"/>
    <w:basedOn w:val="Normal"/>
    <w:link w:val="BodyText3Char"/>
    <w:uiPriority w:val="4"/>
    <w:qFormat/>
    <w:rPr>
      <w:szCs w:val="16"/>
    </w:rPr>
  </w:style>
  <w:style w:type="character" w:customStyle="1" w:styleId="BodyText3Char">
    <w:name w:val="Body Text 3 Char"/>
    <w:basedOn w:val="DefaultParagraphFont"/>
    <w:link w:val="BodyText3"/>
    <w:uiPriority w:val="4"/>
    <w:rPr>
      <w:szCs w:val="16"/>
    </w:rPr>
  </w:style>
  <w:style w:type="character" w:customStyle="1" w:styleId="Heading1Char">
    <w:name w:val="Heading 1 Char"/>
    <w:basedOn w:val="DefaultParagraphFont"/>
    <w:link w:val="Heading1"/>
    <w:uiPriority w:val="9"/>
    <w:rPr>
      <w:rFonts w:eastAsiaTheme="majorEastAsia" w:cstheme="majorBidi"/>
      <w:b/>
      <w:szCs w:val="32"/>
    </w:rPr>
  </w:style>
  <w:style w:type="character" w:customStyle="1" w:styleId="Heading3Char">
    <w:name w:val="Heading 3 Char"/>
    <w:basedOn w:val="DefaultParagraphFont"/>
    <w:link w:val="Heading3"/>
    <w:uiPriority w:val="9"/>
    <w:rPr>
      <w:rFonts w:eastAsiaTheme="majorEastAsia" w:cstheme="majorBidi"/>
      <w:b/>
      <w:i/>
    </w:rPr>
  </w:style>
  <w:style w:type="character" w:customStyle="1" w:styleId="Heading2Char">
    <w:name w:val="Heading 2 Char"/>
    <w:basedOn w:val="DefaultParagraphFont"/>
    <w:link w:val="Heading2"/>
    <w:uiPriority w:val="9"/>
    <w:rPr>
      <w:rFonts w:eastAsiaTheme="majorEastAsia" w:cstheme="majorBidi"/>
      <w:b/>
      <w:szCs w:val="26"/>
    </w:rPr>
  </w:style>
  <w:style w:type="character" w:customStyle="1" w:styleId="Heading4Char">
    <w:name w:val="Heading 4 Char"/>
    <w:basedOn w:val="DefaultParagraphFont"/>
    <w:link w:val="Heading4"/>
    <w:uiPriority w:val="9"/>
    <w:rPr>
      <w:rFonts w:eastAsiaTheme="majorEastAsia" w:cstheme="majorBidi"/>
      <w:i/>
      <w:iCs/>
    </w:rPr>
  </w:style>
  <w:style w:type="character" w:styleId="Emphasis">
    <w:name w:val="Emphasis"/>
    <w:basedOn w:val="DefaultParagraphFont"/>
    <w:uiPriority w:val="20"/>
    <w:qFormat/>
    <w:rPr>
      <w:i/>
      <w:iCs/>
    </w:rPr>
  </w:style>
  <w:style w:type="paragraph" w:styleId="BlockText">
    <w:name w:val="Block Text"/>
    <w:basedOn w:val="Normal"/>
    <w:uiPriority w:val="39"/>
    <w:qFormat/>
    <w:pPr>
      <w:ind w:left="720" w:right="720"/>
    </w:pPr>
    <w:rPr>
      <w:rFonts w:eastAsiaTheme="minorEastAsia"/>
      <w:iCs/>
    </w:rPr>
  </w:style>
  <w:style w:type="paragraph" w:styleId="ListNumber">
    <w:name w:val="List Number"/>
    <w:basedOn w:val="Normal"/>
    <w:uiPriority w:val="59"/>
    <w:pPr>
      <w:numPr>
        <w:numId w:val="1"/>
      </w:numPr>
      <w:tabs>
        <w:tab w:val="clear" w:pos="360"/>
        <w:tab w:val="left" w:pos="720"/>
      </w:tabs>
      <w:ind w:left="720" w:hanging="720"/>
      <w:contextualSpacing/>
    </w:pPr>
  </w:style>
  <w:style w:type="paragraph" w:styleId="ListContinue">
    <w:name w:val="List Continue"/>
    <w:basedOn w:val="Normal"/>
    <w:uiPriority w:val="64"/>
    <w:pPr>
      <w:ind w:left="720"/>
    </w:pPr>
  </w:style>
  <w:style w:type="paragraph" w:styleId="Title">
    <w:name w:val="Title"/>
    <w:basedOn w:val="Normal"/>
    <w:next w:val="BodyText"/>
    <w:link w:val="TitleChar"/>
    <w:uiPriority w:val="19"/>
    <w:qFormat/>
    <w:pPr>
      <w:keepNext/>
      <w:keepLines/>
      <w:jc w:val="center"/>
    </w:pPr>
    <w:rPr>
      <w:rFonts w:eastAsiaTheme="majorEastAsia" w:cstheme="majorBidi"/>
      <w:b/>
      <w:szCs w:val="56"/>
    </w:rPr>
  </w:style>
  <w:style w:type="character" w:customStyle="1" w:styleId="Heading5Char">
    <w:name w:val="Heading 5 Char"/>
    <w:basedOn w:val="DefaultParagraphFont"/>
    <w:link w:val="Heading5"/>
    <w:uiPriority w:val="9"/>
    <w:semiHidden/>
    <w:rPr>
      <w:rFonts w:eastAsiaTheme="majorEastAsia" w:cstheme="majorBidi"/>
    </w:rPr>
  </w:style>
  <w:style w:type="character" w:customStyle="1" w:styleId="Heading6Char">
    <w:name w:val="Heading 6 Char"/>
    <w:basedOn w:val="DefaultParagraphFont"/>
    <w:link w:val="Heading6"/>
    <w:uiPriority w:val="9"/>
    <w:semiHidden/>
    <w:rPr>
      <w:rFonts w:eastAsiaTheme="majorEastAsia" w:cstheme="majorBidi"/>
    </w:rPr>
  </w:style>
  <w:style w:type="character" w:customStyle="1" w:styleId="Heading7Char">
    <w:name w:val="Heading 7 Char"/>
    <w:basedOn w:val="DefaultParagraphFont"/>
    <w:link w:val="Heading7"/>
    <w:uiPriority w:val="9"/>
    <w:semiHidden/>
    <w:rPr>
      <w:rFonts w:eastAsiaTheme="majorEastAsia" w:cstheme="majorBidi"/>
      <w:i/>
      <w:iCs/>
    </w:rPr>
  </w:style>
  <w:style w:type="character" w:customStyle="1" w:styleId="Heading8Char">
    <w:name w:val="Heading 8 Char"/>
    <w:basedOn w:val="DefaultParagraphFont"/>
    <w:link w:val="Heading8"/>
    <w:uiPriority w:val="9"/>
    <w:semiHidden/>
    <w:rPr>
      <w:rFonts w:eastAsiaTheme="majorEastAsia" w:cstheme="majorBidi"/>
      <w:szCs w:val="21"/>
    </w:rPr>
  </w:style>
  <w:style w:type="character" w:customStyle="1" w:styleId="Heading9Char">
    <w:name w:val="Heading 9 Char"/>
    <w:basedOn w:val="DefaultParagraphFont"/>
    <w:link w:val="Heading9"/>
    <w:uiPriority w:val="9"/>
    <w:semiHidden/>
    <w:rPr>
      <w:rFonts w:eastAsiaTheme="majorEastAsia" w:cstheme="majorBidi"/>
      <w:i/>
      <w:iCs/>
      <w:szCs w:val="21"/>
    </w:rPr>
  </w:style>
  <w:style w:type="character" w:customStyle="1" w:styleId="TitleChar">
    <w:name w:val="Title Char"/>
    <w:basedOn w:val="DefaultParagraphFont"/>
    <w:link w:val="Title"/>
    <w:uiPriority w:val="19"/>
    <w:rPr>
      <w:rFonts w:eastAsiaTheme="majorEastAsia" w:cstheme="majorBidi"/>
      <w:b/>
      <w:szCs w:val="56"/>
    </w:rPr>
  </w:style>
  <w:style w:type="paragraph" w:styleId="Subtitle">
    <w:name w:val="Subtitle"/>
    <w:basedOn w:val="Normal"/>
    <w:next w:val="BodyText"/>
    <w:link w:val="SubtitleChar"/>
    <w:uiPriority w:val="20"/>
    <w:qFormat/>
    <w:pPr>
      <w:keepNext/>
      <w:numPr>
        <w:ilvl w:val="1"/>
      </w:numPr>
      <w:ind w:left="1040" w:firstLine="710"/>
    </w:pPr>
    <w:rPr>
      <w:rFonts w:eastAsiaTheme="minorEastAsia"/>
      <w:b/>
      <w:szCs w:val="22"/>
    </w:rPr>
  </w:style>
  <w:style w:type="character" w:customStyle="1" w:styleId="SubtitleChar">
    <w:name w:val="Subtitle Char"/>
    <w:basedOn w:val="DefaultParagraphFont"/>
    <w:link w:val="Subtitle"/>
    <w:uiPriority w:val="20"/>
    <w:rPr>
      <w:rFonts w:eastAsiaTheme="minorEastAsia"/>
      <w:b/>
      <w:szCs w:val="22"/>
    </w:rPr>
  </w:style>
  <w:style w:type="paragraph" w:styleId="Quote">
    <w:name w:val="Quote"/>
    <w:basedOn w:val="Normal"/>
    <w:next w:val="BodyText"/>
    <w:link w:val="QuoteChar"/>
    <w:uiPriority w:val="29"/>
    <w:qFormat/>
    <w:rPr>
      <w:i/>
      <w:iCs/>
    </w:rPr>
  </w:style>
  <w:style w:type="character" w:customStyle="1" w:styleId="QuoteChar">
    <w:name w:val="Quote Char"/>
    <w:basedOn w:val="DefaultParagraphFont"/>
    <w:link w:val="Quote"/>
    <w:uiPriority w:val="29"/>
    <w:rPr>
      <w:i/>
      <w:iCs/>
    </w:rPr>
  </w:style>
  <w:style w:type="paragraph" w:styleId="IntenseQuote">
    <w:name w:val="Intense Quote"/>
    <w:basedOn w:val="Normal"/>
    <w:next w:val="BodyText"/>
    <w:link w:val="IntenseQuoteChar"/>
    <w:uiPriority w:val="30"/>
    <w:unhideWhenUsed/>
    <w:pPr>
      <w:pBdr>
        <w:top w:val="single" w:sz="4" w:space="10" w:color="4472C4" w:themeColor="accent1"/>
        <w:bottom w:val="single" w:sz="4" w:space="10" w:color="4472C4" w:themeColor="accent1"/>
      </w:pBdr>
      <w:spacing w:before="360" w:after="360"/>
      <w:ind w:left="864" w:right="864"/>
      <w:jc w:val="center"/>
    </w:pPr>
    <w:rPr>
      <w:b/>
      <w:i/>
      <w:iCs/>
    </w:rPr>
  </w:style>
  <w:style w:type="character" w:customStyle="1" w:styleId="IntenseQuoteChar">
    <w:name w:val="Intense Quote Char"/>
    <w:basedOn w:val="DefaultParagraphFont"/>
    <w:link w:val="IntenseQuote"/>
    <w:uiPriority w:val="30"/>
    <w:rPr>
      <w:b/>
      <w:i/>
      <w:iCs/>
    </w:rPr>
  </w:style>
  <w:style w:type="paragraph" w:styleId="ListParagraph">
    <w:name w:val="List Paragraph"/>
    <w:basedOn w:val="Normal"/>
    <w:uiPriority w:val="34"/>
    <w:qFormat/>
    <w:pPr>
      <w:ind w:left="720"/>
      <w:contextualSpacing/>
    </w:pPr>
  </w:style>
  <w:style w:type="table" w:customStyle="1" w:styleId="TableGrid1">
    <w:name w:val="Table Grid1"/>
    <w:rPr>
      <w:rFonts w:asciiTheme="minorHAnsi" w:eastAsiaTheme="minorEastAsia" w:hAnsiTheme="minorHAnsi"/>
      <w:sz w:val="20"/>
      <w:szCs w:val="20"/>
      <w:lang w:bidi="he-IL"/>
    </w:rPr>
    <w:tblPr>
      <w:tblCellMar>
        <w:top w:w="0" w:type="dxa"/>
        <w:left w:w="0" w:type="dxa"/>
        <w:bottom w:w="0" w:type="dxa"/>
        <w:right w:w="0" w:type="dxa"/>
      </w:tblCellMar>
    </w:tblPr>
  </w:style>
  <w:style w:type="paragraph" w:customStyle="1" w:styleId="v1msonormal">
    <w:name w:val="v1msonormal"/>
    <w:basedOn w:val="Normal"/>
    <w:pPr>
      <w:spacing w:before="100" w:beforeAutospacing="1" w:after="100" w:afterAutospacing="1" w:line="240" w:lineRule="auto"/>
      <w:ind w:left="0" w:right="0" w:firstLine="0"/>
      <w:jc w:val="left"/>
    </w:pPr>
    <w:rPr>
      <w:color w:val="auto"/>
    </w:rPr>
  </w:style>
  <w:style w:type="paragraph" w:styleId="NormalWeb">
    <w:name w:val="Normal (Web)"/>
    <w:basedOn w:val="Normal"/>
    <w:uiPriority w:val="99"/>
    <w:unhideWhenUsed/>
    <w:pPr>
      <w:spacing w:before="100" w:beforeAutospacing="1" w:after="100" w:afterAutospacing="1" w:line="240" w:lineRule="auto"/>
      <w:ind w:left="0" w:right="0" w:firstLine="0"/>
      <w:jc w:val="left"/>
    </w:pPr>
    <w:rPr>
      <w:color w:val="auto"/>
    </w:rPr>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HeaderChar">
    <w:name w:val="Header Char"/>
    <w:basedOn w:val="DefaultParagraphFont"/>
    <w:link w:val="Header"/>
    <w:uiPriority w:val="99"/>
    <w:rPr>
      <w:rFonts w:eastAsia="Times New Roman" w:cs="Times New Roman"/>
      <w:color w:val="000000"/>
    </w:rPr>
  </w:style>
  <w:style w:type="paragraph" w:styleId="Footer">
    <w:name w:val="footer"/>
    <w:basedOn w:val="Normal"/>
    <w:link w:val="FooterChar"/>
    <w:uiPriority w:val="99"/>
    <w:unhideWhenUsed/>
    <w:pPr>
      <w:tabs>
        <w:tab w:val="center" w:pos="4680"/>
        <w:tab w:val="right" w:pos="9360"/>
      </w:tabs>
      <w:spacing w:after="0" w:line="240" w:lineRule="auto"/>
    </w:pPr>
  </w:style>
  <w:style w:type="character" w:customStyle="1" w:styleId="FooterChar">
    <w:name w:val="Footer Char"/>
    <w:basedOn w:val="DefaultParagraphFont"/>
    <w:link w:val="Footer"/>
    <w:uiPriority w:val="99"/>
    <w:rPr>
      <w:rFonts w:eastAsia="Times New Roman" w:cs="Times New Roman"/>
      <w:color w:val="000000"/>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customStyle="1" w:styleId="FootnoteTextChar">
    <w:name w:val="Footnote Text Char"/>
    <w:basedOn w:val="DefaultParagraphFont"/>
    <w:link w:val="FootnoteText"/>
    <w:uiPriority w:val="99"/>
    <w:semiHidden/>
    <w:rPr>
      <w:rFonts w:eastAsia="Times New Roman" w:cs="Times New Roman"/>
      <w:color w:val="000000"/>
      <w:sz w:val="20"/>
      <w:szCs w:val="20"/>
    </w:rPr>
  </w:style>
  <w:style w:type="character" w:styleId="FootnoteReference">
    <w:name w:val="footnote reference"/>
    <w:basedOn w:val="DefaultParagraphFont"/>
    <w:uiPriority w:val="99"/>
    <w:semiHidden/>
    <w:unhideWhenUsed/>
    <w:rPr>
      <w:vertAlign w:val="superscript"/>
    </w:rPr>
  </w:style>
  <w:style w:type="table" w:styleId="TableGrid">
    <w:name w:val="Table Grid"/>
    <w:basedOn w:val="TableNormal"/>
    <w:uiPriority w:val="3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CommentReference">
    <w:name w:val="annotation reference"/>
    <w:basedOn w:val="DefaultParagraphFont"/>
    <w:uiPriority w:val="99"/>
    <w:semiHidden/>
    <w:unhideWhenUsed/>
    <w:rPr>
      <w:sz w:val="16"/>
      <w:szCs w:val="16"/>
    </w:r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rFonts w:eastAsia="Times New Roman" w:cs="Times New Roman"/>
      <w:color w:val="000000"/>
      <w:sz w:val="20"/>
      <w:szCs w:val="20"/>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rFonts w:eastAsia="Times New Roman" w:cs="Times New Roman"/>
      <w:b/>
      <w:bCs/>
      <w:color w:val="000000"/>
      <w:sz w:val="20"/>
      <w:szCs w:val="20"/>
    </w:rPr>
  </w:style>
  <w:style w:type="paragraph" w:styleId="BalloonText">
    <w:name w:val="Balloon Text"/>
    <w:basedOn w:val="Normal"/>
    <w:link w:val="BalloonTextChar"/>
    <w:uiPriority w:val="99"/>
    <w:semiHidden/>
    <w:unhideWhenUsed/>
    <w:pPr>
      <w:spacing w:after="0" w:line="240" w:lineRule="auto"/>
    </w:pPr>
    <w:rPr>
      <w:sz w:val="18"/>
      <w:szCs w:val="18"/>
    </w:rPr>
  </w:style>
  <w:style w:type="character" w:customStyle="1" w:styleId="BalloonTextChar">
    <w:name w:val="Balloon Text Char"/>
    <w:basedOn w:val="DefaultParagraphFont"/>
    <w:link w:val="BalloonText"/>
    <w:uiPriority w:val="99"/>
    <w:semiHidden/>
    <w:rPr>
      <w:rFonts w:eastAsia="Times New Roman" w:cs="Times New Roman"/>
      <w:color w:val="000000"/>
      <w:sz w:val="18"/>
      <w:szCs w:val="18"/>
    </w:rPr>
  </w:style>
  <w:style w:type="paragraph" w:styleId="Revision">
    <w:name w:val="Revision"/>
    <w:hidden/>
    <w:uiPriority w:val="99"/>
    <w:semiHidden/>
    <w:rPr>
      <w:rFonts w:eastAsia="Times New Roman" w:cs="Times New Roman"/>
      <w:color w:val="000000"/>
    </w:rPr>
  </w:style>
  <w:style w:type="character" w:styleId="Hyperlink">
    <w:name w:val="Hyperlink"/>
    <w:basedOn w:val="DefaultParagraphFont"/>
    <w:uiPriority w:val="99"/>
    <w:unhideWhenUsed/>
    <w:rPr>
      <w:color w:val="0563C1" w:themeColor="hyperlink"/>
      <w:u w:val="single"/>
    </w:rPr>
  </w:style>
  <w:style w:type="character" w:styleId="UnresolvedMention">
    <w:name w:val="Unresolved Mention"/>
    <w:basedOn w:val="DefaultParagraphFont"/>
    <w:uiPriority w:val="99"/>
    <w:semiHidden/>
    <w:unhideWhenUsed/>
    <w:rPr>
      <w:color w:val="605E5C"/>
      <w:shd w:val="clear" w:color="auto" w:fill="E1DFDD"/>
    </w:rPr>
  </w:style>
  <w:style w:type="character" w:customStyle="1" w:styleId="normaltextrun">
    <w:name w:val="normaltextrun"/>
    <w:basedOn w:val="DefaultParagraphFont"/>
    <w:rsid w:val="009B6B98"/>
  </w:style>
  <w:style w:type="character" w:customStyle="1" w:styleId="eop">
    <w:name w:val="eop"/>
    <w:basedOn w:val="DefaultParagraphFont"/>
    <w:rsid w:val="009B6B9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4F9BA13-76D6-374C-B440-57B1783E6A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16</Pages>
  <Words>6853</Words>
  <Characters>35638</Characters>
  <Application>Microsoft Office Word</Application>
  <DocSecurity>0</DocSecurity>
  <Lines>556</Lines>
  <Paragraphs>167</Paragraphs>
  <ScaleCrop>false</ScaleCrop>
  <Company/>
  <LinksUpToDate>false</LinksUpToDate>
  <CharactersWithSpaces>42324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Author</dc:creator>
  <cp:keywords/>
  <dc:description/>
  <cp:lastModifiedBy>Gabor Szecsi</cp:lastModifiedBy>
  <cp:revision>56</cp:revision>
  <dcterms:created xsi:type="dcterms:W3CDTF">2024-09-04T21:31:00Z</dcterms:created>
  <dcterms:modified xsi:type="dcterms:W3CDTF">2025-11-17T23:02:00Z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b856d4a4695bc67d9cea51fd0ed75af6bae99d0aeb0d9eec7bfaba90cfc8b662</vt:lpwstr>
  </property>
</Properties>
</file>