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F741547" w:rsidP="588A6772" w:rsidRDefault="3F741547" w14:paraId="0FB8D546" w14:textId="66DD23CD">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As vantagens da cirurgia a laser já são consagradas, e são corroboradas tanto clinicamente quanto na literatura em diversas especialidades da medicina, e concernem, principalmente, ao seu efeito coagulativo e hemostático, à possibilidade de realização de procedimentos minimamente invasivos, aos tempos operatórios mais curtos e consequentemente ao uso de menor quantidade de agentes anestésicos, tempos de recuperação potencialmente mais rápidos, melhor e mais rápida cicatrização, redução de dores e edemas no pós-operatório, alta precisão cirúrgica, menores tempos de internação e possibilidade de consecução de procedimentos médicos ambulatoriais.</w:t>
      </w:r>
    </w:p>
    <w:p w:rsidR="3F741547" w:rsidP="588A6772" w:rsidRDefault="3F741547" w14:paraId="46E0FE35" w14:textId="38BE43BF">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São as suas várias propriedades físicas que definem o escopo de ação de um determinado tipo de laser nos vários materiais biológicos</w:t>
      </w:r>
    </w:p>
    <w:p w:rsidR="3F741547" w:rsidP="588A6772" w:rsidRDefault="3F741547" w14:paraId="2E21AA1C" w14:textId="3BD9D637">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Daí a importância do conhecimento de parâmetros básicos de um laser, de seu campo de aplicação e, principalmente, sobre a interação entre o laser e tecidos biológicos envolvidos em sua área de atuação.</w:t>
      </w:r>
    </w:p>
    <w:p w:rsidR="3F741547" w:rsidP="588A6772" w:rsidRDefault="3F741547" w14:paraId="0AEE621E" w14:textId="7F054BEF">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A utilização do laser nas diversas áreas da saúde se baseia especialmente no fato de que um feixe de luz carrega consigo momentum e energia, além das demais propriedades físicas já descritas. A lei de GrotthusDraper estabelece que nenhum efeito no tecido vivo, advindo da luz, ocorre sem que haja absorção.</w:t>
      </w:r>
    </w:p>
    <w:p w:rsidR="3F741547" w:rsidP="588A6772" w:rsidRDefault="3F741547" w14:paraId="78EA2F94" w14:textId="5CD596D4">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A absorção de luz pelo tecido é função de sua composição molecular e depende das propriedades ópticas de cada componente do tecido separadamente. Portanto, diferentes tecidos absorvem a luz de maneira maximizada em diferentes regiões espectrais e assim, este fato é determinante na escolha do comprimento de onda a ser utilizado no procedimento médico em questão – esse fato determina, portanto, a escolha do laser.</w:t>
      </w:r>
    </w:p>
    <w:p w:rsidR="3F741547" w:rsidP="588A6772" w:rsidRDefault="3F741547" w14:paraId="3CEB5037" w14:textId="71D5CCAC">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O comprimento de onda é um fator crítico na determinação dos efeitos terapêuticos produzidos por tratamentos por laser, já que esse parâmetro determina quais biomoléculas especificas serão absorvidas na radiação incidente e assim qual interação fotobiológica básica por trás de um determinado efeito de tratamento.</w:t>
      </w:r>
    </w:p>
    <w:p w:rsidR="3F741547" w:rsidP="588A6772" w:rsidRDefault="3F741547" w14:paraId="0B7BE97A" w14:textId="3B716FF2">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O tipo de laser é determinado pelo comprimento de onda usado e, logicamente, pelo meio usado para produzi-lo (LOW &amp; REED, 2001).</w:t>
      </w:r>
    </w:p>
    <w:p w:rsidR="3F741547" w:rsidP="588A6772" w:rsidRDefault="3F741547" w14:paraId="308B06AC" w14:textId="409FC4F3">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Em 1960 o primeiro laser foi construído por Maiman e pouco tempo depois foi introduzido nas ciências da saúde inicialmente instrumento cirúrgico para execução de cortes e evaporação de tecidos, posteriormente após a observação de alguns efeitos não térmicos que estimulavam a cicatrização de tecidos, se iniciaram os estudos dos efeitos fotobiológicos ou não térmicos dos lasers.</w:t>
      </w:r>
    </w:p>
    <w:p w:rsidR="3F741547" w:rsidP="588A6772" w:rsidRDefault="3F741547" w14:paraId="2031957C" w14:textId="5ACD73BD">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EFEITOS GERAIS DO LASER</w:t>
      </w:r>
    </w:p>
    <w:p w:rsidR="3F741547" w:rsidP="588A6772" w:rsidRDefault="3F741547" w14:paraId="7DB74732" w14:textId="2A3B7F2C">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Em relação aos efeitos causados pela aplicação do laser em diferentes tecidos biológicos podemos citar os efeitos bioquímicos, bioelétricos e bioenergéticos nas células (SIMUNOVIC et al., 2000).</w:t>
      </w:r>
    </w:p>
    <w:p w:rsidR="3F741547" w:rsidP="588A6772" w:rsidRDefault="3F741547" w14:paraId="119FB515" w14:textId="74BE0952">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Sobre os efeitos bioquímicos:</w:t>
      </w:r>
    </w:p>
    <w:p w:rsidR="3F741547" w:rsidP="588A6772" w:rsidRDefault="3F741547" w14:paraId="77B3B990" w14:textId="4EC053C2">
      <w:pPr>
        <w:pStyle w:val="PargrafodaLista"/>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jc w:val="both"/>
        <w:rPr>
          <w:rFonts w:ascii="Calibri" w:hAnsi="Calibri" w:eastAsia="Calibri" w:cs="Calibri"/>
          <w:noProof w:val="0"/>
          <w:color w:val="000000" w:themeColor="text1" w:themeTint="FF" w:themeShade="FF"/>
          <w:sz w:val="22"/>
          <w:szCs w:val="22"/>
          <w:lang w:val="pt-BR"/>
        </w:rPr>
      </w:pPr>
      <w:r w:rsidRPr="588A6772" w:rsidR="3F741547">
        <w:rPr>
          <w:rFonts w:ascii="Calibri" w:hAnsi="Calibri" w:eastAsia="Calibri" w:cs="Calibri"/>
          <w:noProof w:val="0"/>
          <w:color w:val="000000" w:themeColor="text1" w:themeTint="FF" w:themeShade="FF"/>
          <w:sz w:val="22"/>
          <w:szCs w:val="22"/>
          <w:lang w:val="pt-BR"/>
        </w:rPr>
        <w:t>a liberação de substâncias pré-formadas, como a histamina, serotonina, bradicinina ou modificando as reações enzimáticas normais, tanto no sentido de excitação como de inibição.</w:t>
      </w:r>
    </w:p>
    <w:p w:rsidR="3F741547" w:rsidP="588A6772" w:rsidRDefault="3F741547" w14:paraId="28905EDD" w14:textId="333E2CC5">
      <w:pPr>
        <w:pStyle w:val="PargrafodaLista"/>
        <w:numPr>
          <w:ilvl w:val="0"/>
          <w:numId w:val="1"/>
        </w:num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noProof w:val="0"/>
          <w:color w:val="000000" w:themeColor="text1" w:themeTint="FF" w:themeShade="FF"/>
          <w:sz w:val="22"/>
          <w:szCs w:val="22"/>
          <w:lang w:val="pt-BR"/>
        </w:rPr>
      </w:pPr>
      <w:r w:rsidRPr="588A6772" w:rsidR="3F741547">
        <w:rPr>
          <w:rFonts w:ascii="Calibri" w:hAnsi="Calibri" w:eastAsia="Calibri" w:cs="Calibri"/>
          <w:noProof w:val="0"/>
          <w:color w:val="000000" w:themeColor="text1" w:themeTint="FF" w:themeShade="FF"/>
          <w:sz w:val="22"/>
          <w:szCs w:val="22"/>
          <w:lang w:val="pt-BR"/>
        </w:rPr>
        <w:t>PASSARELLA t al., (1984) confirmou em experimento que PASSARELLA t al., (1984) confirmou em experimento que a radiação laser exerce um estímulo na produção de ATP no interior das células, originando e promovendo a aceleração das mitoses.</w:t>
      </w:r>
    </w:p>
    <w:p w:rsidR="3F741547" w:rsidP="588A6772" w:rsidRDefault="3F741547" w14:paraId="2B652571" w14:textId="0ED45F32">
      <w:pPr>
        <w:ind w:left="360"/>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Sobre os efeitos bioelétricos:</w:t>
      </w:r>
    </w:p>
    <w:p w:rsidR="3F741547" w:rsidP="588A6772" w:rsidRDefault="3F741547" w14:paraId="530E192B" w14:textId="38AFC450">
      <w:pPr>
        <w:pStyle w:val="PargrafodaLista"/>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rFonts w:ascii="Calibri" w:hAnsi="Calibri" w:eastAsia="Calibri" w:cs="Calibri"/>
          <w:noProof w:val="0"/>
          <w:color w:val="000000" w:themeColor="text1" w:themeTint="FF" w:themeShade="FF"/>
          <w:sz w:val="22"/>
          <w:szCs w:val="22"/>
          <w:lang w:val="pt-BR"/>
        </w:rPr>
      </w:pPr>
      <w:r w:rsidRPr="588A6772" w:rsidR="3F741547">
        <w:rPr>
          <w:rFonts w:ascii="Calibri" w:hAnsi="Calibri" w:eastAsia="Calibri" w:cs="Calibri"/>
          <w:noProof w:val="0"/>
          <w:color w:val="000000" w:themeColor="text1" w:themeTint="FF" w:themeShade="FF"/>
          <w:sz w:val="22"/>
          <w:szCs w:val="22"/>
          <w:lang w:val="pt-BR"/>
        </w:rPr>
        <w:t xml:space="preserve">normalização da atividade das membranas, permitindo que elas se tornem mais espessas. </w:t>
      </w:r>
    </w:p>
    <w:p w:rsidR="3F741547" w:rsidP="588A6772" w:rsidRDefault="3F741547" w14:paraId="42BA99DD" w14:textId="0F3716A5">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w:t>
      </w:r>
      <w:r w:rsidRPr="588A6772" w:rsidR="3F741547">
        <w:rPr>
          <w:rFonts w:ascii="Calibri" w:hAnsi="Calibri" w:eastAsia="Calibri" w:cs="Calibri"/>
          <w:b w:val="1"/>
          <w:bCs w:val="1"/>
          <w:noProof w:val="0"/>
          <w:sz w:val="22"/>
          <w:szCs w:val="22"/>
          <w:lang w:val="pt-BR"/>
        </w:rPr>
        <w:t>Sobre os efeitos bioenergéticos:</w:t>
      </w:r>
    </w:p>
    <w:p w:rsidR="3F741547" w:rsidP="588A6772" w:rsidRDefault="3F741547" w14:paraId="06FD1B60" w14:textId="0DB4CF71">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São justificados em função de células e substâncias que respondem a este tipo de radiação, os fotorreceptores, sendo que estes podem ser divididos em primários e secundários, aonde os primeiros seriam caracterizados por substâncias fotorreativas e os secundários por substâncias que respondem a estímulos gerados por campos eletromagnéticos (CHARMAN, 1990).</w:t>
      </w:r>
    </w:p>
    <w:p w:rsidR="3F741547" w:rsidP="588A6772" w:rsidRDefault="3F741547" w14:paraId="3A2B9B96" w14:textId="408AFB68">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As respostas decorrentes da irradiação laser também pode ser divididas em primárias e secundárias. As respostas primárias podem ser definidas como sendo as respostas celulares decorrentes da absorção da energia e as respostas secundárias podem ser definidas como sendo alterações fisiológicas que não afetam somente a unidade celular, mas sim toda a série de tecido (REED &amp; LOW 2001; GUIRRO &amp; GUIRRO 2002).</w:t>
      </w:r>
    </w:p>
    <w:p w:rsidR="3F741547" w:rsidP="588A6772" w:rsidRDefault="3F741547" w14:paraId="5680C0AF" w14:textId="09C8839E">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Em relação aos efeitos secundários relacionados à reparação tecidual podemos citar: </w:t>
      </w:r>
      <w:r w:rsidRPr="588A6772" w:rsidR="3F741547">
        <w:rPr>
          <w:rFonts w:ascii="Calibri" w:hAnsi="Calibri" w:eastAsia="Calibri" w:cs="Calibri"/>
          <w:b w:val="1"/>
          <w:bCs w:val="1"/>
          <w:noProof w:val="0"/>
          <w:sz w:val="22"/>
          <w:szCs w:val="22"/>
          <w:lang w:val="pt-BR"/>
        </w:rPr>
        <w:t>aumento do tecido de granulação, neoformação de vasos sanguíneos e regeneração de linfáticos, aumento do colágeno após irradiação das ligações cruzadas do colágeno e da tensão ruptura, aceleração do processo de cicatrização e incremento da atividade fagocitária dos linfócitos e macrófagos e ainda proliferação dos fibroblastos e aumento da produção de colágeno</w:t>
      </w:r>
      <w:r w:rsidRPr="588A6772" w:rsidR="3F741547">
        <w:rPr>
          <w:rFonts w:ascii="Calibri" w:hAnsi="Calibri" w:eastAsia="Calibri" w:cs="Calibri"/>
          <w:noProof w:val="0"/>
          <w:sz w:val="22"/>
          <w:szCs w:val="22"/>
          <w:lang w:val="pt-BR"/>
        </w:rPr>
        <w:t xml:space="preserve"> (BOULTON 16 16 &amp; MARSHALL 1986; ABERGEL et al., 1987; ENWEMEKA et al., 1990; PARIZZOTTO, 1998; TURNER &amp; HODE, 1999).</w:t>
      </w:r>
    </w:p>
    <w:p w:rsidR="588A6772" w:rsidP="588A6772" w:rsidRDefault="588A6772" w14:paraId="28CB539A" w14:textId="51E454CD">
      <w:pPr>
        <w:jc w:val="both"/>
        <w:rPr>
          <w:rFonts w:ascii="Calibri" w:hAnsi="Calibri" w:eastAsia="Calibri" w:cs="Calibri"/>
          <w:noProof w:val="0"/>
          <w:sz w:val="22"/>
          <w:szCs w:val="22"/>
          <w:lang w:val="pt-BR"/>
        </w:rPr>
      </w:pPr>
    </w:p>
    <w:p w:rsidR="3F741547" w:rsidP="588A6772" w:rsidRDefault="3F741547" w14:paraId="744E1C41" w14:textId="4390B237">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INTERAÇÃO DO LASER COM OS TECIDOS</w:t>
      </w:r>
    </w:p>
    <w:p w:rsidR="3F741547" w:rsidP="588A6772" w:rsidRDefault="3F741547" w14:paraId="26F23C9E" w14:textId="076F0536">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A interação laser-tecido está tipicamente associada com os efeitos potencialmente destrutivos da irradiação em níveis de potência e energia relativamente altos; nessas circunstâncias as altas densidades da luz laser proveniente de fontes altamente colimadas ou focadas, com potência na faixa de watts, podem, facilmente, produzir reações fototérmicas nos tecidos, incluindo efeitos de ablação ou explosão. Contudo, na LTBI a ênfase é por definição nas reações não térmicas (ou atérmic0</w:t>
      </w:r>
      <w:r w:rsidR="3F741547">
        <w:drawing>
          <wp:inline wp14:editId="64421D5E" wp14:anchorId="30389E48">
            <wp:extent cx="4925112" cy="3105583"/>
            <wp:effectExtent l="0" t="0" r="0" b="0"/>
            <wp:docPr id="476733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733867" name="Picture 476733867"/>
                    <pic:cNvPicPr/>
                  </pic:nvPicPr>
                  <pic:blipFill>
                    <a:blip xmlns:r="http://schemas.openxmlformats.org/officeDocument/2006/relationships" r:embed="rId1348358071">
                      <a:extLst>
                        <a:ext uri="{28A0092B-C50C-407E-A947-70E740481C1C}">
                          <a14:useLocalDpi xmlns:a14="http://schemas.microsoft.com/office/drawing/2010/main"/>
                        </a:ext>
                      </a:extLst>
                    </a:blip>
                    <a:stretch>
                      <a:fillRect/>
                    </a:stretch>
                  </pic:blipFill>
                  <pic:spPr>
                    <a:xfrm>
                      <a:off x="0" y="0"/>
                      <a:ext cx="4925112" cy="3105583"/>
                    </a:xfrm>
                    <a:prstGeom prst="rect">
                      <a:avLst/>
                    </a:prstGeom>
                  </pic:spPr>
                </pic:pic>
              </a:graphicData>
            </a:graphic>
          </wp:inline>
        </w:drawing>
      </w:r>
    </w:p>
    <w:p w:rsidR="588A6772" w:rsidP="588A6772" w:rsidRDefault="588A6772" w14:paraId="1B4225E0" w14:textId="509B389B">
      <w:pPr>
        <w:jc w:val="both"/>
        <w:rPr>
          <w:rFonts w:ascii="Calibri" w:hAnsi="Calibri" w:eastAsia="Calibri" w:cs="Calibri"/>
          <w:noProof w:val="0"/>
          <w:sz w:val="22"/>
          <w:szCs w:val="22"/>
          <w:lang w:val="pt-BR"/>
        </w:rPr>
      </w:pPr>
    </w:p>
    <w:p w:rsidR="588A6772" w:rsidP="588A6772" w:rsidRDefault="588A6772" w14:paraId="5BED134A" w14:textId="2C6A3BBD">
      <w:pPr>
        <w:jc w:val="both"/>
        <w:rPr>
          <w:rFonts w:ascii="Calibri" w:hAnsi="Calibri" w:eastAsia="Calibri" w:cs="Calibri"/>
          <w:noProof w:val="0"/>
          <w:sz w:val="22"/>
          <w:szCs w:val="22"/>
          <w:lang w:val="pt-BR"/>
        </w:rPr>
      </w:pPr>
    </w:p>
    <w:p w:rsidR="3F741547" w:rsidP="588A6772" w:rsidRDefault="3F741547" w14:paraId="0A47ECA8" w14:textId="034C284E">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EFEITOS CLÍNICOS DA LASERTERAPIA DE BAIXA INTENSIDADE</w:t>
      </w:r>
    </w:p>
    <w:p w:rsidR="3F741547" w:rsidP="588A6772" w:rsidRDefault="3F741547" w14:paraId="381FC9D9" w14:textId="765B16F8">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Inflamação</w:t>
      </w:r>
    </w:p>
    <w:p w:rsidR="3F741547" w:rsidP="588A6772" w:rsidRDefault="3F741547" w14:paraId="6831CBDE" w14:textId="04E1ABF3">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A inflamação é essencial para o processo de cura, porém é prejudicial para cura quando se desenvolvem sem controle. </w:t>
      </w:r>
    </w:p>
    <w:p w:rsidR="3F741547" w:rsidP="588A6772" w:rsidRDefault="3F741547" w14:paraId="5854BA22" w14:textId="5ACA6B3C">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Com o emprego de recursos terapêuticos, que apresentam efeitos antiinflamatórios, pode-se influenciar na duração e magnitude da resposta inflamatória e impedir seus efeitos indesejáveis (ROCHA , Jr. et al., 2000). </w:t>
      </w:r>
    </w:p>
    <w:p w:rsidR="3F741547" w:rsidP="588A6772" w:rsidRDefault="3F741547" w14:paraId="61CBBE6C" w14:textId="526F8111">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Diversos estudos têm demonstrado a eficácia do LTBI no controle do processo inflamatório e cicatrização tecidual (ROCHA, Jr et al., 2006). Em 2003 Matera et al. demonstraram a eficácia da ação antiinflamatória e analgésica da LTBI sobre os tecidos, onde sua irradiação estimula as mitocôndrias celulares, promovendo um aumento na produção de ATP intracelular; favorece a produção de ácido araquidônico e a transformação de prostaglandina em prostaciclina, justificando sua ação antiedematosa e antiinflamatória; promove aumento da endorfina circulante (beta endorfina) proporcionando o efeito analgésico na dor não inflamatória.</w:t>
      </w:r>
    </w:p>
    <w:p w:rsidR="3F741547" w:rsidP="588A6772" w:rsidRDefault="3F741547" w14:paraId="593722F0" w14:textId="6F62F900">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Dor</w:t>
      </w:r>
    </w:p>
    <w:p w:rsidR="3F741547" w:rsidP="588A6772" w:rsidRDefault="3F741547" w14:paraId="37380522" w14:textId="08E9167F">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A Associação Internacional para Estudos da Dor (IASP – International Association fot the Study of Pain) publicou a seguinte definição de dor: “Dor é uma experiência sensorial e emocional desagradável, associada com um dano tecidual real ou potencial, ou descrita em termos de tal dano” (ANDRADE FILHO et al., 2001 apud TRIBIOLI, 2003).</w:t>
      </w:r>
    </w:p>
    <w:p w:rsidR="3F741547" w:rsidP="588A6772" w:rsidRDefault="3F741547" w14:paraId="6D5DF5C5" w14:textId="5BC25406">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Segundo GUYTON &amp; HALL (1997) define que a dor é um mecanismo de proteção do corpo; ocorre sempre que qualquer tecido estiver sendo lesado e faz com que o indivíduo reaja para remover o estímulo doloroso.</w:t>
      </w:r>
    </w:p>
    <w:p w:rsidR="3F741547" w:rsidP="588A6772" w:rsidRDefault="3F741547" w14:paraId="36ABEEE2" w14:textId="5285FCFD">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SIMUNOVIC (1996) em seu artigo publicou efeito analgésico da LTBI, o autor descreve algumas explicações para esse efeito como:</w:t>
      </w:r>
    </w:p>
    <w:p w:rsidR="3F741547" w:rsidP="588A6772" w:rsidRDefault="3F741547" w14:paraId="24C89A90" w14:textId="261E5832">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LTBI aumenta o nível de ß- endorfina no líquor espinal;</w:t>
      </w:r>
    </w:p>
    <w:p w:rsidR="3F741547" w:rsidP="588A6772" w:rsidRDefault="3F741547" w14:paraId="04A4C3EC" w14:textId="6C502F9A">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 Aumenta a excreção urinária de glicocorticóide-inibidor da síntese de ß- endorfina; </w:t>
      </w:r>
    </w:p>
    <w:p w:rsidR="3F741547" w:rsidP="588A6772" w:rsidRDefault="3F741547" w14:paraId="4E0E8E90" w14:textId="6AABC11B">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Aumento do limiar de dor através de um mecanismo bloqueador eletrolítico complexo das fibras nervosas. A permeabilidade da membrana das células nervosas para Na/K é diminuída causando hiperpolarização; </w:t>
      </w:r>
    </w:p>
    <w:p w:rsidR="3F741547" w:rsidP="588A6772" w:rsidRDefault="3F741547" w14:paraId="19DBE099" w14:textId="3924E612">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Aumento de serotonina na excreção urinária negativamente afeta a neurotransmissão;</w:t>
      </w:r>
    </w:p>
    <w:p w:rsidR="3F741547" w:rsidP="588A6772" w:rsidRDefault="3F741547" w14:paraId="739FB730" w14:textId="7E7BD4A2">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 Laser reduz a liberação de substâncias químicas como bradicinina, um potente agente álgico que normalmente irrita os receptores do nervo e causa dor, histamina, um potente agente inflamatório e álgico, e acetilcolina, um outro agente álgico que é bloqueado através de um aumento na atividade acetilcolinesterase;</w:t>
      </w:r>
    </w:p>
    <w:p w:rsidR="3F741547" w:rsidP="588A6772" w:rsidRDefault="3F741547" w14:paraId="562A95EA" w14:textId="28E5FADC">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  LTBI altera o equilíbrio noradrenalina-adrenalina; </w:t>
      </w:r>
    </w:p>
    <w:p w:rsidR="3F741547" w:rsidP="588A6772" w:rsidRDefault="3F741547" w14:paraId="5EA3B2B5" w14:textId="7F2A10AC">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LTBI aumenta a produção de ATP, o qual pode resultar em relaxamento muscular; </w:t>
      </w:r>
    </w:p>
    <w:p w:rsidR="3F741547" w:rsidP="588A6772" w:rsidRDefault="3F741547" w14:paraId="16011D55" w14:textId="1D38D875">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 LTBI melhora a microcirculação local e assim o suprimento de O2 para as células hipóxias e para as áreas de pontos gatilho é aumentado. A asfixia do tecido é reduzida ao mínimo e a remoção de produtos desperdiçados coletados ocorre ao mesmo tempo;</w:t>
      </w:r>
    </w:p>
    <w:p w:rsidR="3F741547" w:rsidP="588A6772" w:rsidRDefault="3F741547" w14:paraId="3943F86F" w14:textId="3279E0A1">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 xml:space="preserve"> - LTBI aumenta o fluxo linfático e reduz o edema.</w:t>
      </w:r>
    </w:p>
    <w:p w:rsidR="588A6772" w:rsidP="588A6772" w:rsidRDefault="588A6772" w14:paraId="16757E5E" w14:textId="7641C6AC">
      <w:pPr>
        <w:jc w:val="both"/>
        <w:rPr>
          <w:rFonts w:ascii="Calibri" w:hAnsi="Calibri" w:eastAsia="Calibri" w:cs="Calibri"/>
          <w:noProof w:val="0"/>
          <w:sz w:val="22"/>
          <w:szCs w:val="22"/>
          <w:lang w:val="pt-BR"/>
        </w:rPr>
      </w:pPr>
    </w:p>
    <w:p w:rsidR="3F741547" w:rsidP="588A6772" w:rsidRDefault="3F741547" w14:paraId="49F0A311" w14:textId="637123E7">
      <w:pPr>
        <w:jc w:val="both"/>
        <w:rPr>
          <w:rFonts w:ascii="Calibri" w:hAnsi="Calibri" w:eastAsia="Calibri" w:cs="Calibri"/>
          <w:noProof w:val="0"/>
          <w:sz w:val="22"/>
          <w:szCs w:val="22"/>
          <w:lang w:val="pt-BR"/>
        </w:rPr>
      </w:pPr>
      <w:r w:rsidRPr="588A6772" w:rsidR="3F741547">
        <w:rPr>
          <w:rFonts w:ascii="Calibri" w:hAnsi="Calibri" w:eastAsia="Calibri" w:cs="Calibri"/>
          <w:b w:val="1"/>
          <w:bCs w:val="1"/>
          <w:noProof w:val="0"/>
          <w:sz w:val="22"/>
          <w:szCs w:val="22"/>
          <w:lang w:val="pt-BR"/>
        </w:rPr>
        <w:t>Reparo Tecidual</w:t>
      </w:r>
    </w:p>
    <w:p w:rsidR="3F741547" w:rsidP="588A6772" w:rsidRDefault="3F741547" w14:paraId="75ACBBBF" w14:textId="76B2B439">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Durante o processo de reorganização tecidual para a reconstrução tissular, observam-se os seguintes componentes importantes para a efetivação do reparo: coagulação, inflamação, fibroplasia, deposição matricial, angiogênese, epitelização e contração. Segundo AARESTRUP (2006), a reparação de um tecido lesado pode ser dividida em quatro fases: hemostasia, inflamação, fase proliferativa e fase de remodelagem.</w:t>
      </w:r>
    </w:p>
    <w:p w:rsidR="3F741547" w:rsidP="588A6772" w:rsidRDefault="3F741547" w14:paraId="2218F215" w14:textId="3327507C">
      <w:pPr>
        <w:jc w:val="both"/>
        <w:rPr>
          <w:rFonts w:ascii="Calibri" w:hAnsi="Calibri" w:eastAsia="Calibri" w:cs="Calibri"/>
          <w:noProof w:val="0"/>
          <w:sz w:val="22"/>
          <w:szCs w:val="22"/>
          <w:lang w:val="pt-BR"/>
        </w:rPr>
      </w:pPr>
      <w:r w:rsidRPr="588A6772" w:rsidR="3F741547">
        <w:rPr>
          <w:rFonts w:ascii="Calibri" w:hAnsi="Calibri" w:eastAsia="Calibri" w:cs="Calibri"/>
          <w:noProof w:val="0"/>
          <w:sz w:val="22"/>
          <w:szCs w:val="22"/>
          <w:lang w:val="pt-BR"/>
        </w:rPr>
        <w:t>Sabe-se que o reparo tecidual e o processo de cicatrização ocorrem após um trauma ou doença, quando aplicada a LTBI ocorre o aumento da quantidade de fibroblastos, redução significativa da intensidade do infiltrado inflamatório presente na lesão, facilitação da síntese de colágeno, aumento da proliferação celular e da vascularização local, aumento da motilidade dos queratinócitos levando a liberação de fatores de crescimento (ROCHA, Jr. et al., 2006).</w:t>
      </w:r>
    </w:p>
    <w:p w:rsidR="588A6772" w:rsidP="588A6772" w:rsidRDefault="588A6772" w14:paraId="5D276F91" w14:textId="2337750B">
      <w:pPr>
        <w:jc w:val="both"/>
        <w:rPr>
          <w:rFonts w:ascii="Calibri" w:hAnsi="Calibri" w:eastAsia="Calibri" w:cs="Calibri"/>
          <w:noProof w:val="0"/>
          <w:sz w:val="22"/>
          <w:szCs w:val="22"/>
          <w:lang w:val="pt-BR"/>
        </w:rPr>
      </w:pPr>
    </w:p>
    <w:p w:rsidR="588A6772" w:rsidP="588A6772" w:rsidRDefault="588A6772" w14:paraId="3D1659F1" w14:textId="5E6F5A30">
      <w:pPr>
        <w:jc w:val="both"/>
        <w:rPr>
          <w:rFonts w:ascii="Calibri" w:hAnsi="Calibri" w:eastAsia="Calibri" w:cs="Calibri"/>
          <w:noProof w:val="0"/>
          <w:sz w:val="22"/>
          <w:szCs w:val="22"/>
          <w:lang w:val="pt-BR"/>
        </w:rPr>
      </w:pPr>
    </w:p>
    <w:p w:rsidR="588A6772" w:rsidP="588A6772" w:rsidRDefault="588A6772" w14:paraId="18BD65AA" w14:textId="3C0B1426">
      <w:pPr>
        <w:jc w:val="both"/>
        <w:rPr>
          <w:rFonts w:ascii="Calibri" w:hAnsi="Calibri" w:eastAsia="Calibri" w:cs="Calibri"/>
          <w:noProof w:val="0"/>
          <w:sz w:val="22"/>
          <w:szCs w:val="22"/>
          <w:lang w:val="pt-BR"/>
        </w:rPr>
      </w:pPr>
    </w:p>
    <w:p w:rsidR="588A6772" w:rsidP="588A6772" w:rsidRDefault="588A6772" w14:paraId="34344EE5" w14:textId="02DFD189">
      <w:pPr>
        <w:jc w:val="both"/>
      </w:pPr>
    </w:p>
    <w:sectPr w:rsidR="00DA5E65">
      <w:pgSz w:w="11906" w:h="16838"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7d3ac2e"/>
    <w:multiLevelType xmlns:w="http://schemas.openxmlformats.org/wordprocessingml/2006/main" w:val="multilevel"/>
    <w:lvl xmlns:w="http://schemas.openxmlformats.org/wordprocessingml/2006/main" w:ilvl="0">
      <w:start w:val="1"/>
      <w:numFmt w:val="bullet"/>
      <w:lvlText w:val="✔"/>
      <w:lvlJc w:val="left"/>
      <w:pPr>
        <w:ind w:left="1125"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d6b33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E65"/>
    <w:rsid w:val="00726D83"/>
    <w:rsid w:val="00A16F59"/>
    <w:rsid w:val="00DA5E65"/>
    <w:rsid w:val="3F741547"/>
    <w:rsid w:val="588A677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381BA7"/>
  <w15:docId w15:val="{89C0DA18-1E7C-42DC-A6E4-C3C21AFE1F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pt-B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rsid w:val="00DE7C1E"/>
    <w:pPr>
      <w:ind w:left="720"/>
      <w:contextualSpacing/>
    </w:p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webSettings" Target="webSettings.xml" Id="rId4" /><Relationship Type="http://schemas.openxmlformats.org/officeDocument/2006/relationships/image" Target="/media/image2.png" Id="rId1348358071" /><Relationship Type="http://schemas.openxmlformats.org/officeDocument/2006/relationships/numbering" Target="numbering.xml" Id="R72af471701254daf"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GVEPO2GiZzqJ+CjY1tG2QqyvQ==">CgMxLjA4AHIhMTVaSUltaHczb05JNVR0ZjhCSHZPRDlVM1dPRjI4bHdn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Patricia</dc:creator>
  <lastModifiedBy>hugomkt.r2m</lastModifiedBy>
  <revision>2</revision>
  <dcterms:created xsi:type="dcterms:W3CDTF">2026-01-29T20:44:00.0000000Z</dcterms:created>
  <dcterms:modified xsi:type="dcterms:W3CDTF">2026-01-29T20:47:10.9881952Z</dcterms:modified>
</coreProperties>
</file>