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quem interessar possa:</w:t>
      </w:r>
    </w:p>
    <w:p w:rsidR="00000000" w:rsidDel="00000000" w:rsidP="00000000" w:rsidRDefault="00000000" w:rsidRPr="00000000" w14:paraId="00000002">
      <w:pPr>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terapia do tratamento da dor associada à osteoartrite ou artrose, tem entre seus objetivos duas funções muito importantes, que estão diretamente ligadas aos efeitos clínicos esperados pelas características do hialuronato de sódio na terapia proposta, neste caso específico o produto solicitado é feito com uma reticulação (cross link)  moderna e mais amigável ao corpo, e sua composição </w:t>
      </w:r>
      <w:r w:rsidDel="00000000" w:rsidR="00000000" w:rsidRPr="00000000">
        <w:rPr>
          <w:rFonts w:ascii="Arial" w:cs="Arial" w:eastAsia="Arial" w:hAnsi="Arial"/>
          <w:sz w:val="24"/>
          <w:szCs w:val="24"/>
          <w:rtl w:val="0"/>
        </w:rPr>
        <w:t xml:space="preserve">traz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fato que em laboratório, se conseguiu manipular e manter na mesma seringa até o momento da aplicação com total estabilidade do produto, dois pesos moleculares diferentes sendo alto e médio peso. Com essa faceta esse produto tem características anti-inflamatórias e pode ser usado em artroscopias ou uso direto em clínicas para o melhor e mais rápido efeito no controle e tratamento da dor associada à osteoartrite e artrose além de oferecer excelente durabilidade de no mínimo 6 meses com o peso molecular de referência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próximo ao peso do liquido sinovial humano que é de 5,4 mega daltons. </w:t>
      </w:r>
    </w:p>
    <w:p w:rsidR="00000000" w:rsidDel="00000000" w:rsidP="00000000" w:rsidRDefault="00000000" w:rsidRPr="00000000" w14:paraId="00000004">
      <w:pPr>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Essa durabilidade auxilia na lubrificação mais adequada e prolongada da articulação bem como a a indução de reparação da mesma. Para o melhor resultado clinico faz-se necessário lançarmos mão de técnicas e novas tecnologias que temos acesso.  O produto que atualmente optamos em usar é o OPUS 2F, que é sintetizado para obtenção do hialuronato de sódio com uma concentração 1,5% deste composto. Seu uso tem entre suas aplicações mais rotineiras a visco suplementação das articulações tanto em terapias ambulatoriais quanto no intra-operatório em pacientes de artroscopia para minimizar os riscos de novas lesões na articulação em pacientes submetidos à esse procedimento, bem como formações artrofibroses que elevam os custos no pós operatório. A viscosidade dinâmica é maior que 120 pascal o que confere a ele a ideal lubrificação e por um tempo maior e mais adequado como já citado. Outra importante característica desse hialuronato de sódio é o fato de ele receber um cross link feito por um composto bem mais moderno e que evita irritações na articulações. Há ainda uma importante característica do Opus 2F por ser um produto totalmente livre de proteínas aviárias que podem levar à sinovite. </w:t>
      </w:r>
    </w:p>
    <w:p w:rsidR="00000000" w:rsidDel="00000000" w:rsidP="00000000" w:rsidRDefault="00000000" w:rsidRPr="00000000" w14:paraId="00000005">
      <w:pPr>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6">
      <w:pPr>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referendar tais características vale demonstrar referencias bibliográficas que ajudam a demonstrar a importância de tais características como segue:</w:t>
      </w:r>
    </w:p>
    <w:p w:rsidR="00000000" w:rsidDel="00000000" w:rsidP="00000000" w:rsidRDefault="00000000" w:rsidRPr="00000000" w14:paraId="00000008">
      <w:pPr>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rPr>
      </w:pPr>
      <w:sdt>
        <w:sdtPr>
          <w:id w:val="1012162863"/>
          <w:tag w:val="goog_rdk_0"/>
        </w:sdtPr>
        <w:sdtContent>
          <w:r w:rsidDel="00000000" w:rsidR="00000000" w:rsidRPr="00000000">
            <w:rPr>
              <w:rFonts w:ascii="Cardo" w:cs="Cardo" w:eastAsia="Cardo" w:hAnsi="Cardo"/>
              <w:b w:val="1"/>
              <w:bCs w:val="1"/>
              <w:rtl w:val="0"/>
            </w:rPr>
            <w:t xml:space="preserve">→ Concentração</w:t>
          </w:r>
        </w:sdtContent>
      </w:sdt>
    </w:p>
    <w:p w:rsidR="00000000" w:rsidDel="00000000" w:rsidP="00000000" w:rsidRDefault="00000000" w:rsidRPr="00000000" w14:paraId="0000000A">
      <w:pPr>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concentração de ácido hialurônico no organismo varia principalmente de acordo com a predominância de casos associados a desgaste na articulação. No corpo humano essa concentração varia de 1,09 -1,20 g/L em articulações contendo artrite reumatóide, e em articulações normais de 1,45 – 3,12 g/L (DAHL et al., 1985; DE BOULLE et al., 2013)</w:t>
      </w:r>
    </w:p>
    <w:p w:rsidR="00000000" w:rsidDel="00000000" w:rsidP="00000000" w:rsidRDefault="00000000" w:rsidRPr="00000000" w14:paraId="0000000B">
      <w:pPr>
        <w:ind w:firstLine="70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rPr>
      </w:pPr>
      <w:sdt>
        <w:sdtPr>
          <w:id w:val="1819702184"/>
          <w:tag w:val="goog_rdk_1"/>
        </w:sdtPr>
        <w:sdtContent>
          <w:r w:rsidDel="00000000" w:rsidR="00000000" w:rsidRPr="00000000">
            <w:rPr>
              <w:rFonts w:ascii="Cardo" w:cs="Cardo" w:eastAsia="Cardo" w:hAnsi="Cardo"/>
              <w:b w:val="1"/>
              <w:bCs w:val="1"/>
              <w:rtl w:val="0"/>
            </w:rPr>
            <w:t xml:space="preserve">→ Peso molecular</w:t>
          </w:r>
        </w:sdtContent>
      </w:sdt>
    </w:p>
    <w:p w:rsidR="00000000" w:rsidDel="00000000" w:rsidP="00000000" w:rsidRDefault="00000000" w:rsidRPr="00000000" w14:paraId="0000000D">
      <w:pPr>
        <w:spacing w:after="0"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peso molecular do hialuronato de sódio, proveniente de diferentes fontes é altamente variável no intervalo, o que foi por nós escolhido tem peso de 5.4 mega daltons por estar mais próximo da característica fisiológica do liquido sinovial humano . Em articulações com artrite reumatóide o ácido hialurônico se apresenta com baixo peso molecular (1,2 – 4,5 MDa), já em articulações de indivíduos jovens é encontrado no intervalo de 1,6 – 10,9 MDa (DAHL et al., 1985). Quanto mais próximo de um equilíbrio entre estes extremos teremos uma terapia mais versátil e duradoura. </w:t>
      </w:r>
    </w:p>
    <w:p w:rsidR="00000000" w:rsidDel="00000000" w:rsidP="00000000" w:rsidRDefault="00000000" w:rsidRPr="00000000" w14:paraId="0000000E">
      <w:pPr>
        <w:spacing w:after="0"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acordo com o aumento da cadeia através das ligações cruzadas, tem-se consequentemente o aumento do peso molecular que irá variar de acordo com os sítios ativos da cadeia que sofreram reação.</w:t>
      </w:r>
    </w:p>
    <w:p w:rsidR="00000000" w:rsidDel="00000000" w:rsidP="00000000" w:rsidRDefault="00000000" w:rsidRPr="00000000" w14:paraId="0000000F">
      <w:pPr>
        <w:spacing w:line="360" w:lineRule="auto"/>
        <w:ind w:firstLine="708"/>
        <w:jc w:val="both"/>
        <w:rPr>
          <w:rFonts w:ascii="Times New Roman" w:cs="Times New Roman" w:eastAsia="Times New Roman" w:hAnsi="Times New Roman"/>
        </w:rPr>
      </w:pPr>
      <w:sdt>
        <w:sdtPr>
          <w:id w:val="-565422922"/>
          <w:tag w:val="goog_rdk_2"/>
        </w:sdtPr>
        <w:sdtContent>
          <w:r w:rsidDel="00000000" w:rsidR="00000000" w:rsidRPr="00000000">
            <w:rPr>
              <w:rFonts w:ascii="Gungsuh" w:cs="Gungsuh" w:eastAsia="Gungsuh" w:hAnsi="Gungsuh"/>
              <w:rtl w:val="0"/>
            </w:rPr>
            <w:t xml:space="preserve">Altman et al., 2015 avaliaram 68 estudos em relação ao peso molecular classificando os produtos em alto peso molecular (≥ 3 MDa), moderado peso molecular (&lt; 3 e &gt; 1,5 MDa) e baixo peso molecular (≤ 1,5 MDa) (ALTMAN et al., 2015).</w:t>
          </w:r>
        </w:sdtContent>
      </w:sdt>
    </w:p>
    <w:p w:rsidR="00000000" w:rsidDel="00000000" w:rsidP="00000000" w:rsidRDefault="00000000" w:rsidRPr="00000000" w14:paraId="00000010">
      <w:pPr>
        <w:keepNext w:val="1"/>
        <w:spacing w:after="0" w:before="240"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MECANISMO DE AÇÃO</w:t>
      </w:r>
    </w:p>
    <w:p w:rsidR="00000000" w:rsidDel="00000000" w:rsidP="00000000" w:rsidRDefault="00000000" w:rsidRPr="00000000" w14:paraId="00000011">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células sinoviais podem produzir várias citocinas e enzimas associadas a osteoartrite, como a interleucina (IL)-1β, IL-6, IL-8, fator inibidor de leucemia (LIF), fator de necrose tumoral (TNF)- </w:t>
      </w:r>
      <w:r w:rsidDel="00000000" w:rsidR="00000000" w:rsidRPr="00000000">
        <w:rPr>
          <w:rFonts w:ascii="Times New Roman" w:cs="Times New Roman" w:eastAsia="Times New Roman" w:hAnsi="Times New Roman"/>
          <w:color w:val="202122"/>
          <w:highlight w:val="white"/>
          <w:rtl w:val="0"/>
        </w:rPr>
        <w:t xml:space="preserve">α</w:t>
      </w:r>
      <w:r w:rsidDel="00000000" w:rsidR="00000000" w:rsidRPr="00000000">
        <w:rPr>
          <w:rFonts w:ascii="Times New Roman" w:cs="Times New Roman" w:eastAsia="Times New Roman" w:hAnsi="Times New Roman"/>
          <w:rtl w:val="0"/>
        </w:rPr>
        <w:t xml:space="preserve">, enzima de conversão de TNF-</w:t>
      </w:r>
      <w:r w:rsidDel="00000000" w:rsidR="00000000" w:rsidRPr="00000000">
        <w:rPr>
          <w:rFonts w:ascii="Times New Roman" w:cs="Times New Roman" w:eastAsia="Times New Roman" w:hAnsi="Times New Roman"/>
          <w:color w:val="202122"/>
          <w:highlight w:val="white"/>
          <w:rtl w:val="0"/>
        </w:rPr>
        <w:t xml:space="preserve">α</w:t>
      </w:r>
      <w:r w:rsidDel="00000000" w:rsidR="00000000" w:rsidRPr="00000000">
        <w:rPr>
          <w:rFonts w:ascii="Times New Roman" w:cs="Times New Roman" w:eastAsia="Times New Roman" w:hAnsi="Times New Roman"/>
          <w:rtl w:val="0"/>
        </w:rPr>
        <w:t xml:space="preserve"> (TACE), matriz metaloproteinase (MMP)-1, MMP-2, MMP-3, MMP-9, MMP-13, inibidor de tecido metaloproteinase (TIMP)-1, TIMP-2, agrecanase-1, agrecanase-2, indutor de síntese do óxido nítrico (iNOS) e ciclooxigenase (COX)-2 como descreve (WANG et al., 2006). </w:t>
      </w:r>
    </w:p>
    <w:p w:rsidR="00000000" w:rsidDel="00000000" w:rsidP="00000000" w:rsidRDefault="00000000" w:rsidRPr="00000000" w14:paraId="00000012">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 células sinoviais o IL-1 são os genes inflamatórios, e naturalmente seguem o processo descrito por WANG et al, 2006, ocorrendo a ativação AP-1, NK-kB, que são os agentes responsáveis pela inflamação e levando ao aumento IL-1, IL-6, IL-8, TNF-</w:t>
      </w:r>
      <w:r w:rsidDel="00000000" w:rsidR="00000000" w:rsidRPr="00000000">
        <w:rPr>
          <w:rFonts w:ascii="Times New Roman" w:cs="Times New Roman" w:eastAsia="Times New Roman" w:hAnsi="Times New Roman"/>
          <w:color w:val="202122"/>
          <w:highlight w:val="white"/>
          <w:rtl w:val="0"/>
        </w:rPr>
        <w:t xml:space="preserve"> α, iNOS, COX-2</w:t>
      </w:r>
      <w:r w:rsidDel="00000000" w:rsidR="00000000" w:rsidRPr="00000000">
        <w:rPr>
          <w:rFonts w:ascii="Times New Roman" w:cs="Times New Roman" w:eastAsia="Times New Roman" w:hAnsi="Times New Roman"/>
          <w:rtl w:val="0"/>
        </w:rPr>
        <w:t xml:space="preserve">. No processo de viscossuplementação com a utilização do ácido hialurônico como também está descrito por esse mesmo autor,  ocorre uma supressão da fosforilação de JNK, p38, NK-kB, essas alterações moleculares inativam AP-1 e NK-kB, e os genes inflamatórios são regulados negativamente (IL-1, IL-6, IL-8, TNF-</w:t>
      </w:r>
      <w:r w:rsidDel="00000000" w:rsidR="00000000" w:rsidRPr="00000000">
        <w:rPr>
          <w:rFonts w:ascii="Times New Roman" w:cs="Times New Roman" w:eastAsia="Times New Roman" w:hAnsi="Times New Roman"/>
          <w:color w:val="202122"/>
          <w:highlight w:val="white"/>
          <w:rtl w:val="0"/>
        </w:rPr>
        <w:t xml:space="preserve"> α, iNOS, COX-2</w:t>
      </w:r>
      <w:r w:rsidDel="00000000" w:rsidR="00000000" w:rsidRPr="00000000">
        <w:rPr>
          <w:rFonts w:ascii="Times New Roman" w:cs="Times New Roman" w:eastAsia="Times New Roman" w:hAnsi="Times New Roman"/>
          <w:rtl w:val="0"/>
        </w:rPr>
        <w:t xml:space="preserve">), proporcionando assim uma redução da resposta pró-inflamatória e consequentemente um aumento da resposta anti-inflamatória  como também descrevem (ALTMAN et al., 2019; ALTMAN; DASA; TAKEUCHI, 2018). </w:t>
      </w:r>
    </w:p>
    <w:p w:rsidR="00000000" w:rsidDel="00000000" w:rsidP="00000000" w:rsidRDefault="00000000" w:rsidRPr="00000000" w14:paraId="00000013">
      <w:pPr>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tabs>
          <w:tab w:val="left" w:leader="none" w:pos="1076"/>
        </w:tabs>
        <w:spacing w:after="0" w:line="360" w:lineRule="auto"/>
        <w:jc w:val="both"/>
        <w:rPr>
          <w:rFonts w:ascii="Times New Roman" w:cs="Times New Roman" w:eastAsia="Times New Roman" w:hAnsi="Times New Roman"/>
          <w:b w:val="1"/>
          <w:bCs w:val="1"/>
          <w:color w:val="000000"/>
        </w:rPr>
      </w:pPr>
      <w:sdt>
        <w:sdtPr>
          <w:id w:val="575139233"/>
          <w:tag w:val="goog_rdk_3"/>
        </w:sdtPr>
        <w:sdtContent>
          <w:r w:rsidDel="00000000" w:rsidR="00000000" w:rsidRPr="00000000">
            <w:rPr>
              <w:rFonts w:ascii="Cardo" w:cs="Cardo" w:eastAsia="Cardo" w:hAnsi="Cardo"/>
              <w:b w:val="1"/>
              <w:bCs w:val="1"/>
              <w:color w:val="000000"/>
              <w:rtl w:val="0"/>
            </w:rPr>
            <w:t xml:space="preserve">→ Ácido Hialurônico como fator de Viscossuplementação (lubrificação)</w:t>
          </w:r>
        </w:sdtContent>
      </w:sdt>
    </w:p>
    <w:p w:rsidR="00000000" w:rsidDel="00000000" w:rsidP="00000000" w:rsidRDefault="00000000" w:rsidRPr="00000000" w14:paraId="00000015">
      <w:pPr>
        <w:tabs>
          <w:tab w:val="left" w:leader="none" w:pos="1076"/>
        </w:tabs>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O ácido hialurônico está associado principalmente a proteção de tecidos articulares por meio da redução de apoptose de condrócitos e aumento da proliferação de condrócitos, melhoria da síntese de proteoglicano / glicosaminoglicano, a qual pode atrasar a progressão da osteoartrite, além de efeito anti-inflamatório por meio da supressão de IL-6, benefícios mecânicos por meio da lubrificação direta da cápsula articular e efeitos analgésicos por meio da redução da atividade iônica ativada por estiramento do canal mecanossensível (SZEIMIES et al., 2009)(BHANDARI et al., 2017)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tabs>
          <w:tab w:val="left" w:leader="none" w:pos="1076"/>
        </w:tabs>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tabs>
          <w:tab w:val="left" w:leader="none" w:pos="1076"/>
        </w:tabs>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tabs>
          <w:tab w:val="left" w:leader="none" w:pos="1076"/>
        </w:tabs>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CrossLinking mais modernos </w:t>
      </w:r>
    </w:p>
    <w:p w:rsidR="00000000" w:rsidDel="00000000" w:rsidP="00000000" w:rsidRDefault="00000000" w:rsidRPr="00000000" w14:paraId="0000001A">
      <w:pPr>
        <w:spacing w:after="0" w:line="360" w:lineRule="auto"/>
        <w:ind w:firstLine="70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 termo ligações cruzadas ou reticulação polimérica ou </w:t>
      </w:r>
      <w:r w:rsidDel="00000000" w:rsidR="00000000" w:rsidRPr="00000000">
        <w:rPr>
          <w:rFonts w:ascii="Times New Roman" w:cs="Times New Roman" w:eastAsia="Times New Roman" w:hAnsi="Times New Roman"/>
          <w:i w:val="1"/>
          <w:iCs w:val="1"/>
          <w:color w:val="000000"/>
          <w:rtl w:val="0"/>
        </w:rPr>
        <w:t xml:space="preserve">crosslinking</w:t>
      </w:r>
      <w:r w:rsidDel="00000000" w:rsidR="00000000" w:rsidRPr="00000000">
        <w:rPr>
          <w:rFonts w:ascii="Times New Roman" w:cs="Times New Roman" w:eastAsia="Times New Roman" w:hAnsi="Times New Roman"/>
          <w:color w:val="000000"/>
          <w:rtl w:val="0"/>
        </w:rPr>
        <w:t xml:space="preserve"> é um processo que ocorre quando cadeias poliméricas lineares ou ramificadas são interligadas por ligações covalentes, num processo que resulta em polímeros tridimensionais de alta massa molar. Com a presença da reticulação, a estrutura molecular se torna mais rígida, devido a mudança das propriedades viscoelásticas. </w:t>
      </w:r>
    </w:p>
    <w:p w:rsidR="00000000" w:rsidDel="00000000" w:rsidP="00000000" w:rsidRDefault="00000000" w:rsidRPr="00000000" w14:paraId="0000001B">
      <w:pPr>
        <w:tabs>
          <w:tab w:val="left" w:leader="none" w:pos="0"/>
        </w:tabs>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O gel de ácido hialurônico resultante deste tipo de reação atua como uma única unidade, impondo uma barreira física e química à quebra enzimática e de radicais livres. Além disso, devido ao seu grande tamanho, as enzimas podem ter dificuldade em penetrar na rede de gel, o que de fato contribuirá para uma degradação mais lenta (TEZEL; FREDRICKSON, 2008).</w:t>
        <w:tab/>
      </w:r>
    </w:p>
    <w:p w:rsidR="00000000" w:rsidDel="00000000" w:rsidP="00000000" w:rsidRDefault="00000000" w:rsidRPr="00000000" w14:paraId="0000001C">
      <w:pPr>
        <w:tabs>
          <w:tab w:val="left" w:leader="none" w:pos="0"/>
        </w:tabs>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A reticulação realizada com o BDDE e hialuronato de sódio é mostrada em alguns trabalhos como superiores à fosfonas.  No trabalho citado é possível visualizar a molécula de BDDE com dois grupamentos epóxidos capazes de ligar-se às moléculas do hialuronato, formando assim uma ponte entre as cadeias lineares de ácido hialurônico. </w:t>
      </w:r>
    </w:p>
    <w:p w:rsidR="00000000" w:rsidDel="00000000" w:rsidP="00000000" w:rsidRDefault="00000000" w:rsidRPr="00000000" w14:paraId="0000001D">
      <w:pPr>
        <w:tabs>
          <w:tab w:val="left" w:leader="none" w:pos="0"/>
        </w:tabs>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tabs>
          <w:tab w:val="left" w:leader="none" w:pos="0"/>
        </w:tabs>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F">
      <w:pPr>
        <w:tabs>
          <w:tab w:val="left" w:leader="none" w:pos="0"/>
        </w:tabs>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Tendo por base estas características presentes no produto Opus 2F é que optamos por adotar o mesmo em nossa rotina clínica. </w:t>
      </w:r>
    </w:p>
    <w:p w:rsidR="00000000" w:rsidDel="00000000" w:rsidP="00000000" w:rsidRDefault="00000000" w:rsidRPr="00000000" w14:paraId="00000020">
      <w:pPr>
        <w:tabs>
          <w:tab w:val="left" w:leader="none" w:pos="0"/>
        </w:tabs>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tabs>
          <w:tab w:val="left" w:leader="none" w:pos="0"/>
        </w:tabs>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tabs>
          <w:tab w:val="left" w:leader="none" w:pos="0"/>
        </w:tabs>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Sem mais para o momento....</w:t>
      </w:r>
    </w:p>
    <w:p w:rsidR="00000000" w:rsidDel="00000000" w:rsidP="00000000" w:rsidRDefault="00000000" w:rsidRPr="00000000" w14:paraId="00000023">
      <w:pPr>
        <w:tabs>
          <w:tab w:val="left" w:leader="none" w:pos="0"/>
        </w:tabs>
        <w:spacing w:after="0"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tabs>
          <w:tab w:val="left" w:leader="none" w:pos="0"/>
        </w:tabs>
        <w:spacing w:after="0"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tabs>
          <w:tab w:val="left" w:leader="none" w:pos="1076"/>
        </w:tabs>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6B612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6B612A"/>
  </w:style>
  <w:style w:type="paragraph" w:styleId="Rodap">
    <w:name w:val="footer"/>
    <w:basedOn w:val="Normal"/>
    <w:link w:val="RodapChar"/>
    <w:uiPriority w:val="99"/>
    <w:unhideWhenUsed w:val="1"/>
    <w:rsid w:val="006B612A"/>
    <w:pPr>
      <w:tabs>
        <w:tab w:val="center" w:pos="4252"/>
        <w:tab w:val="right" w:pos="8504"/>
      </w:tabs>
      <w:spacing w:after="0" w:line="240" w:lineRule="auto"/>
    </w:pPr>
  </w:style>
  <w:style w:type="character" w:styleId="RodapChar" w:customStyle="1">
    <w:name w:val="Rodapé Char"/>
    <w:basedOn w:val="Fontepargpadro"/>
    <w:link w:val="Rodap"/>
    <w:uiPriority w:val="99"/>
    <w:rsid w:val="006B612A"/>
  </w:style>
  <w:style w:type="paragraph" w:styleId="NormalWeb">
    <w:name w:val="Normal (Web)"/>
    <w:basedOn w:val="Normal"/>
    <w:uiPriority w:val="99"/>
    <w:semiHidden w:val="1"/>
    <w:unhideWhenUsed w:val="1"/>
    <w:rsid w:val="00A84AEF"/>
    <w:pPr>
      <w:spacing w:after="100" w:afterAutospacing="1" w:before="100" w:beforeAutospacing="1" w:line="240" w:lineRule="auto"/>
    </w:pPr>
    <w:rPr>
      <w:rFonts w:ascii="Times New Roman" w:cs="Times New Roman" w:eastAsia="Times New Roman" w:hAnsi="Times New Roman"/>
      <w:sz w:val="24"/>
      <w:szCs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y7zxfbx7PsRAgJuUA+cIvz4xOA==">CgMxLjAaIwoBMBIeChwIB0IYCg9UaW1lcyBOZXcgUm9tYW4SBUNhcmRvGiMKATESHgocCAdCGAoPVGltZXMgTmV3IFJvbWFuEgVDYXJkbxolCgEyEiAKHggHQhoKD1RpbWVzIE5ldyBSb21hbhIHR3VuZ3N1aBojCgEzEh4KHAgHQhgKD1RpbWVzIE5ldyBSb21hbhIFQ2FyZG84AHIhMVVEakRRSXJaLS1SeUhSYUdpaVU2MHdOLVh2WUt3aUIx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2024-10-24T00:52:00Z</dcterms:created>
  <dc:creator>Usuario</dc:creator>
</cp:coreProperties>
</file>