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AD447" w14:textId="6FAF0B29" w:rsidR="008C1904" w:rsidRDefault="008C1904" w:rsidP="00424C75">
      <w:pPr>
        <w:ind w:firstLine="708"/>
        <w:jc w:val="both"/>
        <w:rPr>
          <w:rFonts w:cstheme="minorHAnsi"/>
          <w:sz w:val="24"/>
          <w:szCs w:val="24"/>
        </w:rPr>
      </w:pPr>
      <w:r>
        <w:rPr>
          <w:rFonts w:cstheme="minorHAnsi"/>
          <w:sz w:val="24"/>
          <w:szCs w:val="24"/>
        </w:rPr>
        <w:t>A quem interessar possa:</w:t>
      </w:r>
    </w:p>
    <w:p w14:paraId="294C2718" w14:textId="69849FA7" w:rsidR="008C1904" w:rsidRDefault="008C1904" w:rsidP="00424C75">
      <w:pPr>
        <w:ind w:firstLine="708"/>
        <w:jc w:val="both"/>
        <w:rPr>
          <w:rFonts w:cstheme="minorHAnsi"/>
          <w:sz w:val="24"/>
          <w:szCs w:val="24"/>
        </w:rPr>
      </w:pPr>
    </w:p>
    <w:p w14:paraId="1FEDC501" w14:textId="452DB7A7" w:rsidR="008C1904" w:rsidRDefault="008C1904" w:rsidP="00424C75">
      <w:pPr>
        <w:ind w:firstLine="708"/>
        <w:jc w:val="both"/>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 xml:space="preserve">A terapia de visco suplementação tem entre seus objetivos duas funções muito importantes, a lubrificação mais adequada e prolongada </w:t>
      </w:r>
      <w:r w:rsidR="00D42C2E">
        <w:rPr>
          <w:rFonts w:ascii="Arial" w:eastAsia="Times New Roman" w:hAnsi="Arial" w:cs="Arial"/>
          <w:color w:val="000000"/>
          <w:sz w:val="24"/>
          <w:szCs w:val="24"/>
          <w:lang w:eastAsia="pt-BR"/>
        </w:rPr>
        <w:t xml:space="preserve">da articulação </w:t>
      </w:r>
      <w:r>
        <w:rPr>
          <w:rFonts w:ascii="Arial" w:eastAsia="Times New Roman" w:hAnsi="Arial" w:cs="Arial"/>
          <w:color w:val="000000"/>
          <w:sz w:val="24"/>
          <w:szCs w:val="24"/>
          <w:lang w:eastAsia="pt-BR"/>
        </w:rPr>
        <w:t xml:space="preserve">bem como a </w:t>
      </w:r>
      <w:proofErr w:type="spellStart"/>
      <w:r>
        <w:rPr>
          <w:rFonts w:ascii="Arial" w:eastAsia="Times New Roman" w:hAnsi="Arial" w:cs="Arial"/>
          <w:color w:val="000000"/>
          <w:sz w:val="24"/>
          <w:szCs w:val="24"/>
          <w:lang w:eastAsia="pt-BR"/>
        </w:rPr>
        <w:t>a</w:t>
      </w:r>
      <w:proofErr w:type="spellEnd"/>
      <w:r>
        <w:rPr>
          <w:rFonts w:ascii="Arial" w:eastAsia="Times New Roman" w:hAnsi="Arial" w:cs="Arial"/>
          <w:color w:val="000000"/>
          <w:sz w:val="24"/>
          <w:szCs w:val="24"/>
          <w:lang w:eastAsia="pt-BR"/>
        </w:rPr>
        <w:t xml:space="preserve"> indução de reparação </w:t>
      </w:r>
      <w:proofErr w:type="gramStart"/>
      <w:r>
        <w:rPr>
          <w:rFonts w:ascii="Arial" w:eastAsia="Times New Roman" w:hAnsi="Arial" w:cs="Arial"/>
          <w:color w:val="000000"/>
          <w:sz w:val="24"/>
          <w:szCs w:val="24"/>
          <w:lang w:eastAsia="pt-BR"/>
        </w:rPr>
        <w:t xml:space="preserve">da </w:t>
      </w:r>
      <w:r w:rsidR="00D42C2E">
        <w:rPr>
          <w:rFonts w:ascii="Arial" w:eastAsia="Times New Roman" w:hAnsi="Arial" w:cs="Arial"/>
          <w:color w:val="000000"/>
          <w:sz w:val="24"/>
          <w:szCs w:val="24"/>
          <w:lang w:eastAsia="pt-BR"/>
        </w:rPr>
        <w:t>mesma</w:t>
      </w:r>
      <w:proofErr w:type="gramEnd"/>
      <w:r w:rsidR="00D42C2E">
        <w:rPr>
          <w:rFonts w:ascii="Arial" w:eastAsia="Times New Roman" w:hAnsi="Arial" w:cs="Arial"/>
          <w:color w:val="000000"/>
          <w:sz w:val="24"/>
          <w:szCs w:val="24"/>
          <w:lang w:eastAsia="pt-BR"/>
        </w:rPr>
        <w:t>. P</w:t>
      </w:r>
      <w:r>
        <w:rPr>
          <w:rFonts w:ascii="Arial" w:eastAsia="Times New Roman" w:hAnsi="Arial" w:cs="Arial"/>
          <w:color w:val="000000"/>
          <w:sz w:val="24"/>
          <w:szCs w:val="24"/>
          <w:lang w:eastAsia="pt-BR"/>
        </w:rPr>
        <w:t>ara o seu melhor resultado faz-se necessário lançar mão de técnicas e novas tecnologias que temos acesso.  O</w:t>
      </w:r>
      <w:r w:rsidR="00D42C2E">
        <w:rPr>
          <w:rFonts w:ascii="Arial" w:eastAsia="Times New Roman" w:hAnsi="Arial" w:cs="Arial"/>
          <w:color w:val="000000"/>
          <w:sz w:val="24"/>
          <w:szCs w:val="24"/>
          <w:lang w:eastAsia="pt-BR"/>
        </w:rPr>
        <w:t xml:space="preserve"> </w:t>
      </w:r>
      <w:r>
        <w:rPr>
          <w:rFonts w:ascii="Arial" w:eastAsia="Times New Roman" w:hAnsi="Arial" w:cs="Arial"/>
          <w:color w:val="000000"/>
          <w:sz w:val="24"/>
          <w:szCs w:val="24"/>
          <w:lang w:eastAsia="pt-BR"/>
        </w:rPr>
        <w:t xml:space="preserve">produto que atualmente optamos em usar é o OPUS JOINT, que é desenvolvido por fermentação para obtenção do </w:t>
      </w:r>
      <w:proofErr w:type="spellStart"/>
      <w:r>
        <w:rPr>
          <w:rFonts w:ascii="Arial" w:eastAsia="Times New Roman" w:hAnsi="Arial" w:cs="Arial"/>
          <w:color w:val="000000"/>
          <w:sz w:val="24"/>
          <w:szCs w:val="24"/>
          <w:lang w:eastAsia="pt-BR"/>
        </w:rPr>
        <w:t>hialuronato</w:t>
      </w:r>
      <w:proofErr w:type="spellEnd"/>
      <w:r>
        <w:rPr>
          <w:rFonts w:ascii="Arial" w:eastAsia="Times New Roman" w:hAnsi="Arial" w:cs="Arial"/>
          <w:color w:val="000000"/>
          <w:sz w:val="24"/>
          <w:szCs w:val="24"/>
          <w:lang w:eastAsia="pt-BR"/>
        </w:rPr>
        <w:t xml:space="preserve"> de sódio com uma concentração 1,5% deste composto. Seu uso tem entre suas aplicações mais rotineiras a visco suplementação das articulações tanto em terapias ambulatoriais quanto no </w:t>
      </w:r>
      <w:proofErr w:type="spellStart"/>
      <w:proofErr w:type="gramStart"/>
      <w:r w:rsidR="00D42C2E">
        <w:rPr>
          <w:rFonts w:ascii="Arial" w:eastAsia="Times New Roman" w:hAnsi="Arial" w:cs="Arial"/>
          <w:color w:val="000000"/>
          <w:sz w:val="24"/>
          <w:szCs w:val="24"/>
          <w:lang w:eastAsia="pt-BR"/>
        </w:rPr>
        <w:t>intra-operatório</w:t>
      </w:r>
      <w:proofErr w:type="spellEnd"/>
      <w:proofErr w:type="gramEnd"/>
      <w:r>
        <w:rPr>
          <w:rFonts w:ascii="Arial" w:eastAsia="Times New Roman" w:hAnsi="Arial" w:cs="Arial"/>
          <w:color w:val="000000"/>
          <w:sz w:val="24"/>
          <w:szCs w:val="24"/>
          <w:lang w:eastAsia="pt-BR"/>
        </w:rPr>
        <w:t xml:space="preserve"> em pacientes de artroscopia para minimizar os riscos de</w:t>
      </w:r>
      <w:r w:rsidR="00D42C2E">
        <w:rPr>
          <w:rFonts w:ascii="Arial" w:eastAsia="Times New Roman" w:hAnsi="Arial" w:cs="Arial"/>
          <w:color w:val="000000"/>
          <w:sz w:val="24"/>
          <w:szCs w:val="24"/>
          <w:lang w:eastAsia="pt-BR"/>
        </w:rPr>
        <w:t xml:space="preserve"> novas</w:t>
      </w:r>
      <w:r>
        <w:rPr>
          <w:rFonts w:ascii="Arial" w:eastAsia="Times New Roman" w:hAnsi="Arial" w:cs="Arial"/>
          <w:color w:val="000000"/>
          <w:sz w:val="24"/>
          <w:szCs w:val="24"/>
          <w:lang w:eastAsia="pt-BR"/>
        </w:rPr>
        <w:t xml:space="preserve"> lesões</w:t>
      </w:r>
      <w:r w:rsidR="00D42C2E">
        <w:rPr>
          <w:rFonts w:ascii="Arial" w:eastAsia="Times New Roman" w:hAnsi="Arial" w:cs="Arial"/>
          <w:color w:val="000000"/>
          <w:sz w:val="24"/>
          <w:szCs w:val="24"/>
          <w:lang w:eastAsia="pt-BR"/>
        </w:rPr>
        <w:t xml:space="preserve"> na articulação</w:t>
      </w:r>
      <w:r>
        <w:rPr>
          <w:rFonts w:ascii="Arial" w:eastAsia="Times New Roman" w:hAnsi="Arial" w:cs="Arial"/>
          <w:color w:val="000000"/>
          <w:sz w:val="24"/>
          <w:szCs w:val="24"/>
          <w:lang w:eastAsia="pt-BR"/>
        </w:rPr>
        <w:t xml:space="preserve"> em pacientes submetidos à esse procedimento. Como diferenciais o Opus Joint tem peso molecular próximo ao </w:t>
      </w:r>
      <w:r w:rsidR="00D42C2E">
        <w:rPr>
          <w:rFonts w:ascii="Arial" w:eastAsia="Times New Roman" w:hAnsi="Arial" w:cs="Arial"/>
          <w:color w:val="000000"/>
          <w:sz w:val="24"/>
          <w:szCs w:val="24"/>
          <w:lang w:eastAsia="pt-BR"/>
        </w:rPr>
        <w:t>líquido</w:t>
      </w:r>
      <w:r>
        <w:rPr>
          <w:rFonts w:ascii="Arial" w:eastAsia="Times New Roman" w:hAnsi="Arial" w:cs="Arial"/>
          <w:color w:val="000000"/>
          <w:sz w:val="24"/>
          <w:szCs w:val="24"/>
          <w:lang w:eastAsia="pt-BR"/>
        </w:rPr>
        <w:t xml:space="preserve"> sinovial autólogo em 5.4 mega </w:t>
      </w:r>
      <w:proofErr w:type="spellStart"/>
      <w:r>
        <w:rPr>
          <w:rFonts w:ascii="Arial" w:eastAsia="Times New Roman" w:hAnsi="Arial" w:cs="Arial"/>
          <w:color w:val="000000"/>
          <w:sz w:val="24"/>
          <w:szCs w:val="24"/>
          <w:lang w:eastAsia="pt-BR"/>
        </w:rPr>
        <w:t>Daltons</w:t>
      </w:r>
      <w:proofErr w:type="spellEnd"/>
      <w:r>
        <w:rPr>
          <w:rFonts w:ascii="Arial" w:eastAsia="Times New Roman" w:hAnsi="Arial" w:cs="Arial"/>
          <w:color w:val="000000"/>
          <w:sz w:val="24"/>
          <w:szCs w:val="24"/>
          <w:lang w:eastAsia="pt-BR"/>
        </w:rPr>
        <w:t xml:space="preserve"> (que é bem superior </w:t>
      </w:r>
      <w:r w:rsidR="00D42C2E">
        <w:rPr>
          <w:rFonts w:ascii="Arial" w:eastAsia="Times New Roman" w:hAnsi="Arial" w:cs="Arial"/>
          <w:color w:val="000000"/>
          <w:sz w:val="24"/>
          <w:szCs w:val="24"/>
          <w:lang w:eastAsia="pt-BR"/>
        </w:rPr>
        <w:t xml:space="preserve">a maioria dos ácidos no mercado </w:t>
      </w:r>
      <w:r>
        <w:rPr>
          <w:rFonts w:ascii="Arial" w:eastAsia="Times New Roman" w:hAnsi="Arial" w:cs="Arial"/>
          <w:color w:val="000000"/>
          <w:sz w:val="24"/>
          <w:szCs w:val="24"/>
          <w:lang w:eastAsia="pt-BR"/>
        </w:rPr>
        <w:t>e por conta diss</w:t>
      </w:r>
      <w:r w:rsidR="00D42C2E">
        <w:rPr>
          <w:rFonts w:ascii="Arial" w:eastAsia="Times New Roman" w:hAnsi="Arial" w:cs="Arial"/>
          <w:color w:val="000000"/>
          <w:sz w:val="24"/>
          <w:szCs w:val="24"/>
          <w:lang w:eastAsia="pt-BR"/>
        </w:rPr>
        <w:t>o</w:t>
      </w:r>
      <w:r>
        <w:rPr>
          <w:rFonts w:ascii="Arial" w:eastAsia="Times New Roman" w:hAnsi="Arial" w:cs="Arial"/>
          <w:color w:val="000000"/>
          <w:sz w:val="24"/>
          <w:szCs w:val="24"/>
          <w:lang w:eastAsia="pt-BR"/>
        </w:rPr>
        <w:t xml:space="preserve"> permanece bem mais tempo na articulação</w:t>
      </w:r>
      <w:r w:rsidR="00D42C2E">
        <w:rPr>
          <w:rFonts w:ascii="Arial" w:eastAsia="Times New Roman" w:hAnsi="Arial" w:cs="Arial"/>
          <w:color w:val="000000"/>
          <w:sz w:val="24"/>
          <w:szCs w:val="24"/>
          <w:lang w:eastAsia="pt-BR"/>
        </w:rPr>
        <w:t xml:space="preserve">. A </w:t>
      </w:r>
      <w:r>
        <w:rPr>
          <w:rFonts w:ascii="Arial" w:eastAsia="Times New Roman" w:hAnsi="Arial" w:cs="Arial"/>
          <w:color w:val="000000"/>
          <w:sz w:val="24"/>
          <w:szCs w:val="24"/>
          <w:lang w:eastAsia="pt-BR"/>
        </w:rPr>
        <w:t>viscosidade dinâmica</w:t>
      </w:r>
      <w:r w:rsidR="00D42C2E">
        <w:rPr>
          <w:rFonts w:ascii="Arial" w:eastAsia="Times New Roman" w:hAnsi="Arial" w:cs="Arial"/>
          <w:color w:val="000000"/>
          <w:sz w:val="24"/>
          <w:szCs w:val="24"/>
          <w:lang w:eastAsia="pt-BR"/>
        </w:rPr>
        <w:t xml:space="preserve"> é</w:t>
      </w:r>
      <w:r>
        <w:rPr>
          <w:rFonts w:ascii="Arial" w:eastAsia="Times New Roman" w:hAnsi="Arial" w:cs="Arial"/>
          <w:color w:val="000000"/>
          <w:sz w:val="24"/>
          <w:szCs w:val="24"/>
          <w:lang w:eastAsia="pt-BR"/>
        </w:rPr>
        <w:t xml:space="preserve"> de 135 pascal o que confere a ele a ideal lubrificação e por um tempo próximo a um ano </w:t>
      </w:r>
      <w:r w:rsidR="00D42C2E">
        <w:rPr>
          <w:rFonts w:ascii="Arial" w:eastAsia="Times New Roman" w:hAnsi="Arial" w:cs="Arial"/>
          <w:color w:val="000000"/>
          <w:sz w:val="24"/>
          <w:szCs w:val="24"/>
          <w:lang w:eastAsia="pt-BR"/>
        </w:rPr>
        <w:t xml:space="preserve">de duração </w:t>
      </w:r>
      <w:r>
        <w:rPr>
          <w:rFonts w:ascii="Arial" w:eastAsia="Times New Roman" w:hAnsi="Arial" w:cs="Arial"/>
          <w:color w:val="000000"/>
          <w:sz w:val="24"/>
          <w:szCs w:val="24"/>
          <w:lang w:eastAsia="pt-BR"/>
        </w:rPr>
        <w:t xml:space="preserve">após sua aplicação. Outra importante característica desse </w:t>
      </w:r>
      <w:proofErr w:type="spellStart"/>
      <w:r>
        <w:rPr>
          <w:rFonts w:ascii="Arial" w:eastAsia="Times New Roman" w:hAnsi="Arial" w:cs="Arial"/>
          <w:color w:val="000000"/>
          <w:sz w:val="24"/>
          <w:szCs w:val="24"/>
          <w:lang w:eastAsia="pt-BR"/>
        </w:rPr>
        <w:t>hialuronato</w:t>
      </w:r>
      <w:proofErr w:type="spellEnd"/>
      <w:r>
        <w:rPr>
          <w:rFonts w:ascii="Arial" w:eastAsia="Times New Roman" w:hAnsi="Arial" w:cs="Arial"/>
          <w:color w:val="000000"/>
          <w:sz w:val="24"/>
          <w:szCs w:val="24"/>
          <w:lang w:eastAsia="pt-BR"/>
        </w:rPr>
        <w:t xml:space="preserve"> de sódio é o fato de ele receber uma </w:t>
      </w:r>
      <w:proofErr w:type="spellStart"/>
      <w:r>
        <w:rPr>
          <w:rFonts w:ascii="Arial" w:eastAsia="Times New Roman" w:hAnsi="Arial" w:cs="Arial"/>
          <w:color w:val="000000"/>
          <w:sz w:val="24"/>
          <w:szCs w:val="24"/>
          <w:lang w:eastAsia="pt-BR"/>
        </w:rPr>
        <w:t>cross</w:t>
      </w:r>
      <w:proofErr w:type="spellEnd"/>
      <w:r>
        <w:rPr>
          <w:rFonts w:ascii="Arial" w:eastAsia="Times New Roman" w:hAnsi="Arial" w:cs="Arial"/>
          <w:color w:val="000000"/>
          <w:sz w:val="24"/>
          <w:szCs w:val="24"/>
          <w:lang w:eastAsia="pt-BR"/>
        </w:rPr>
        <w:t xml:space="preserve"> link </w:t>
      </w:r>
      <w:r w:rsidR="00550A75">
        <w:rPr>
          <w:rFonts w:ascii="Arial" w:eastAsia="Times New Roman" w:hAnsi="Arial" w:cs="Arial"/>
          <w:color w:val="000000"/>
          <w:sz w:val="24"/>
          <w:szCs w:val="24"/>
          <w:lang w:eastAsia="pt-BR"/>
        </w:rPr>
        <w:t xml:space="preserve">feito por um composto </w:t>
      </w:r>
      <w:r>
        <w:rPr>
          <w:rFonts w:ascii="Arial" w:eastAsia="Times New Roman" w:hAnsi="Arial" w:cs="Arial"/>
          <w:color w:val="000000"/>
          <w:sz w:val="24"/>
          <w:szCs w:val="24"/>
          <w:lang w:eastAsia="pt-BR"/>
        </w:rPr>
        <w:t xml:space="preserve">bem mais moderno e que evita irritações </w:t>
      </w:r>
      <w:proofErr w:type="gramStart"/>
      <w:r>
        <w:rPr>
          <w:rFonts w:ascii="Arial" w:eastAsia="Times New Roman" w:hAnsi="Arial" w:cs="Arial"/>
          <w:color w:val="000000"/>
          <w:sz w:val="24"/>
          <w:szCs w:val="24"/>
          <w:lang w:eastAsia="pt-BR"/>
        </w:rPr>
        <w:t>na articula</w:t>
      </w:r>
      <w:r w:rsidR="00550A75">
        <w:rPr>
          <w:rFonts w:ascii="Arial" w:eastAsia="Times New Roman" w:hAnsi="Arial" w:cs="Arial"/>
          <w:color w:val="000000"/>
          <w:sz w:val="24"/>
          <w:szCs w:val="24"/>
          <w:lang w:eastAsia="pt-BR"/>
        </w:rPr>
        <w:t>ções</w:t>
      </w:r>
      <w:proofErr w:type="gramEnd"/>
      <w:r w:rsidR="00550A75">
        <w:rPr>
          <w:rFonts w:ascii="Arial" w:eastAsia="Times New Roman" w:hAnsi="Arial" w:cs="Arial"/>
          <w:color w:val="000000"/>
          <w:sz w:val="24"/>
          <w:szCs w:val="24"/>
          <w:lang w:eastAsia="pt-BR"/>
        </w:rPr>
        <w:t>.</w:t>
      </w:r>
      <w:r>
        <w:rPr>
          <w:rFonts w:ascii="Arial" w:eastAsia="Times New Roman" w:hAnsi="Arial" w:cs="Arial"/>
          <w:color w:val="000000"/>
          <w:sz w:val="24"/>
          <w:szCs w:val="24"/>
          <w:lang w:eastAsia="pt-BR"/>
        </w:rPr>
        <w:t xml:space="preserve"> Há ainda uma importante característica do Opus Joint por ser um produto totalmente livre de proteínas aviárias que podem levar à sinovite. </w:t>
      </w:r>
    </w:p>
    <w:p w14:paraId="53EF2E82" w14:textId="77777777" w:rsidR="009F05F3" w:rsidRDefault="009F05F3" w:rsidP="009F05F3">
      <w:pPr>
        <w:ind w:firstLine="708"/>
        <w:jc w:val="both"/>
        <w:rPr>
          <w:rFonts w:ascii="Arial" w:eastAsia="Times New Roman" w:hAnsi="Arial" w:cs="Arial"/>
          <w:color w:val="000000"/>
          <w:sz w:val="24"/>
          <w:szCs w:val="24"/>
          <w:lang w:eastAsia="pt-BR"/>
        </w:rPr>
      </w:pPr>
      <w:r>
        <w:rPr>
          <w:rFonts w:ascii="Arial" w:eastAsia="Times New Roman" w:hAnsi="Arial" w:cs="Arial"/>
          <w:color w:val="000000"/>
          <w:sz w:val="24"/>
          <w:szCs w:val="24"/>
          <w:lang w:eastAsia="pt-BR"/>
        </w:rPr>
        <w:t>Para referendar tais características vale demonstrar referencias bibliográficas que ajudam a demonstrar a importância de tais características como segue:</w:t>
      </w:r>
    </w:p>
    <w:p w14:paraId="21B3D075" w14:textId="0A50CBFC" w:rsidR="00550A75" w:rsidRDefault="00550A75" w:rsidP="00424C75">
      <w:pPr>
        <w:ind w:firstLine="708"/>
        <w:jc w:val="both"/>
        <w:rPr>
          <w:rFonts w:ascii="Arial" w:eastAsia="Times New Roman" w:hAnsi="Arial" w:cs="Arial"/>
          <w:color w:val="000000"/>
          <w:sz w:val="24"/>
          <w:szCs w:val="24"/>
          <w:lang w:eastAsia="pt-BR"/>
        </w:rPr>
      </w:pPr>
    </w:p>
    <w:p w14:paraId="1F8F2061" w14:textId="77777777" w:rsidR="00550A75" w:rsidRPr="00B44ACF" w:rsidRDefault="00550A75" w:rsidP="00550A75">
      <w:pPr>
        <w:spacing w:line="360" w:lineRule="auto"/>
        <w:jc w:val="both"/>
        <w:rPr>
          <w:rFonts w:ascii="Times New Roman" w:eastAsia="Calibri" w:hAnsi="Times New Roman" w:cs="Times New Roman"/>
          <w:b/>
          <w:bCs/>
        </w:rPr>
      </w:pPr>
      <w:r>
        <w:rPr>
          <w:rFonts w:ascii="Times New Roman" w:eastAsia="Calibri" w:hAnsi="Times New Roman" w:cs="Times New Roman"/>
          <w:b/>
          <w:bCs/>
        </w:rPr>
        <w:t xml:space="preserve">→ </w:t>
      </w:r>
      <w:r w:rsidRPr="00B44ACF">
        <w:rPr>
          <w:rFonts w:ascii="Times New Roman" w:eastAsia="Calibri" w:hAnsi="Times New Roman" w:cs="Times New Roman"/>
          <w:b/>
          <w:bCs/>
        </w:rPr>
        <w:t>Concentração</w:t>
      </w:r>
    </w:p>
    <w:p w14:paraId="58AE2DDB" w14:textId="53B7F63C" w:rsidR="00550A75" w:rsidRDefault="00550A75" w:rsidP="00550A75">
      <w:pPr>
        <w:ind w:firstLine="708"/>
        <w:jc w:val="both"/>
        <w:rPr>
          <w:rFonts w:ascii="Times New Roman" w:eastAsia="Calibri" w:hAnsi="Times New Roman" w:cs="Times New Roman"/>
        </w:rPr>
      </w:pPr>
      <w:r w:rsidRPr="00B44ACF">
        <w:rPr>
          <w:rFonts w:ascii="Times New Roman" w:eastAsia="Calibri" w:hAnsi="Times New Roman" w:cs="Times New Roman"/>
        </w:rPr>
        <w:t xml:space="preserve">A concentração de ácido hialurônico no organismo varia principalmente de acordo com </w:t>
      </w:r>
      <w:r>
        <w:rPr>
          <w:rFonts w:ascii="Times New Roman" w:eastAsia="Calibri" w:hAnsi="Times New Roman" w:cs="Times New Roman"/>
        </w:rPr>
        <w:t xml:space="preserve">a </w:t>
      </w:r>
      <w:r w:rsidRPr="00B44ACF">
        <w:rPr>
          <w:rFonts w:ascii="Times New Roman" w:eastAsia="Calibri" w:hAnsi="Times New Roman" w:cs="Times New Roman"/>
        </w:rPr>
        <w:t>predominância de casos associados a desgaste na articulação. No corpo humano essa concentração varia de 1,09 -1,20 g/L em artic</w:t>
      </w:r>
      <w:r>
        <w:rPr>
          <w:rFonts w:ascii="Times New Roman" w:eastAsia="Calibri" w:hAnsi="Times New Roman" w:cs="Times New Roman"/>
        </w:rPr>
        <w:t xml:space="preserve">ulações contendo artrite </w:t>
      </w:r>
      <w:proofErr w:type="spellStart"/>
      <w:r>
        <w:rPr>
          <w:rFonts w:ascii="Times New Roman" w:eastAsia="Calibri" w:hAnsi="Times New Roman" w:cs="Times New Roman"/>
        </w:rPr>
        <w:t>reumató</w:t>
      </w:r>
      <w:r w:rsidRPr="00B44ACF">
        <w:rPr>
          <w:rFonts w:ascii="Times New Roman" w:eastAsia="Calibri" w:hAnsi="Times New Roman" w:cs="Times New Roman"/>
        </w:rPr>
        <w:t>ide</w:t>
      </w:r>
      <w:proofErr w:type="spellEnd"/>
      <w:r w:rsidRPr="00B44ACF">
        <w:rPr>
          <w:rFonts w:ascii="Times New Roman" w:eastAsia="Calibri" w:hAnsi="Times New Roman" w:cs="Times New Roman"/>
        </w:rPr>
        <w:t xml:space="preserve">, e em articulações normais de 1,45 – 3,12 g/L </w:t>
      </w:r>
      <w:r>
        <w:rPr>
          <w:rFonts w:ascii="Times New Roman" w:eastAsia="Calibri" w:hAnsi="Times New Roman" w:cs="Times New Roman"/>
        </w:rPr>
        <w:fldChar w:fldCharType="begin" w:fldLock="1"/>
      </w:r>
      <w:r>
        <w:rPr>
          <w:rFonts w:ascii="Times New Roman" w:eastAsia="Calibri" w:hAnsi="Times New Roman" w:cs="Times New Roman"/>
        </w:rPr>
        <w:instrText>ADDIN CSL_CITATION {"citationItems":[{"id":"ITEM-1","itemData":{"DOI":"10.1136/ard.44.12.817","ISSN":"00034967","PMID":"4083937","abstract":"The molecular weight distribution of hyaluronate (HA) in synovial fluid (SF) from 10 patients with rheumatoid arthritis (RA), from six patients with other joint disorders, and from five recently deceased persons without joint affections was investigated by a gel chromatographic procedure. A new and highly specific radioassay was used for determination of the HA concentration in the effluent from the chromatographic column, and this allowed analyses on 0.5 ml or less of untreated synovial fluid. The results confirmed the findings by others that the weight-average molecular weight [M(W)] of HA in SF from patients with RA (4.8 x 106) was similar to that in other joint diseases (5.0 x 106) and moderately but significantly (p &lt; 0.001) lower than that of normal SF (7.0 x 106). Furthermore, the molecular weight distribution of HA in the pathological SF was generally broad and varied considerably between individuals. The HA concentration in the pathological SF varied between 0.17 and 1.32 g/l, which is in accordance with previous reports and considerably lower than that of normal SF. Neither the nature of the arthropathy and the extent of the inflammatory process nor the pharmacological treatment had a tendency to influence the HA concentration in the SF, the mean molecular weight of HA, or its molecular weight distribution. Although the concentration of HA in SF drops in joint disease, the total amount of the polysaccharide is greatly enhanced. Also the amount of high molecular weight polysaccharide [M(W) &gt; 6 x 106] is in excess in joint disease. The pathological state is therefore characterised not by lack of high molecular weight hyaluronate but by a dilution of it.","author":[{"dropping-particle":"","family":"Dahl","given":"L. B.","non-dropping-particle":"","parse-names":false,"suffix":""},{"dropping-particle":"","family":"Dahl","given":"I. M.S.","non-dropping-particle":"","parse-names":false,"suffix":""},{"dropping-particle":"","family":"Engstrom-Laurent","given":"A.","non-dropping-particle":"","parse-names":false,"suffix":""},{"dropping-particle":"","family":"Granath","given":"K.","non-dropping-particle":"","parse-names":false,"suffix":""}],"container-title":"Annals of the Rheumatic Diseases","id":"ITEM-1","issue":"12","issued":{"date-parts":[["1985"]]},"page":"817-822","title":"Concentration and molecular weight of sodium hyaluronate in synovial fluid from patients with rheumatoid arthritis and other arthropathies","type":"article-journal","volume":"44"},"uris":["http://www.mendeley.com/documents/?uuid=5b16c227-d3ed-48ad-b694-1f11ffc5016d"]},{"id":"ITEM-2","itemData":{"DOI":"10.1111/dsu.12301","ISSN":"10760512","PMID":"23941624","abstract":"Background Cosmetic procedures are growing ever more common, and the use of soft tissue fillers is increasing. Practicing physicians need to be aware of the biological behavior of these products in tissue to enable them to respond to any safety concerns that their patients raise. Objectives To provide an overview of the metabolism of 1,4-butanediol diglycidyl ether (BDDE)-crosslinked hyaluronic acid (HA) dermal fillers and to examine the safety of the resulting byproducts. Methods A review of available evidence was conducted. Results After reaction with HA, the epoxide groups of BDDE are neutralized, and only trace amounts of unreacted BDDE remain in the product (&lt;2 parts per million). When crosslinked HA, uncrosslinked HA, and unreacted BDDE degrade, they break down into harmless byproducts or into byproducts that are identical to substances already found in the skin. Conclusion Clinical and biocompatibility data from longer than 15 years support the favorable clinical safety profile of BDDE-crosslinked HA and its degradation products. Given the strength of the empirical evidence, physicians should be confident in offering these products to their patients. © 2013 by the American Society for Dermatologic Surgery, Inc. Published by Wiley Periodicals, Inc.","author":[{"dropping-particle":"","family":"Boulle","given":"Koenraad","non-dropping-particle":"De","parse-names":false,"suffix":""},{"dropping-particle":"","family":"Glogau","given":"Richard","non-dropping-particle":"","parse-names":false,"suffix":""},{"dropping-particle":"","family":"Kono","given":"Taro","non-dropping-particle":"","parse-names":false,"suffix":""},{"dropping-particle":"","family":"Nathan","given":"Myooran","non-dropping-particle":"","parse-names":false,"suffix":""},{"dropping-particle":"","family":"Tezel","given":"Ahmet","non-dropping-particle":"","parse-names":false,"suffix":""},{"dropping-particle":"","family":"Roca-Martinez","given":"Jean Xavier","non-dropping-particle":"","parse-names":false,"suffix":""},{"dropping-particle":"","family":"Paliwal","given":"Sumit","non-dropping-particle":"","parse-names":false,"suffix":""},{"dropping-particle":"","family":"Stroumpoulis","given":"Dimitrios","non-dropping-particle":"","parse-names":false,"suffix":""}],"container-title":"Dermatologic Surgery","id":"ITEM-2","issue":"12","issued":{"date-parts":[["2013"]]},"page":"1758-1766","title":"A review of the metabolism of 1,4-butanediol diglycidyl ether-crosslinked hyaluronic acid dermal fillers","type":"article-journal","volume":"39"},"uris":["http://www.mendeley.com/documents/?uuid=fd77c230-30f3-4de7-86a1-5f82af7d39e9"]}],"mendeley":{"formattedCitation":"(DAHL et al., 1985; DE BOULLE et al., 2013)","plainTextFormattedCitation":"(DAHL et al., 1985; DE BOULLE et al., 2013)","previouslyFormattedCitation":"(DAHL et al., 1985; DE BOULLE et al., 2013)"},"properties":{"noteIndex":0},"schema":"https://github.com/citation-style-language/schema/raw/master/csl-citation.json"}</w:instrText>
      </w:r>
      <w:r>
        <w:rPr>
          <w:rFonts w:ascii="Times New Roman" w:eastAsia="Calibri" w:hAnsi="Times New Roman" w:cs="Times New Roman"/>
        </w:rPr>
        <w:fldChar w:fldCharType="separate"/>
      </w:r>
      <w:r w:rsidRPr="009574CA">
        <w:rPr>
          <w:rFonts w:ascii="Times New Roman" w:eastAsia="Calibri" w:hAnsi="Times New Roman" w:cs="Times New Roman"/>
          <w:noProof/>
        </w:rPr>
        <w:t>(DAHL et al., 1985; DE BOULLE et al., 2013)</w:t>
      </w:r>
      <w:r>
        <w:rPr>
          <w:rFonts w:ascii="Times New Roman" w:eastAsia="Calibri" w:hAnsi="Times New Roman" w:cs="Times New Roman"/>
        </w:rPr>
        <w:fldChar w:fldCharType="end"/>
      </w:r>
    </w:p>
    <w:p w14:paraId="536E35C9" w14:textId="46123FA1" w:rsidR="00550A75" w:rsidRDefault="00550A75" w:rsidP="00550A75">
      <w:pPr>
        <w:ind w:firstLine="708"/>
        <w:jc w:val="both"/>
        <w:rPr>
          <w:rFonts w:ascii="Times New Roman" w:eastAsia="Calibri" w:hAnsi="Times New Roman" w:cs="Times New Roman"/>
        </w:rPr>
      </w:pPr>
    </w:p>
    <w:p w14:paraId="0938BC1E" w14:textId="77777777" w:rsidR="00321654" w:rsidRPr="00B44ACF" w:rsidRDefault="00321654" w:rsidP="00321654">
      <w:pPr>
        <w:spacing w:line="360" w:lineRule="auto"/>
        <w:jc w:val="both"/>
        <w:rPr>
          <w:rFonts w:ascii="Times New Roman" w:eastAsia="Calibri" w:hAnsi="Times New Roman" w:cs="Times New Roman"/>
          <w:b/>
          <w:bCs/>
        </w:rPr>
      </w:pPr>
      <w:r>
        <w:rPr>
          <w:rFonts w:ascii="Times New Roman" w:eastAsia="Calibri" w:hAnsi="Times New Roman" w:cs="Times New Roman"/>
          <w:b/>
          <w:bCs/>
        </w:rPr>
        <w:t xml:space="preserve">→ </w:t>
      </w:r>
      <w:r w:rsidRPr="00B44ACF">
        <w:rPr>
          <w:rFonts w:ascii="Times New Roman" w:eastAsia="Calibri" w:hAnsi="Times New Roman" w:cs="Times New Roman"/>
          <w:b/>
          <w:bCs/>
        </w:rPr>
        <w:t>Peso molecular</w:t>
      </w:r>
    </w:p>
    <w:p w14:paraId="609588F0" w14:textId="0E508338" w:rsidR="00321654" w:rsidRPr="00B44ACF" w:rsidRDefault="00321654" w:rsidP="00321654">
      <w:pPr>
        <w:spacing w:after="0" w:line="360" w:lineRule="auto"/>
        <w:ind w:firstLine="708"/>
        <w:jc w:val="both"/>
        <w:rPr>
          <w:rFonts w:ascii="Times New Roman" w:eastAsia="Calibri" w:hAnsi="Times New Roman" w:cs="Times New Roman"/>
        </w:rPr>
      </w:pPr>
      <w:r w:rsidRPr="00B44ACF">
        <w:rPr>
          <w:rFonts w:ascii="Times New Roman" w:eastAsia="Calibri" w:hAnsi="Times New Roman" w:cs="Times New Roman"/>
        </w:rPr>
        <w:t xml:space="preserve">O peso molecular do </w:t>
      </w:r>
      <w:proofErr w:type="spellStart"/>
      <w:r w:rsidRPr="00B44ACF">
        <w:rPr>
          <w:rFonts w:ascii="Times New Roman" w:eastAsia="Calibri" w:hAnsi="Times New Roman" w:cs="Times New Roman"/>
        </w:rPr>
        <w:t>hialuronato</w:t>
      </w:r>
      <w:proofErr w:type="spellEnd"/>
      <w:r w:rsidRPr="00B44ACF">
        <w:rPr>
          <w:rFonts w:ascii="Times New Roman" w:eastAsia="Calibri" w:hAnsi="Times New Roman" w:cs="Times New Roman"/>
        </w:rPr>
        <w:t xml:space="preserve"> de sódio, proveniente de diferentes fontes é altamente variável no </w:t>
      </w:r>
      <w:r w:rsidR="00264A3D" w:rsidRPr="00B44ACF">
        <w:rPr>
          <w:rFonts w:ascii="Times New Roman" w:eastAsia="Calibri" w:hAnsi="Times New Roman" w:cs="Times New Roman"/>
        </w:rPr>
        <w:t>intervalo,</w:t>
      </w:r>
      <w:r w:rsidR="009F05F3">
        <w:rPr>
          <w:rFonts w:ascii="Times New Roman" w:eastAsia="Calibri" w:hAnsi="Times New Roman" w:cs="Times New Roman"/>
        </w:rPr>
        <w:t xml:space="preserve"> o que foi por nós escolhido tem peso de 5.4 mega </w:t>
      </w:r>
      <w:proofErr w:type="spellStart"/>
      <w:r w:rsidR="009F05F3">
        <w:rPr>
          <w:rFonts w:ascii="Times New Roman" w:eastAsia="Calibri" w:hAnsi="Times New Roman" w:cs="Times New Roman"/>
        </w:rPr>
        <w:t>daltons</w:t>
      </w:r>
      <w:proofErr w:type="spellEnd"/>
      <w:r w:rsidRPr="00B44ACF">
        <w:rPr>
          <w:rFonts w:ascii="Times New Roman" w:eastAsia="Calibri" w:hAnsi="Times New Roman" w:cs="Times New Roman"/>
        </w:rPr>
        <w:t xml:space="preserve">. Em </w:t>
      </w:r>
      <w:r>
        <w:rPr>
          <w:rFonts w:ascii="Times New Roman" w:eastAsia="Calibri" w:hAnsi="Times New Roman" w:cs="Times New Roman"/>
        </w:rPr>
        <w:t xml:space="preserve">articulações com artrite </w:t>
      </w:r>
      <w:proofErr w:type="spellStart"/>
      <w:r>
        <w:rPr>
          <w:rFonts w:ascii="Times New Roman" w:eastAsia="Calibri" w:hAnsi="Times New Roman" w:cs="Times New Roman"/>
        </w:rPr>
        <w:t>reumató</w:t>
      </w:r>
      <w:r w:rsidRPr="00B44ACF">
        <w:rPr>
          <w:rFonts w:ascii="Times New Roman" w:eastAsia="Calibri" w:hAnsi="Times New Roman" w:cs="Times New Roman"/>
        </w:rPr>
        <w:t>ide</w:t>
      </w:r>
      <w:proofErr w:type="spellEnd"/>
      <w:r w:rsidRPr="00B44ACF">
        <w:rPr>
          <w:rFonts w:ascii="Times New Roman" w:eastAsia="Calibri" w:hAnsi="Times New Roman" w:cs="Times New Roman"/>
        </w:rPr>
        <w:t xml:space="preserve"> o ácido hialurônico se apresenta com baixo peso molecular (1,2 – 4,5 </w:t>
      </w:r>
      <w:proofErr w:type="spellStart"/>
      <w:r w:rsidRPr="00B44ACF">
        <w:rPr>
          <w:rFonts w:ascii="Times New Roman" w:eastAsia="Calibri" w:hAnsi="Times New Roman" w:cs="Times New Roman"/>
        </w:rPr>
        <w:t>MDa</w:t>
      </w:r>
      <w:proofErr w:type="spellEnd"/>
      <w:r w:rsidRPr="00B44ACF">
        <w:rPr>
          <w:rFonts w:ascii="Times New Roman" w:eastAsia="Calibri" w:hAnsi="Times New Roman" w:cs="Times New Roman"/>
        </w:rPr>
        <w:t xml:space="preserve">), já em articulações de indivíduos jovens é encontrado no intervalo de 1,6 – 10,9 </w:t>
      </w:r>
      <w:proofErr w:type="spellStart"/>
      <w:r w:rsidRPr="00B44ACF">
        <w:rPr>
          <w:rFonts w:ascii="Times New Roman" w:eastAsia="Calibri" w:hAnsi="Times New Roman" w:cs="Times New Roman"/>
        </w:rPr>
        <w:t>MDa</w:t>
      </w:r>
      <w:proofErr w:type="spellEnd"/>
      <w:r w:rsidRPr="00B44ACF">
        <w:rPr>
          <w:rFonts w:ascii="Times New Roman" w:eastAsia="Calibri" w:hAnsi="Times New Roman" w:cs="Times New Roman"/>
        </w:rPr>
        <w:t xml:space="preserve"> </w:t>
      </w:r>
      <w:r>
        <w:rPr>
          <w:rFonts w:ascii="Times New Roman" w:eastAsia="Calibri" w:hAnsi="Times New Roman" w:cs="Times New Roman"/>
        </w:rPr>
        <w:lastRenderedPageBreak/>
        <w:fldChar w:fldCharType="begin" w:fldLock="1"/>
      </w:r>
      <w:r>
        <w:rPr>
          <w:rFonts w:ascii="Times New Roman" w:eastAsia="Calibri" w:hAnsi="Times New Roman" w:cs="Times New Roman"/>
        </w:rPr>
        <w:instrText>ADDIN CSL_CITATION {"citationItems":[{"id":"ITEM-1","itemData":{"DOI":"10.1136/ard.44.12.817","ISSN":"00034967","PMID":"4083937","abstract":"The molecular weight distribution of hyaluronate (HA) in synovial fluid (SF) from 10 patients with rheumatoid arthritis (RA), from six patients with other joint disorders, and from five recently deceased persons without joint affections was investigated by a gel chromatographic procedure. A new and highly specific radioassay was used for determination of the HA concentration in the effluent from the chromatographic column, and this allowed analyses on 0.5 ml or less of untreated synovial fluid. The results confirmed the findings by others that the weight-average molecular weight [M(W)] of HA in SF from patients with RA (4.8 x 106) was similar to that in other joint diseases (5.0 x 106) and moderately but significantly (p &lt; 0.001) lower than that of normal SF (7.0 x 106). Furthermore, the molecular weight distribution of HA in the pathological SF was generally broad and varied considerably between individuals. The HA concentration in the pathological SF varied between 0.17 and 1.32 g/l, which is in accordance with previous reports and considerably lower than that of normal SF. Neither the nature of the arthropathy and the extent of the inflammatory process nor the pharmacological treatment had a tendency to influence the HA concentration in the SF, the mean molecular weight of HA, or its molecular weight distribution. Although the concentration of HA in SF drops in joint disease, the total amount of the polysaccharide is greatly enhanced. Also the amount of high molecular weight polysaccharide [M(W) &gt; 6 x 106] is in excess in joint disease. The pathological state is therefore characterised not by lack of high molecular weight hyaluronate but by a dilution of it.","author":[{"dropping-particle":"","family":"Dahl","given":"L. B.","non-dropping-particle":"","parse-names":false,"suffix":""},{"dropping-particle":"","family":"Dahl","given":"I. M.S.","non-dropping-particle":"","parse-names":false,"suffix":""},{"dropping-particle":"","family":"Engstrom-Laurent","given":"A.","non-dropping-particle":"","parse-names":false,"suffix":""},{"dropping-particle":"","family":"Granath","given":"K.","non-dropping-particle":"","parse-names":false,"suffix":""}],"container-title":"Annals of the Rheumatic Diseases","id":"ITEM-1","issue":"12","issued":{"date-parts":[["1985"]]},"page":"817-822","title":"Concentration and molecular weight of sodium hyaluronate in synovial fluid from patients with rheumatoid arthritis and other arthropathies","type":"article-journal","volume":"44"},"uris":["http://www.mendeley.com/documents/?uuid=5b16c227-d3ed-48ad-b694-1f11ffc5016d"]}],"mendeley":{"formattedCitation":"(DAHL et al., 1985)","plainTextFormattedCitation":"(DAHL et al., 1985)","previouslyFormattedCitation":"(DAHL et al., 1985)"},"properties":{"noteIndex":0},"schema":"https://github.com/citation-style-language/schema/raw/master/csl-citation.json"}</w:instrText>
      </w:r>
      <w:r>
        <w:rPr>
          <w:rFonts w:ascii="Times New Roman" w:eastAsia="Calibri" w:hAnsi="Times New Roman" w:cs="Times New Roman"/>
        </w:rPr>
        <w:fldChar w:fldCharType="separate"/>
      </w:r>
      <w:r w:rsidRPr="009574CA">
        <w:rPr>
          <w:rFonts w:ascii="Times New Roman" w:eastAsia="Calibri" w:hAnsi="Times New Roman" w:cs="Times New Roman"/>
          <w:noProof/>
        </w:rPr>
        <w:t>(DAHL et al., 1985)</w:t>
      </w:r>
      <w:r>
        <w:rPr>
          <w:rFonts w:ascii="Times New Roman" w:eastAsia="Calibri" w:hAnsi="Times New Roman" w:cs="Times New Roman"/>
        </w:rPr>
        <w:fldChar w:fldCharType="end"/>
      </w:r>
      <w:r w:rsidRPr="00B44ACF">
        <w:rPr>
          <w:rFonts w:ascii="Times New Roman" w:eastAsia="Calibri" w:hAnsi="Times New Roman" w:cs="Times New Roman"/>
        </w:rPr>
        <w:t xml:space="preserve">. </w:t>
      </w:r>
      <w:r w:rsidR="009F05F3">
        <w:rPr>
          <w:rFonts w:ascii="Times New Roman" w:eastAsia="Calibri" w:hAnsi="Times New Roman" w:cs="Times New Roman"/>
        </w:rPr>
        <w:t xml:space="preserve">Quanto mais próximo de um equilíbrio entre estes extremos teremos uma terapia mais versátil e duradoura. </w:t>
      </w:r>
    </w:p>
    <w:p w14:paraId="63B3484F" w14:textId="77777777" w:rsidR="00321654" w:rsidRPr="00B44ACF" w:rsidRDefault="00321654" w:rsidP="00321654">
      <w:pPr>
        <w:spacing w:after="0" w:line="360" w:lineRule="auto"/>
        <w:ind w:firstLine="708"/>
        <w:jc w:val="both"/>
        <w:rPr>
          <w:rFonts w:ascii="Times New Roman" w:eastAsia="Calibri" w:hAnsi="Times New Roman" w:cs="Times New Roman"/>
        </w:rPr>
      </w:pPr>
      <w:r w:rsidRPr="00B44ACF">
        <w:rPr>
          <w:rFonts w:ascii="Times New Roman" w:eastAsia="Calibri" w:hAnsi="Times New Roman" w:cs="Times New Roman"/>
        </w:rPr>
        <w:t>De acordo com o aumento da cadeia através das ligações cruzadas, tem-se consequentemente o aumento do peso molecular que irá variar de acordo com os sítios ativos da cadeia que sofreram reação.</w:t>
      </w:r>
    </w:p>
    <w:p w14:paraId="6FE9F8D4" w14:textId="77777777" w:rsidR="00321654" w:rsidRPr="00B44ACF" w:rsidRDefault="00321654" w:rsidP="00321654">
      <w:pPr>
        <w:spacing w:line="360" w:lineRule="auto"/>
        <w:ind w:firstLine="708"/>
        <w:jc w:val="both"/>
        <w:rPr>
          <w:rFonts w:ascii="Times New Roman" w:eastAsia="Calibri" w:hAnsi="Times New Roman" w:cs="Times New Roman"/>
        </w:rPr>
      </w:pPr>
      <w:r>
        <w:rPr>
          <w:rFonts w:ascii="Times New Roman" w:eastAsia="Calibri" w:hAnsi="Times New Roman" w:cs="Times New Roman"/>
        </w:rPr>
        <w:t xml:space="preserve">Altman et al., 2015 </w:t>
      </w:r>
      <w:r w:rsidRPr="00B44ACF">
        <w:rPr>
          <w:rFonts w:ascii="Times New Roman" w:eastAsia="Calibri" w:hAnsi="Times New Roman" w:cs="Times New Roman"/>
        </w:rPr>
        <w:t xml:space="preserve">avaliaram 68 estudos em relação ao peso molecular classificando os produtos em alto peso molecular (≥ 3 </w:t>
      </w:r>
      <w:proofErr w:type="spellStart"/>
      <w:r w:rsidRPr="00B44ACF">
        <w:rPr>
          <w:rFonts w:ascii="Times New Roman" w:eastAsia="Calibri" w:hAnsi="Times New Roman" w:cs="Times New Roman"/>
        </w:rPr>
        <w:t>MDa</w:t>
      </w:r>
      <w:proofErr w:type="spellEnd"/>
      <w:r w:rsidRPr="00B44ACF">
        <w:rPr>
          <w:rFonts w:ascii="Times New Roman" w:eastAsia="Calibri" w:hAnsi="Times New Roman" w:cs="Times New Roman"/>
        </w:rPr>
        <w:t xml:space="preserve">), moderado peso molecular (&lt; 3 e &gt; 1,5 </w:t>
      </w:r>
      <w:proofErr w:type="spellStart"/>
      <w:r w:rsidRPr="00B44ACF">
        <w:rPr>
          <w:rFonts w:ascii="Times New Roman" w:eastAsia="Calibri" w:hAnsi="Times New Roman" w:cs="Times New Roman"/>
        </w:rPr>
        <w:t>MDa</w:t>
      </w:r>
      <w:proofErr w:type="spellEnd"/>
      <w:r w:rsidRPr="00B44ACF">
        <w:rPr>
          <w:rFonts w:ascii="Times New Roman" w:eastAsia="Calibri" w:hAnsi="Times New Roman" w:cs="Times New Roman"/>
        </w:rPr>
        <w:t>) e b</w:t>
      </w:r>
      <w:r>
        <w:rPr>
          <w:rFonts w:ascii="Times New Roman" w:eastAsia="Calibri" w:hAnsi="Times New Roman" w:cs="Times New Roman"/>
        </w:rPr>
        <w:t xml:space="preserve">aixo peso molecular (≤ 1,5 </w:t>
      </w:r>
      <w:proofErr w:type="spellStart"/>
      <w:r>
        <w:rPr>
          <w:rFonts w:ascii="Times New Roman" w:eastAsia="Calibri" w:hAnsi="Times New Roman" w:cs="Times New Roman"/>
        </w:rPr>
        <w:t>MDa</w:t>
      </w:r>
      <w:proofErr w:type="spellEnd"/>
      <w:r>
        <w:rPr>
          <w:rFonts w:ascii="Times New Roman" w:eastAsia="Calibri" w:hAnsi="Times New Roman" w:cs="Times New Roman"/>
        </w:rPr>
        <w:t xml:space="preserve">) </w:t>
      </w:r>
      <w:r>
        <w:rPr>
          <w:rFonts w:ascii="Times New Roman" w:eastAsia="Calibri" w:hAnsi="Times New Roman" w:cs="Times New Roman"/>
        </w:rPr>
        <w:fldChar w:fldCharType="begin" w:fldLock="1"/>
      </w:r>
      <w:r>
        <w:rPr>
          <w:rFonts w:ascii="Times New Roman" w:eastAsia="Calibri" w:hAnsi="Times New Roman" w:cs="Times New Roman"/>
        </w:rPr>
        <w:instrText>ADDIN CSL_CITATION {"citationItems":[{"id":"ITEM-1","itemData":{"DOI":"10.1177/0363546515609599","ISSN":"15523365","PMID":"26578719","abstract":"Background: Knee osteoarthritis (OA) is a common and often disabling joint disorder among adults that may result in impaired activity and daily function. A variety of treatment options are currently available and prescribed for knee OA depending on the severity of the disorder and physician preference. Intra-articular hyaluronic acid (IA-HA) injection is a treatment for knee OA that reportedly provides numerous biochemical and biological benefits, including shock absorption, chondroprotection, and anti-inflammatory effects within the knee. Clarity is needed as to whether the available IA-HA products should be considered for therapy as a group or whether there are significant differences in the products that need to be considered in treatment of OA of the knee. Purpose: To determine whether there are differences in efficacy and safety with respect to intrinsic properties of available IA-HA injections for knee OA. Study Design: Meta-analysis. Methods: A comprehensive literature search of the Medline, EMBASE, and PubMed databases was conducted for all existing randomized trials of IA-HA. The primary outcome measure analyzed was the mean pain score at the reported follow-up nearest to 26 weeks after injection. Pooled efficacy and safety results were recorded for subgroupings of HA product characteristics. Results: A total of 68 studies were included for analysis. Products with an average molecular weight ≥3000 kDa provided favorable efficacy results when compared with products of an average molecular weight &lt;3000 kDa. Products with a molecular weight ≥3000 kDa demonstrated significantly fewer discontinuations due to treatment-related adverse events than did ≤1500 kDa counterparts, while trial discontinuation rates were similar between biological fermentation-derived HA products and avian-derived HA. The results did not demonstrate a significant difference in the occurrence of effusion across molecular weight subgroups. Additionally, biological fermentation-derived HA had a significantly smaller incidence of effusion than did avian-derived HA. Biological fermentation-derived HA demonstrated fewer acute flare-ups at the injection site than did avian-derived HA products, while high-molecular-weight products demonstrated the highest rate of injection site flare-up. Conclusion: Despite similarities, IA-HA products should not be treated as a group, as there are differences in IA-HA products that influence both efficacy and safety. In the available literature, IA-…","author":[{"dropping-particle":"","family":"Altman","given":"Roy D.","non-dropping-particle":"","parse-names":false,"suffix":""},{"dropping-particle":"","family":"Bedi","given":"Asheesh","non-dropping-particle":"","parse-names":false,"suffix":""},{"dropping-particle":"","family":"Karlsson","given":"Jon","non-dropping-particle":"","parse-names":false,"suffix":""},{"dropping-particle":"","family":"Sancheti","given":"Parag","non-dropping-particle":"","parse-names":false,"suffix":""},{"dropping-particle":"","family":"Schemitsch","given":"Emil","non-dropping-particle":"","parse-names":false,"suffix":""}],"container-title":"The American Journal of Sports Medicine","id":"ITEM-1","issue":"8","issued":{"date-parts":[["2015"]]},"page":"2158-2165","title":"Product Differences in Intra-articular Hyaluronic Acids for Osteoarthritis of the Knee","type":"article-journal","volume":"44"},"uris":["http://www.mendeley.com/documents/?uuid=d49d8c7f-47c2-4b56-8661-cc40bf1c285a"]}],"mendeley":{"formattedCitation":"(ALTMAN et al., 2015)","plainTextFormattedCitation":"(ALTMAN et al., 2015)","previouslyFormattedCitation":"(ALTMAN et al., 2015)"},"properties":{"noteIndex":0},"schema":"https://github.com/citation-style-language/schema/raw/master/csl-citation.json"}</w:instrText>
      </w:r>
      <w:r>
        <w:rPr>
          <w:rFonts w:ascii="Times New Roman" w:eastAsia="Calibri" w:hAnsi="Times New Roman" w:cs="Times New Roman"/>
        </w:rPr>
        <w:fldChar w:fldCharType="separate"/>
      </w:r>
      <w:r w:rsidRPr="009574CA">
        <w:rPr>
          <w:rFonts w:ascii="Times New Roman" w:eastAsia="Calibri" w:hAnsi="Times New Roman" w:cs="Times New Roman"/>
          <w:noProof/>
        </w:rPr>
        <w:t>(ALTMAN et al., 2015)</w:t>
      </w:r>
      <w:r>
        <w:rPr>
          <w:rFonts w:ascii="Times New Roman" w:eastAsia="Calibri" w:hAnsi="Times New Roman" w:cs="Times New Roman"/>
        </w:rPr>
        <w:fldChar w:fldCharType="end"/>
      </w:r>
      <w:r>
        <w:rPr>
          <w:rFonts w:ascii="Times New Roman" w:eastAsia="Calibri" w:hAnsi="Times New Roman" w:cs="Times New Roman"/>
        </w:rPr>
        <w:t>.</w:t>
      </w:r>
    </w:p>
    <w:p w14:paraId="6C92C49A" w14:textId="77777777" w:rsidR="009F05F3" w:rsidRPr="00465ACF" w:rsidRDefault="009F05F3" w:rsidP="009F05F3">
      <w:pPr>
        <w:keepNext/>
        <w:spacing w:before="240" w:after="0" w:line="360" w:lineRule="auto"/>
        <w:jc w:val="both"/>
        <w:outlineLvl w:val="0"/>
        <w:rPr>
          <w:rFonts w:ascii="Times New Roman" w:hAnsi="Times New Roman" w:cs="Times New Roman"/>
          <w:b/>
          <w:color w:val="000000"/>
        </w:rPr>
      </w:pPr>
      <w:r w:rsidRPr="00465ACF">
        <w:rPr>
          <w:rFonts w:ascii="Times New Roman" w:hAnsi="Times New Roman" w:cs="Times New Roman"/>
          <w:b/>
          <w:color w:val="000000"/>
        </w:rPr>
        <w:t>MECANISMO DE AÇÃO</w:t>
      </w:r>
    </w:p>
    <w:p w14:paraId="558D45C0" w14:textId="5E2709D5" w:rsidR="009F05F3" w:rsidRPr="00203EAE" w:rsidRDefault="009F05F3" w:rsidP="009F05F3">
      <w:pPr>
        <w:spacing w:line="360" w:lineRule="auto"/>
        <w:ind w:firstLine="708"/>
        <w:jc w:val="both"/>
        <w:rPr>
          <w:rFonts w:ascii="Times New Roman" w:hAnsi="Times New Roman" w:cs="Times New Roman"/>
        </w:rPr>
      </w:pPr>
      <w:r w:rsidRPr="00203EAE">
        <w:rPr>
          <w:rFonts w:ascii="Times New Roman" w:hAnsi="Times New Roman" w:cs="Times New Roman"/>
        </w:rPr>
        <w:t xml:space="preserve">As células sinoviais podem produzir várias citocinas e enzimas associadas a osteoartrite, como a interleucina (IL)-1β, IL-6, IL-8, fator inibidor de leucemia (LIF), fator de necrose tumoral (TNF)- </w:t>
      </w:r>
      <w:r w:rsidRPr="00203EAE">
        <w:rPr>
          <w:rFonts w:ascii="Times New Roman" w:hAnsi="Times New Roman" w:cs="Times New Roman"/>
          <w:color w:val="202122"/>
          <w:shd w:val="clear" w:color="auto" w:fill="FFFFFF"/>
        </w:rPr>
        <w:t>α</w:t>
      </w:r>
      <w:r w:rsidRPr="00203EAE">
        <w:rPr>
          <w:rFonts w:ascii="Times New Roman" w:hAnsi="Times New Roman" w:cs="Times New Roman"/>
        </w:rPr>
        <w:t>, enzima de conversão de TNF-</w:t>
      </w:r>
      <w:r w:rsidRPr="00203EAE">
        <w:rPr>
          <w:rFonts w:ascii="Times New Roman" w:hAnsi="Times New Roman" w:cs="Times New Roman"/>
          <w:color w:val="202122"/>
          <w:shd w:val="clear" w:color="auto" w:fill="FFFFFF"/>
        </w:rPr>
        <w:t>α</w:t>
      </w:r>
      <w:r w:rsidRPr="00203EAE">
        <w:rPr>
          <w:rFonts w:ascii="Times New Roman" w:hAnsi="Times New Roman" w:cs="Times New Roman"/>
        </w:rPr>
        <w:t xml:space="preserve"> (TACE), matriz </w:t>
      </w:r>
      <w:proofErr w:type="spellStart"/>
      <w:r w:rsidRPr="00203EAE">
        <w:rPr>
          <w:rFonts w:ascii="Times New Roman" w:hAnsi="Times New Roman" w:cs="Times New Roman"/>
        </w:rPr>
        <w:t>metaloproteinase</w:t>
      </w:r>
      <w:proofErr w:type="spellEnd"/>
      <w:r w:rsidRPr="00203EAE">
        <w:rPr>
          <w:rFonts w:ascii="Times New Roman" w:hAnsi="Times New Roman" w:cs="Times New Roman"/>
        </w:rPr>
        <w:t xml:space="preserve"> (MMP)-1, MMP-2, MMP-3, MMP-9, MMP-13, inibidor de tecido </w:t>
      </w:r>
      <w:proofErr w:type="spellStart"/>
      <w:r w:rsidRPr="00203EAE">
        <w:rPr>
          <w:rFonts w:ascii="Times New Roman" w:hAnsi="Times New Roman" w:cs="Times New Roman"/>
        </w:rPr>
        <w:t>metaloproteinase</w:t>
      </w:r>
      <w:proofErr w:type="spellEnd"/>
      <w:r w:rsidRPr="00203EAE">
        <w:rPr>
          <w:rFonts w:ascii="Times New Roman" w:hAnsi="Times New Roman" w:cs="Times New Roman"/>
        </w:rPr>
        <w:t xml:space="preserve"> (TIMP)-1, TIMP-2, agrecanase-1, agrecanase-2, indutor de síntese do óxido nítrico (</w:t>
      </w:r>
      <w:proofErr w:type="spellStart"/>
      <w:r w:rsidRPr="00203EAE">
        <w:rPr>
          <w:rFonts w:ascii="Times New Roman" w:hAnsi="Times New Roman" w:cs="Times New Roman"/>
        </w:rPr>
        <w:t>iNOS</w:t>
      </w:r>
      <w:proofErr w:type="spellEnd"/>
      <w:r w:rsidRPr="00203EAE">
        <w:rPr>
          <w:rFonts w:ascii="Times New Roman" w:hAnsi="Times New Roman" w:cs="Times New Roman"/>
        </w:rPr>
        <w:t xml:space="preserve">) e </w:t>
      </w:r>
      <w:proofErr w:type="spellStart"/>
      <w:r w:rsidRPr="00203EAE">
        <w:rPr>
          <w:rFonts w:ascii="Times New Roman" w:hAnsi="Times New Roman" w:cs="Times New Roman"/>
        </w:rPr>
        <w:t>ciclooxigenase</w:t>
      </w:r>
      <w:proofErr w:type="spellEnd"/>
      <w:r w:rsidRPr="00203EAE">
        <w:rPr>
          <w:rFonts w:ascii="Times New Roman" w:hAnsi="Times New Roman" w:cs="Times New Roman"/>
        </w:rPr>
        <w:t xml:space="preserve"> (COX)-2 </w:t>
      </w:r>
      <w:r w:rsidR="0038306F">
        <w:rPr>
          <w:rFonts w:ascii="Times New Roman" w:hAnsi="Times New Roman" w:cs="Times New Roman"/>
        </w:rPr>
        <w:t>como descreve</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{"citationItems":[{"id":"ITEM-1","itemData":{"DOI":"10.1016/j.joca.2006.05.009","ISSN":"10634584","PMID":"16806998","abstract":"Objective: Activated synoviocytes play important roles in the progression of human osteoarthritis (OA). Intra-articular injection of high molecular weight hyaluronic acid (HMW-HA) has been used as viscosupplementation for knee OA but its effect on synoviocytes remains undisclosed. This study aims to investigate the effects of HMW-HA on the gene expression of 16 OA-associated cytokines and enzymes, including interleukin (IL)-1β, IL-6, IL-8, leukemia inhibitory factor (LIF), tumor necrosis factor (TNF)-α, TNF-α converting enzyme (TACE), matrix metalloproteinase (MMP)-1, MMP-2, MMP-3, MMP-9, MMP-13, tissue inhibitor of metalloproteinase (TIMP)-1, TIMP-2, aggrecanase-1, aggrecanase-2, and inducible nitric oxide synthase (iNOS), in fibroblast-like synoviocytes (FLS) from patients with early stage OA. Method: Synovial fluid-derived FLS were obtained from the knees of 15 patients with early stage OA. IL-1-stimulated or unstimulated FLS were cultured with or without the treatment of 600-800 kDa HMW-HA. Moreover, blocking experiments with anti-CD44 monoclonal antibodies (mAb) were used to examine the involvement of CD44 in HMW-HA effects. We designed and validated the real-time quantitative polymerase chain reaction (Q-PCR) assays with SYBR Green dyes for simultaneous quantification of the expression of the 16 genes. Results: HMW-HA down-regulated IL-8 and iNOS gene expression in unstimulated FLS and down-regulated aggrecanase-2 and TNF-α gene expression in IL-1-stimulated FLS. CD44 blocking inhibited the down-regulatory effects of HMW-HA on gene expression. Conclusion: HMW-HA may have a structure-modifying effect for OA by down-regulation of aggrecanase-2 in FLS. HMW-HA also has an anti-inflammatory effect by down-regulation of TNF-α, IL-8, and iNOS in FLS. These effects may be mediated through the interaction of CD44 and HMW-HA. © 2006 OsteoArthritis Research Society International.","author":[{"dropping-particle":"","family":"Wang","given":"C. T.","non-dropping-particle":"","parse-names":false,"suffix":""},{"dropping-particle":"","family":"Lin","given":"Y. T.","non-dropping-particle":"","parse-names":false,"suffix":""},{"dropping-particle":"","family":"Chiang","given":"B. L.","non-dropping-particle":"","parse-names":false,"suffix":""},{"dropping-particle":"","family":"Lin","given":"Y. H.","non-dropping-particle":"","parse-names":false,"suffix":""},{"dropping-particle":"","family":"Hou","given":"S. M.","non-dropping-particle":"","parse-names":false,"suffix":""}],"container-title":"Osteoarthritis and Cartilage","id":"ITEM-1","issue":"12","issued":{"date-parts":[["2006"]]},"page":"1237-1247","title":"High molecular weight hyaluronic acid down-regulates the gene expression of osteoarthritis-associated cytokines and enzymes in fibroblast-like synoviocytes from patients with early osteoarthritis","type":"article-journal","volume":"14"},"uris":["http://www.mendeley.com/documents/?uuid=d2e399ff-3da3-4896-9b7a-fe2c3dc3365c"]}],"mendeley":{"formattedCitation":"(WANG et al., 2006)","plainTextFormattedCitation":"(WANG et al., 2006)","previouslyFormattedCitation":"(WANG et al., 2006)"},"properties":{"noteIndex":0},"schema":"https://github.com/citation-style-language/schema/raw/master/csl-citation.json"}</w:instrText>
      </w:r>
      <w:r>
        <w:rPr>
          <w:rFonts w:ascii="Times New Roman" w:hAnsi="Times New Roman" w:cs="Times New Roman"/>
        </w:rPr>
        <w:fldChar w:fldCharType="separate"/>
      </w:r>
      <w:r w:rsidRPr="00C14E7A">
        <w:rPr>
          <w:rFonts w:ascii="Times New Roman" w:hAnsi="Times New Roman" w:cs="Times New Roman"/>
          <w:noProof/>
        </w:rPr>
        <w:t>(WANG et al., 2006)</w:t>
      </w:r>
      <w:r>
        <w:rPr>
          <w:rFonts w:ascii="Times New Roman" w:hAnsi="Times New Roman" w:cs="Times New Roman"/>
        </w:rPr>
        <w:fldChar w:fldCharType="end"/>
      </w:r>
      <w:r>
        <w:rPr>
          <w:rFonts w:ascii="Times New Roman" w:hAnsi="Times New Roman" w:cs="Times New Roman"/>
        </w:rPr>
        <w:t>.</w:t>
      </w:r>
      <w:r w:rsidRPr="00203EAE">
        <w:rPr>
          <w:rFonts w:ascii="Times New Roman" w:hAnsi="Times New Roman" w:cs="Times New Roman"/>
        </w:rPr>
        <w:t xml:space="preserve"> </w:t>
      </w:r>
    </w:p>
    <w:p w14:paraId="27B9AFB1" w14:textId="3C4A90A2" w:rsidR="009F05F3" w:rsidRPr="00203EAE" w:rsidRDefault="009F05F3" w:rsidP="009F05F3">
      <w:pPr>
        <w:spacing w:line="360" w:lineRule="auto"/>
        <w:ind w:firstLine="708"/>
        <w:jc w:val="both"/>
        <w:rPr>
          <w:rFonts w:ascii="Times New Roman" w:hAnsi="Times New Roman" w:cs="Times New Roman"/>
        </w:rPr>
      </w:pPr>
      <w:r w:rsidRPr="00203EAE">
        <w:rPr>
          <w:rFonts w:ascii="Times New Roman" w:hAnsi="Times New Roman" w:cs="Times New Roman"/>
        </w:rPr>
        <w:t xml:space="preserve">Nas células sinoviais o IL-1 são os genes inflamatórios, e naturalmente seguem o processo descrito </w:t>
      </w:r>
      <w:r w:rsidR="0038306F">
        <w:rPr>
          <w:rFonts w:ascii="Times New Roman" w:hAnsi="Times New Roman" w:cs="Times New Roman"/>
        </w:rPr>
        <w:t>por WANG et al, 2006</w:t>
      </w:r>
      <w:r w:rsidRPr="00203EAE">
        <w:rPr>
          <w:rFonts w:ascii="Times New Roman" w:hAnsi="Times New Roman" w:cs="Times New Roman"/>
        </w:rPr>
        <w:t>, ocorrendo a ativação AP-1, NK-</w:t>
      </w:r>
      <w:proofErr w:type="spellStart"/>
      <w:r w:rsidRPr="00203EAE">
        <w:rPr>
          <w:rFonts w:ascii="Times New Roman" w:hAnsi="Times New Roman" w:cs="Times New Roman"/>
        </w:rPr>
        <w:t>kB</w:t>
      </w:r>
      <w:proofErr w:type="spellEnd"/>
      <w:r w:rsidRPr="00203EAE">
        <w:rPr>
          <w:rFonts w:ascii="Times New Roman" w:hAnsi="Times New Roman" w:cs="Times New Roman"/>
        </w:rPr>
        <w:t>, que são os agentes responsáveis pela inflamação e levando ao aumento IL-1, IL-6, IL-8, TNF-</w:t>
      </w:r>
      <w:r w:rsidRPr="00203EAE">
        <w:rPr>
          <w:rFonts w:ascii="Times New Roman" w:hAnsi="Times New Roman" w:cs="Times New Roman"/>
          <w:color w:val="202122"/>
          <w:shd w:val="clear" w:color="auto" w:fill="FFFFFF"/>
        </w:rPr>
        <w:t xml:space="preserve"> α, </w:t>
      </w:r>
      <w:proofErr w:type="spellStart"/>
      <w:r w:rsidRPr="00203EAE">
        <w:rPr>
          <w:rFonts w:ascii="Times New Roman" w:hAnsi="Times New Roman" w:cs="Times New Roman"/>
          <w:color w:val="202122"/>
          <w:shd w:val="clear" w:color="auto" w:fill="FFFFFF"/>
        </w:rPr>
        <w:t>iNOS</w:t>
      </w:r>
      <w:proofErr w:type="spellEnd"/>
      <w:r w:rsidRPr="00203EAE">
        <w:rPr>
          <w:rFonts w:ascii="Times New Roman" w:hAnsi="Times New Roman" w:cs="Times New Roman"/>
          <w:color w:val="202122"/>
          <w:shd w:val="clear" w:color="auto" w:fill="FFFFFF"/>
        </w:rPr>
        <w:t>, COX-2</w:t>
      </w:r>
      <w:r w:rsidRPr="00203EAE">
        <w:rPr>
          <w:rFonts w:ascii="Times New Roman" w:hAnsi="Times New Roman" w:cs="Times New Roman"/>
        </w:rPr>
        <w:t xml:space="preserve">. No processo de </w:t>
      </w:r>
      <w:proofErr w:type="spellStart"/>
      <w:r w:rsidRPr="00203EAE">
        <w:rPr>
          <w:rFonts w:ascii="Times New Roman" w:hAnsi="Times New Roman" w:cs="Times New Roman"/>
        </w:rPr>
        <w:t>viscossuplementação</w:t>
      </w:r>
      <w:proofErr w:type="spellEnd"/>
      <w:r w:rsidRPr="00203EAE">
        <w:rPr>
          <w:rFonts w:ascii="Times New Roman" w:hAnsi="Times New Roman" w:cs="Times New Roman"/>
        </w:rPr>
        <w:t xml:space="preserve"> com a utilização do ácido hialurônico </w:t>
      </w:r>
      <w:r w:rsidR="0038306F">
        <w:rPr>
          <w:rFonts w:ascii="Times New Roman" w:hAnsi="Times New Roman" w:cs="Times New Roman"/>
        </w:rPr>
        <w:t xml:space="preserve">como também está descrito por esse mesmo autor, </w:t>
      </w:r>
      <w:r w:rsidRPr="00203EAE">
        <w:rPr>
          <w:rFonts w:ascii="Times New Roman" w:hAnsi="Times New Roman" w:cs="Times New Roman"/>
        </w:rPr>
        <w:t xml:space="preserve"> ocorre uma supressão da fosforilação de JNK, p38, NK-</w:t>
      </w:r>
      <w:proofErr w:type="spellStart"/>
      <w:r w:rsidRPr="00203EAE">
        <w:rPr>
          <w:rFonts w:ascii="Times New Roman" w:hAnsi="Times New Roman" w:cs="Times New Roman"/>
        </w:rPr>
        <w:t>kB</w:t>
      </w:r>
      <w:proofErr w:type="spellEnd"/>
      <w:r w:rsidRPr="00203EAE">
        <w:rPr>
          <w:rFonts w:ascii="Times New Roman" w:hAnsi="Times New Roman" w:cs="Times New Roman"/>
        </w:rPr>
        <w:t>, essas alterações moleculares inativam AP-1 e NK-</w:t>
      </w:r>
      <w:proofErr w:type="spellStart"/>
      <w:r w:rsidRPr="00203EAE">
        <w:rPr>
          <w:rFonts w:ascii="Times New Roman" w:hAnsi="Times New Roman" w:cs="Times New Roman"/>
        </w:rPr>
        <w:t>kB</w:t>
      </w:r>
      <w:proofErr w:type="spellEnd"/>
      <w:r w:rsidRPr="00203EAE">
        <w:rPr>
          <w:rFonts w:ascii="Times New Roman" w:hAnsi="Times New Roman" w:cs="Times New Roman"/>
        </w:rPr>
        <w:t>, e os genes inflamatórios são regulados negativamente (IL-1, IL-6, IL-8, TNF-</w:t>
      </w:r>
      <w:r w:rsidRPr="00203EAE">
        <w:rPr>
          <w:rFonts w:ascii="Times New Roman" w:hAnsi="Times New Roman" w:cs="Times New Roman"/>
          <w:color w:val="202122"/>
          <w:shd w:val="clear" w:color="auto" w:fill="FFFFFF"/>
        </w:rPr>
        <w:t xml:space="preserve"> α, </w:t>
      </w:r>
      <w:proofErr w:type="spellStart"/>
      <w:r w:rsidRPr="00203EAE">
        <w:rPr>
          <w:rFonts w:ascii="Times New Roman" w:hAnsi="Times New Roman" w:cs="Times New Roman"/>
          <w:color w:val="202122"/>
          <w:shd w:val="clear" w:color="auto" w:fill="FFFFFF"/>
        </w:rPr>
        <w:t>iNOS</w:t>
      </w:r>
      <w:proofErr w:type="spellEnd"/>
      <w:r w:rsidRPr="00203EAE">
        <w:rPr>
          <w:rFonts w:ascii="Times New Roman" w:hAnsi="Times New Roman" w:cs="Times New Roman"/>
          <w:color w:val="202122"/>
          <w:shd w:val="clear" w:color="auto" w:fill="FFFFFF"/>
        </w:rPr>
        <w:t>, COX-2</w:t>
      </w:r>
      <w:r w:rsidRPr="00203EAE">
        <w:rPr>
          <w:rFonts w:ascii="Times New Roman" w:hAnsi="Times New Roman" w:cs="Times New Roman"/>
        </w:rPr>
        <w:t xml:space="preserve">), proporcionando assim uma redução da resposta pró-inflamatória e consequentemente um aumento da resposta anti-inflamatória </w:t>
      </w:r>
      <w:r w:rsidR="0038306F">
        <w:rPr>
          <w:rFonts w:ascii="Times New Roman" w:hAnsi="Times New Roman" w:cs="Times New Roman"/>
        </w:rPr>
        <w:t xml:space="preserve"> como também descrevem </w:t>
      </w:r>
      <w:r>
        <w:rPr>
          <w:rFonts w:ascii="Times New Roman" w:hAnsi="Times New Roman" w:cs="Times New Roman"/>
        </w:rPr>
        <w:fldChar w:fldCharType="begin" w:fldLock="1"/>
      </w:r>
      <w:r>
        <w:rPr>
          <w:rFonts w:ascii="Times New Roman" w:hAnsi="Times New Roman" w:cs="Times New Roman"/>
        </w:rPr>
        <w:instrText>ADDIN CSL_CITATION {"citationItems":[{"id":"ITEM-1","itemData":{"DOI":"10.1177/1947603516684588","ISBN":"1947603516684","ISSN":"19476043","PMID":"29219021","abstract":"Objective: Summarize the biologic effects of Supartz FX for knee osteoarthritis (OA), the first worldwide clinically approved intra-articular (IA) hyaluronic acid (HA) product. Design: To determine the mechanism of action from preclinical and clinical studies, a literature search was conducted of Supartz FX using academic databases from 1987 to 2016. Articles on Supartz FX that deal with its mechanisms of action were extracted, categorized, and reviewed. Results: Supartz FX has 2 potential mechanisms of action: (1) biomechanical: IA Supartz FX directly improves the viscoelasticity and lubrication of synovial fluid; (2) physiologic: IA Supartz FX penetrates synovium and cartilage tissues to reach HA receptors on the surface of synoviocytes and chondrocytes. In synovium, suppression of gene expression in inflammatory mediators results in improved endogenous HA production, improved properties of synovial fluid, and reduction in pain. In cartilage, suppression of gene expression of collagenases and aggrecanases suppresses cartilage degeneration. Conclusion: The net results of basic and clinical studies is that IA Supartz FX provides a more favorable biomechanical and functional environment in the knee joint. Hence, it is not only a lubricant but is also physiologically active. These actions may help explain both short- and long-term improvement in pain and function often achieved from IA Supartz FX in knee OA.","author":[{"dropping-particle":"","family":"Altman","given":"Roy D.","non-dropping-particle":"","parse-names":false,"suffix":""},{"dropping-particle":"","family":"Dasa","given":"Vinod","non-dropping-particle":"","parse-names":false,"suffix":""},{"dropping-particle":"","family":"Takeuchi","given":"Jun","non-dropping-particle":"","parse-names":false,"suffix":""}],"container-title":"Cartilage","id":"ITEM-1","issue":"1","issued":{"date-parts":[["2018"]]},"page":"11-20","title":"Review of the Mechanism of Action for Supartz FX in Knee Osteoarthritis","type":"article-journal","volume":"9"},"uris":["http://www.mendeley.com/documents/?uuid=c00f04b9-192e-4b5c-b42e-00a713da75ec"]},{"id":"ITEM-2","itemData":{"DOI":"10.1177/1947603517749919","ISSN":"19476043","PMID":"29429372","abstract":"Objective: Osteoarthritis (OA) is one of the leading causes of disability in the adult population. Common nonoperative treatment options include nonsteroidal anti-inflammatory drugs (NSAIDs), intra-articular corticosteroids, and intra-articular injections of hyaluronic acid (HA). HA is found intrinsically within the knee joint providing viscoelastic properties to the synovial fluid. HA therapy provides anti-inflammatory relief through a number of different pathways, including the suppression of pro-inflammatory cytokines and chemokines. Methods: We conducted a systematic review to summarize the published literature on the anti-inflammatory properties of hyaluronic acid in osteoarthritis. Included articles were categorized based on the primary anti-inflammatory responses described within them, by the immediate cell surface receptor protein assessed within the article, or based on the primary theme of the article. Key findings aimed to describe the macromolecules and inflammatory-mediated responses associated with the cell transmembrane receptors. Results: Forty-eight articles were included in this systematic review that focused on the general anti-inflammatory effects of HA in knee OA, mediated through receptor-binding relationships with cluster determinant 44 (CD44), toll-like receptor 2 (TLR-2) and 4 (TLR-4), intercellular adhesion molecule-1 (ICAM-1), and layilin (LAYN) cell surface receptors. Higher molecular weight HA (HMWHA) promotes anti-inflammatory responses, whereas short HA oligosaccharides produce inflammatory reactions. Conclusions: Intra-articular HA is a viable therapeutic option in treating knee OA and suppressing inflammatory responses. HMWHA is effective in suppressing the key macromolecules that elicit the inflammatory response by short HA oligosaccharides.","author":[{"dropping-particle":"","family":"Altman","given":"Roy","non-dropping-particle":"","parse-names":false,"suffix":""},{"dropping-particle":"","family":"Bedi","given":"Asheesh","non-dropping-particle":"","parse-names":false,"suffix":""},{"dropping-particle":"","family":"Manjoo","given":"Ajay","non-dropping-particle":"","parse-names":false,"suffix":""},{"dropping-particle":"","family":"Niazi","given":"Faizan","non-dropping-particle":"","parse-names":false,"suffix":""},{"dropping-particle":"","family":"Shaw","given":"Peter","non-dropping-particle":"","parse-names":false,"suffix":""},{"dropping-particle":"","family":"Mease","given":"Philip","non-dropping-particle":"","parse-names":false,"suffix":""}],"container-title":"Cartilage","id":"ITEM-2","issued":{"date-parts":[["2019"]]},"page":"1-10","title":"Anti-Inflammatory Effects of Intra-Articular Hyaluronic Acid: A Systematic Review","type":"article-journal"},"uris":["http://www.mendeley.com/documents/?uuid=2b068aa6-5fda-42e9-9b4f-5311c9f2536b"]}],"mendeley":{"formattedCitation":"(ALTMAN et al., 2019; ALTMAN; DASA; TAKEUCHI, 2018)","plainTextFormattedCitation":"(ALTMAN et al., 2019; ALTMAN; DASA; TAKEUCHI, 2018)","previouslyFormattedCitation":"(ALTMAN et al., 2019; ALTMAN; DASA; TAKEUCHI, 2018)"},"properties":{"noteIndex":0},"schema":"https://github.com/citation-style-language/schema/raw/master/csl-citation.json"}</w:instrText>
      </w:r>
      <w:r>
        <w:rPr>
          <w:rFonts w:ascii="Times New Roman" w:hAnsi="Times New Roman" w:cs="Times New Roman"/>
        </w:rPr>
        <w:fldChar w:fldCharType="separate"/>
      </w:r>
      <w:r w:rsidRPr="00B92B98">
        <w:rPr>
          <w:rFonts w:ascii="Times New Roman" w:hAnsi="Times New Roman" w:cs="Times New Roman"/>
          <w:noProof/>
        </w:rPr>
        <w:t>(ALTMAN et al., 2019; ALTMAN; DASA; TAKEUCHI, 2018)</w:t>
      </w:r>
      <w:r>
        <w:rPr>
          <w:rFonts w:ascii="Times New Roman" w:hAnsi="Times New Roman" w:cs="Times New Roman"/>
        </w:rPr>
        <w:fldChar w:fldCharType="end"/>
      </w:r>
      <w:r>
        <w:rPr>
          <w:rFonts w:ascii="Times New Roman" w:hAnsi="Times New Roman" w:cs="Times New Roman"/>
        </w:rPr>
        <w:t>.</w:t>
      </w:r>
      <w:r w:rsidRPr="00203EAE">
        <w:rPr>
          <w:rFonts w:ascii="Times New Roman" w:hAnsi="Times New Roman" w:cs="Times New Roman"/>
        </w:rPr>
        <w:t xml:space="preserve"> </w:t>
      </w:r>
    </w:p>
    <w:p w14:paraId="451FD4A3" w14:textId="77777777" w:rsidR="00550A75" w:rsidRDefault="00550A75" w:rsidP="00550A75">
      <w:pPr>
        <w:ind w:firstLine="708"/>
        <w:jc w:val="both"/>
        <w:rPr>
          <w:rFonts w:ascii="Arial" w:eastAsia="Times New Roman" w:hAnsi="Arial" w:cs="Arial"/>
          <w:color w:val="000000"/>
          <w:sz w:val="24"/>
          <w:szCs w:val="24"/>
          <w:lang w:eastAsia="pt-BR"/>
        </w:rPr>
      </w:pPr>
    </w:p>
    <w:p w14:paraId="662C48D3" w14:textId="3ACC3917" w:rsidR="0038306F" w:rsidRPr="00B44ACF" w:rsidRDefault="0038306F" w:rsidP="0038306F">
      <w:pPr>
        <w:tabs>
          <w:tab w:val="left" w:pos="1076"/>
        </w:tabs>
        <w:spacing w:after="0" w:line="360" w:lineRule="auto"/>
        <w:jc w:val="both"/>
        <w:rPr>
          <w:rFonts w:ascii="Times New Roman" w:eastAsia="Calibri" w:hAnsi="Times New Roman" w:cs="Times New Roman"/>
          <w:b/>
          <w:iCs/>
          <w:color w:val="000000"/>
        </w:rPr>
      </w:pPr>
      <w:r>
        <w:rPr>
          <w:rFonts w:ascii="Times New Roman" w:eastAsia="Calibri" w:hAnsi="Times New Roman" w:cs="Times New Roman"/>
          <w:b/>
          <w:iCs/>
          <w:color w:val="000000"/>
        </w:rPr>
        <w:t xml:space="preserve">→ </w:t>
      </w:r>
      <w:r w:rsidRPr="00B44ACF">
        <w:rPr>
          <w:rFonts w:ascii="Times New Roman" w:eastAsia="Calibri" w:hAnsi="Times New Roman" w:cs="Times New Roman"/>
          <w:b/>
          <w:iCs/>
          <w:color w:val="000000"/>
        </w:rPr>
        <w:t xml:space="preserve">Ácido Hialurônico como </w:t>
      </w:r>
      <w:r>
        <w:rPr>
          <w:rFonts w:ascii="Times New Roman" w:eastAsia="Calibri" w:hAnsi="Times New Roman" w:cs="Times New Roman"/>
          <w:b/>
          <w:iCs/>
          <w:color w:val="000000"/>
        </w:rPr>
        <w:t>fator</w:t>
      </w:r>
      <w:r w:rsidRPr="00B44ACF">
        <w:rPr>
          <w:rFonts w:ascii="Times New Roman" w:eastAsia="Calibri" w:hAnsi="Times New Roman" w:cs="Times New Roman"/>
          <w:b/>
          <w:iCs/>
          <w:color w:val="000000"/>
        </w:rPr>
        <w:t xml:space="preserve"> de </w:t>
      </w:r>
      <w:proofErr w:type="spellStart"/>
      <w:r>
        <w:rPr>
          <w:rFonts w:ascii="Times New Roman" w:eastAsia="Calibri" w:hAnsi="Times New Roman" w:cs="Times New Roman"/>
          <w:b/>
          <w:iCs/>
          <w:color w:val="000000"/>
        </w:rPr>
        <w:t>V</w:t>
      </w:r>
      <w:r w:rsidRPr="00B44ACF">
        <w:rPr>
          <w:rFonts w:ascii="Times New Roman" w:eastAsia="Calibri" w:hAnsi="Times New Roman" w:cs="Times New Roman"/>
          <w:b/>
          <w:iCs/>
          <w:color w:val="000000"/>
        </w:rPr>
        <w:t>iscossuplementação</w:t>
      </w:r>
      <w:proofErr w:type="spellEnd"/>
      <w:r w:rsidRPr="00B44ACF">
        <w:rPr>
          <w:rFonts w:ascii="Times New Roman" w:eastAsia="Calibri" w:hAnsi="Times New Roman" w:cs="Times New Roman"/>
          <w:b/>
          <w:iCs/>
          <w:color w:val="000000"/>
        </w:rPr>
        <w:t xml:space="preserve"> </w:t>
      </w:r>
      <w:r>
        <w:rPr>
          <w:rFonts w:ascii="Times New Roman" w:eastAsia="Calibri" w:hAnsi="Times New Roman" w:cs="Times New Roman"/>
          <w:b/>
          <w:iCs/>
          <w:color w:val="000000"/>
        </w:rPr>
        <w:t>(lubrificação)</w:t>
      </w:r>
    </w:p>
    <w:p w14:paraId="4BF2B612" w14:textId="70907BCC" w:rsidR="0038306F" w:rsidRDefault="0038306F" w:rsidP="0038306F">
      <w:pPr>
        <w:tabs>
          <w:tab w:val="left" w:pos="1076"/>
        </w:tabs>
        <w:spacing w:after="0" w:line="360" w:lineRule="auto"/>
        <w:jc w:val="both"/>
        <w:rPr>
          <w:rFonts w:ascii="Times New Roman" w:eastAsia="Calibri" w:hAnsi="Times New Roman" w:cs="Times New Roman"/>
        </w:rPr>
      </w:pPr>
      <w:r>
        <w:rPr>
          <w:rFonts w:ascii="Times New Roman" w:eastAsia="Calibri" w:hAnsi="Times New Roman" w:cs="Times New Roman"/>
          <w:bCs/>
          <w:iCs/>
          <w:color w:val="000000"/>
        </w:rPr>
        <w:tab/>
      </w:r>
      <w:r w:rsidRPr="00B44ACF">
        <w:rPr>
          <w:rFonts w:ascii="Times New Roman" w:eastAsia="Calibri" w:hAnsi="Times New Roman" w:cs="Times New Roman"/>
          <w:bCs/>
          <w:iCs/>
          <w:color w:val="000000"/>
        </w:rPr>
        <w:t xml:space="preserve">O ácido hialurônico está associado principalmente a proteção de tecidos articulares por meio da redução </w:t>
      </w:r>
      <w:r>
        <w:rPr>
          <w:rFonts w:ascii="Times New Roman" w:eastAsia="Calibri" w:hAnsi="Times New Roman" w:cs="Times New Roman"/>
          <w:bCs/>
          <w:iCs/>
          <w:color w:val="000000"/>
        </w:rPr>
        <w:t xml:space="preserve">de </w:t>
      </w:r>
      <w:r w:rsidRPr="00B44ACF">
        <w:rPr>
          <w:rFonts w:ascii="Times New Roman" w:eastAsia="Calibri" w:hAnsi="Times New Roman" w:cs="Times New Roman"/>
          <w:bCs/>
          <w:iCs/>
          <w:color w:val="000000"/>
        </w:rPr>
        <w:t xml:space="preserve">apoptose de condrócitos e aumento da proliferação de condrócitos, melhoria </w:t>
      </w:r>
      <w:r>
        <w:rPr>
          <w:rFonts w:ascii="Times New Roman" w:eastAsia="Calibri" w:hAnsi="Times New Roman" w:cs="Times New Roman"/>
          <w:bCs/>
          <w:iCs/>
          <w:color w:val="000000"/>
        </w:rPr>
        <w:t xml:space="preserve">da síntese de </w:t>
      </w:r>
      <w:r w:rsidRPr="00B44ACF">
        <w:rPr>
          <w:rFonts w:ascii="Times New Roman" w:eastAsia="Calibri" w:hAnsi="Times New Roman" w:cs="Times New Roman"/>
          <w:bCs/>
          <w:iCs/>
          <w:color w:val="000000"/>
        </w:rPr>
        <w:t>proteoglicano / glicosaminoglicano</w:t>
      </w:r>
      <w:r>
        <w:rPr>
          <w:rFonts w:ascii="Times New Roman" w:eastAsia="Calibri" w:hAnsi="Times New Roman" w:cs="Times New Roman"/>
          <w:bCs/>
          <w:iCs/>
          <w:color w:val="000000"/>
        </w:rPr>
        <w:t>, a qual</w:t>
      </w:r>
      <w:r w:rsidRPr="00B44ACF">
        <w:rPr>
          <w:rFonts w:ascii="Times New Roman" w:eastAsia="Calibri" w:hAnsi="Times New Roman" w:cs="Times New Roman"/>
          <w:bCs/>
          <w:iCs/>
          <w:color w:val="000000"/>
        </w:rPr>
        <w:t xml:space="preserve"> pode atras</w:t>
      </w:r>
      <w:r>
        <w:rPr>
          <w:rFonts w:ascii="Times New Roman" w:eastAsia="Calibri" w:hAnsi="Times New Roman" w:cs="Times New Roman"/>
          <w:bCs/>
          <w:iCs/>
          <w:color w:val="000000"/>
        </w:rPr>
        <w:t>ar a progressão da osteoartrite, além de e</w:t>
      </w:r>
      <w:r w:rsidRPr="00B44ACF">
        <w:rPr>
          <w:rFonts w:ascii="Times New Roman" w:eastAsia="Calibri" w:hAnsi="Times New Roman" w:cs="Times New Roman"/>
          <w:bCs/>
          <w:iCs/>
          <w:color w:val="000000"/>
        </w:rPr>
        <w:t xml:space="preserve">feito anti-inflamatório por meio da supressão de IL-6, benefícios mecânicos por meio da lubrificação direta da cápsula articular e efeitos analgésicos por meio da redução da atividade iônica ativada por estiramento do canal </w:t>
      </w:r>
      <w:proofErr w:type="spellStart"/>
      <w:r w:rsidRPr="00A20EA8">
        <w:rPr>
          <w:rFonts w:ascii="Times New Roman" w:eastAsia="Calibri" w:hAnsi="Times New Roman" w:cs="Times New Roman"/>
          <w:bCs/>
          <w:iCs/>
          <w:color w:val="000000"/>
        </w:rPr>
        <w:t>mecanossensível</w:t>
      </w:r>
      <w:proofErr w:type="spellEnd"/>
      <w:r w:rsidRPr="00A54959">
        <w:rPr>
          <w:rFonts w:ascii="Times New Roman" w:eastAsia="Calibri" w:hAnsi="Times New Roman" w:cs="Times New Roman"/>
          <w:bCs/>
          <w:iCs/>
          <w:color w:val="000000"/>
        </w:rPr>
        <w:t xml:space="preserve"> </w:t>
      </w:r>
      <w:r w:rsidRPr="00A54959">
        <w:rPr>
          <w:rFonts w:ascii="Times New Roman" w:eastAsia="Calibri" w:hAnsi="Times New Roman" w:cs="Times New Roman"/>
          <w:bCs/>
          <w:iCs/>
          <w:color w:val="000000"/>
        </w:rPr>
        <w:fldChar w:fldCharType="begin" w:fldLock="1"/>
      </w:r>
      <w:r w:rsidRPr="00A54959">
        <w:rPr>
          <w:rFonts w:ascii="Times New Roman" w:eastAsia="Calibri" w:hAnsi="Times New Roman" w:cs="Times New Roman"/>
          <w:bCs/>
          <w:iCs/>
          <w:color w:val="000000"/>
        </w:rPr>
        <w:instrText>ADDIN CSL_CITATION {"citationItems":[{"id":"ITEM-1","itemData":{"DOI":"10.1111/j.1524-4725.2009.01096.x","ISSN":"10760512","abstract":"Background Photodynamic therapy (PDT) is an effective treatment for actinic keratoses (AKs). Light-emitting diodes (LEDs) offer practical advantages when treating multiple lesions. Objective To evaluate the efficacy and tolerability of PDT using a LED and topical methyl aminolevulinate (MAL) for treatment of multiple AKs. METHODS AND MATERIALS One hundred thirty-one patients with four to 10 non-pigmented, previously untreated thin or moderately thick AKs on the face or scalp were enrolled in this multicenter, double-blind, randomized, placebo-controlled study. MAL or matching placebo cream was applied to the débrided lesion surface for 3 hours before illumination with noncoherent red light (630 nm, light dose 37 J/cm 2). Treatment was repeated 1 week later. Results Efficacy was evaluated in 57 patients with 418 lesions treated with MAL PDT and 58 with 414 lesions treated with placebo PDT. Sixteen patients were excluded as protocol violators (not randomized). MAL PDT was superior (p&lt;.001) to placebo PDT in lesion complete response rates (83.3%, 95% confidence interval (CI)=79.3-86.7%, vs 28.7%, 95% CI=24.4-33.4%) and patient complete response rates (all lesions showing complete response; 68.4%, 95% CI=54.8-80.1% vs 6.9%, 95% CI=1.9-16.7%). ConclusionS Topical MAL PDT using a LED is an effective treatment for multiple AKs. This study was supported by Photocure, ASA. © 2009 by the American Society for Dermatologic Surgery, Inc.","author":[{"dropping-particle":"","family":"Szeimies","given":"Rolf Markus","non-dropping-particle":"","parse-names":false,"suffix":""},{"dropping-particle":"","family":"Matheson","given":"Robert T.","non-dropping-particle":"","parse-names":false,"suffix":""},{"dropping-particle":"","family":"Davis","given":"Steven A.","non-dropping-particle":"","parse-names":false,"suffix":""},{"dropping-particle":"","family":"Bhatia","given":"Ashish C.","non-dropping-particle":"","parse-names":false,"suffix":""},{"dropping-particle":"","family":"Frambach","given":"Yvonne","non-dropping-particle":"","parse-names":false,"suffix":""},{"dropping-particle":"","family":"Klövekorn","given":"Winfried","non-dropping-particle":"","parse-names":false,"suffix":""},{"dropping-particle":"","family":"Fesq","given":"Heike","non-dropping-particle":"","parse-names":false,"suffix":""},{"dropping-particle":"","family":"Berking","given":"Carola","non-dropping-particle":"","parse-names":false,"suffix":""},{"dropping-particle":"","family":"Reifenberger","given":"Julia","non-dropping-particle":"","parse-names":false,"suffix":""},{"dropping-particle":"","family":"Thaçi","given":"Diamant","non-dropping-particle":"","parse-names":false,"suffix":""}],"container-title":"Dermatologic Surgery","id":"ITEM-1","issue":"4","issued":{"date-parts":[["2009"]]},"page":"586-592","title":"Topical methyl aminolevulinate photodynamic therapy using red light-emitting diode light for multiple actinic keratoses: A randomized study","type":"article-journal","volume":"35"},"uris":["http://www.mendeley.com/documents/?uuid=0b5ea04b-4832-4c3e-8fb5-b6223c137731"]}],"mendeley":{"formattedCitation":"(SZEIMIES et al., 2009)","plainTextFormattedCitation":"(SZEIMIES et al., 2009)","previouslyFormattedCitation":"(SZEIMIES et al., 2009)"},"properties":{"noteIndex":0},"schema":"https://github.com/citation-style-language/schema/raw/master/csl-citation.json"}</w:instrText>
      </w:r>
      <w:r w:rsidRPr="00A54959">
        <w:rPr>
          <w:rFonts w:ascii="Times New Roman" w:eastAsia="Calibri" w:hAnsi="Times New Roman" w:cs="Times New Roman"/>
          <w:bCs/>
          <w:iCs/>
          <w:color w:val="000000"/>
        </w:rPr>
        <w:fldChar w:fldCharType="separate"/>
      </w:r>
      <w:r w:rsidRPr="00840F36">
        <w:rPr>
          <w:rFonts w:ascii="Times New Roman" w:eastAsia="Calibri" w:hAnsi="Times New Roman" w:cs="Times New Roman"/>
          <w:bCs/>
          <w:iCs/>
          <w:noProof/>
          <w:color w:val="000000"/>
        </w:rPr>
        <w:t>(SZEIMIES et al., 2009)</w:t>
      </w:r>
      <w:r w:rsidRPr="00A54959">
        <w:rPr>
          <w:rFonts w:ascii="Times New Roman" w:eastAsia="Calibri" w:hAnsi="Times New Roman" w:cs="Times New Roman"/>
          <w:bCs/>
          <w:iCs/>
          <w:color w:val="000000"/>
        </w:rPr>
        <w:fldChar w:fldCharType="end"/>
      </w:r>
      <w:r w:rsidRPr="00A54959">
        <w:rPr>
          <w:rFonts w:ascii="Times New Roman" w:eastAsia="Calibri" w:hAnsi="Times New Roman" w:cs="Times New Roman"/>
          <w:bCs/>
          <w:iCs/>
          <w:color w:val="000000"/>
        </w:rPr>
        <w:fldChar w:fldCharType="begin" w:fldLock="1"/>
      </w:r>
      <w:r w:rsidRPr="00A54959">
        <w:rPr>
          <w:rFonts w:ascii="Times New Roman" w:eastAsia="Calibri" w:hAnsi="Times New Roman" w:cs="Times New Roman"/>
          <w:bCs/>
          <w:iCs/>
          <w:color w:val="000000"/>
        </w:rPr>
        <w:instrText>ADDIN CSL_CITATION {"citationItems":[{"id":"ITEM-1","itemData":{"DOI":"10.1177/https","ISBN":"1352458516688","ISSN":"2040-6207","PMID":"28086035","abstract":"Osteoarthritis (OA) is a chronic condition characterized by a loss of joint cartilage and is a major cause of disability in Canada, with an estimated CN$195 billion annual cost. Knee OA leads to persistent pain and loss of function, and treatment goals primarily focus on symptom relief and retention of function. Intra-articular hyaluronic acid (IAHA) has therapeutic benefits, and numerous recently published meta-analyses (MAs) and commentaries have highlighted new evidence on the role of IAHA therapy for knee OA. A diverse, multidisciplinary group of specialists met independently in closed sessions to review findings from eight MAs with literature search end dates no earlier than 2012 to address controversies surrounding IAHA therapy for mild-to-moderate knee OA within the Canadian treatment context. Outcomes from a total of eight MAs were reviewed, and consistent and statistically significant improvements in pain, function and stiffness up to 26 weeks were found with IAHA therapy compared with IA placebo or controls, regardless of MA size or trial quality. These findings are in line with those of a Cochrane review, another recent systematic review and patient satisfaction survey. Overall, three MAs reported outcomes based on molecular weight (MW), with the two reporting effect sizes showing significantly improved pain outcomes for higher compared with lower MW HAs. Recent evidence suggests that HA therapy is well tolerated with no increased risk of serious adverse events compared with placebo and the full therapeutic effect of IAHA therapy appears to have considerable clinical importance, consisting of the combined IA placebo and HA therapeutic effects. IAHA therapy is a well- tolerated and effective option for patients with mild-to-moderate knee OA failing first-line pharmacological therapy.","author":[{"dropping-particle":"","family":"Bhandari","given":"M.","non-dropping-particle":"","parse-names":false,"suffix":""},{"dropping-particle":"","family":"Bannuru","given":"R. R.","non-dropping-particle":"","parse-names":false,"suffix":""},{"dropping-particle":"","family":"Babins","given":"E. M.","non-dropping-particle":"","parse-names":false,"suffix":""},{"dropping-particle":"","family":"Martel-Pelletier","given":"J.","non-dropping-particle":"","parse-names":false,"suffix":""},{"dropping-particle":"","family":"Khan","given":"M.","non-dropping-particle":"","parse-names":false,"suffix":""},{"dropping-particle":"","family":"Raynauld","given":"J.","non-dropping-particle":"","parse-names":false,"suffix":""},{"dropping-particle":"","family":"Frankovich","given":"R.","non-dropping-particle":"","parse-names":false,"suffix":""},{"dropping-particle":"","family":"Mcleod","given":"D.","non-dropping-particle":"","parse-names":false,"suffix":""},{"dropping-particle":"","family":"Devji","given":"T.","non-dropping-particle":"","parse-names":false,"suffix":""},{"dropping-particle":"","family":"Phillips","given":"M.","non-dropping-particle":"","parse-names":false,"suffix":""},{"dropping-particle":"","family":"Schemitsch","given":"E. H.","non-dropping-particle":"","parse-names":false,"suffix":""},{"dropping-particle":"","family":"Pelletier","given":"J.","non-dropping-particle":"","parse-names":false,"suffix":""}],"container-title":"Therapeutic Advances in Musculoskeletal Disease Review","id":"ITEM-1","issue":"9","issued":{"date-parts":[["2017"]]},"page":"231-246","title":"Intra-articular hyaluronic acid in the treatment of knee osteoarthritis: a Canadian evidence-based perspective Mohit","type":"article-journal","volume":"9"},"uris":["http://www.mendeley.com/documents/?uuid=f2d58a58-88d3-4997-a87c-cdd456746875"]}],"mendeley":{"formattedCitation":"(BHANDARI et al., 2017)","plainTextFormattedCitation":"(BHANDARI et al., 2017)","previouslyFormattedCitation":"(BHANDARI et al., 2017)"},"properties":{"noteIndex":0},"schema":"https://github.com/citation-style-language/schema/raw/master/csl-citation.json"}</w:instrText>
      </w:r>
      <w:r w:rsidRPr="00A54959">
        <w:rPr>
          <w:rFonts w:ascii="Times New Roman" w:eastAsia="Calibri" w:hAnsi="Times New Roman" w:cs="Times New Roman"/>
          <w:bCs/>
          <w:iCs/>
          <w:color w:val="000000"/>
        </w:rPr>
        <w:fldChar w:fldCharType="separate"/>
      </w:r>
      <w:r w:rsidRPr="00A54959">
        <w:rPr>
          <w:rFonts w:ascii="Times New Roman" w:eastAsia="Calibri" w:hAnsi="Times New Roman" w:cs="Times New Roman"/>
          <w:bCs/>
          <w:iCs/>
          <w:noProof/>
          <w:color w:val="000000"/>
        </w:rPr>
        <w:t>(BHANDARI et al., 2017)</w:t>
      </w:r>
      <w:r w:rsidRPr="00A54959">
        <w:rPr>
          <w:rFonts w:ascii="Times New Roman" w:eastAsia="Calibri" w:hAnsi="Times New Roman" w:cs="Times New Roman"/>
          <w:bCs/>
          <w:iCs/>
          <w:color w:val="000000"/>
        </w:rPr>
        <w:fldChar w:fldCharType="end"/>
      </w:r>
      <w:r w:rsidRPr="00B44ACF">
        <w:rPr>
          <w:rFonts w:ascii="Times New Roman" w:eastAsia="Calibri" w:hAnsi="Times New Roman" w:cs="Times New Roman"/>
        </w:rPr>
        <w:t>.</w:t>
      </w:r>
    </w:p>
    <w:p w14:paraId="71EA303A" w14:textId="79039FAE" w:rsidR="0038306F" w:rsidRDefault="0038306F" w:rsidP="0038306F">
      <w:pPr>
        <w:tabs>
          <w:tab w:val="left" w:pos="1076"/>
        </w:tabs>
        <w:spacing w:after="0" w:line="360" w:lineRule="auto"/>
        <w:jc w:val="both"/>
        <w:rPr>
          <w:rFonts w:ascii="Times New Roman" w:eastAsia="Calibri" w:hAnsi="Times New Roman" w:cs="Times New Roman"/>
        </w:rPr>
      </w:pPr>
    </w:p>
    <w:p w14:paraId="1B11DBD0" w14:textId="172A68F2" w:rsidR="009A1A78" w:rsidRDefault="009A1A78" w:rsidP="0038306F">
      <w:pPr>
        <w:tabs>
          <w:tab w:val="left" w:pos="1076"/>
        </w:tabs>
        <w:spacing w:after="0" w:line="360" w:lineRule="auto"/>
        <w:jc w:val="both"/>
        <w:rPr>
          <w:rFonts w:ascii="Times New Roman" w:eastAsia="Calibri" w:hAnsi="Times New Roman" w:cs="Times New Roman"/>
        </w:rPr>
      </w:pPr>
    </w:p>
    <w:p w14:paraId="5108D019" w14:textId="77777777" w:rsidR="009A1A78" w:rsidRDefault="009A1A78" w:rsidP="0038306F">
      <w:pPr>
        <w:tabs>
          <w:tab w:val="left" w:pos="1076"/>
        </w:tabs>
        <w:spacing w:after="0" w:line="360" w:lineRule="auto"/>
        <w:jc w:val="both"/>
        <w:rPr>
          <w:rFonts w:ascii="Times New Roman" w:eastAsia="Calibri" w:hAnsi="Times New Roman" w:cs="Times New Roman"/>
        </w:rPr>
      </w:pPr>
    </w:p>
    <w:p w14:paraId="2608DDB2" w14:textId="74B8468A" w:rsidR="0038306F" w:rsidRPr="00B44ACF" w:rsidRDefault="0038306F" w:rsidP="0038306F">
      <w:pPr>
        <w:spacing w:line="360" w:lineRule="auto"/>
        <w:jc w:val="both"/>
        <w:rPr>
          <w:rFonts w:ascii="Times New Roman" w:eastAsia="Calibri" w:hAnsi="Times New Roman" w:cs="Times New Roman"/>
          <w:b/>
          <w:bCs/>
        </w:rPr>
      </w:pPr>
      <w:proofErr w:type="spellStart"/>
      <w:r>
        <w:rPr>
          <w:rFonts w:ascii="Times New Roman" w:eastAsia="Calibri" w:hAnsi="Times New Roman" w:cs="Times New Roman"/>
          <w:b/>
          <w:bCs/>
        </w:rPr>
        <w:t>CrossLink</w:t>
      </w:r>
      <w:r w:rsidR="009A1A78">
        <w:rPr>
          <w:rFonts w:ascii="Times New Roman" w:eastAsia="Calibri" w:hAnsi="Times New Roman" w:cs="Times New Roman"/>
          <w:b/>
          <w:bCs/>
        </w:rPr>
        <w:t>ing</w:t>
      </w:r>
      <w:proofErr w:type="spellEnd"/>
      <w:r>
        <w:rPr>
          <w:rFonts w:ascii="Times New Roman" w:eastAsia="Calibri" w:hAnsi="Times New Roman" w:cs="Times New Roman"/>
          <w:b/>
          <w:bCs/>
        </w:rPr>
        <w:t xml:space="preserve"> mais modernos </w:t>
      </w:r>
    </w:p>
    <w:p w14:paraId="3D2DBAF9" w14:textId="77777777" w:rsidR="0038306F" w:rsidRPr="00B44ACF" w:rsidRDefault="0038306F" w:rsidP="0038306F">
      <w:pPr>
        <w:spacing w:after="0" w:line="360" w:lineRule="auto"/>
        <w:ind w:firstLine="708"/>
        <w:jc w:val="both"/>
        <w:rPr>
          <w:rFonts w:ascii="Times New Roman" w:eastAsia="Calibri" w:hAnsi="Times New Roman" w:cs="Times New Roman"/>
          <w:color w:val="000000"/>
        </w:rPr>
      </w:pPr>
      <w:r w:rsidRPr="00B44ACF">
        <w:rPr>
          <w:rFonts w:ascii="Times New Roman" w:eastAsia="Calibri" w:hAnsi="Times New Roman" w:cs="Times New Roman"/>
          <w:color w:val="000000"/>
        </w:rPr>
        <w:t xml:space="preserve">O </w:t>
      </w:r>
      <w:proofErr w:type="gramStart"/>
      <w:r w:rsidRPr="00B44ACF">
        <w:rPr>
          <w:rFonts w:ascii="Times New Roman" w:eastAsia="Calibri" w:hAnsi="Times New Roman" w:cs="Times New Roman"/>
          <w:color w:val="000000"/>
        </w:rPr>
        <w:t>termo ligações cruzadas</w:t>
      </w:r>
      <w:proofErr w:type="gramEnd"/>
      <w:r w:rsidRPr="00B44ACF">
        <w:rPr>
          <w:rFonts w:ascii="Times New Roman" w:eastAsia="Calibri" w:hAnsi="Times New Roman" w:cs="Times New Roman"/>
          <w:color w:val="000000"/>
        </w:rPr>
        <w:t xml:space="preserve"> ou </w:t>
      </w:r>
      <w:proofErr w:type="spellStart"/>
      <w:r w:rsidRPr="00B44ACF">
        <w:rPr>
          <w:rFonts w:ascii="Times New Roman" w:eastAsia="Calibri" w:hAnsi="Times New Roman" w:cs="Times New Roman"/>
          <w:color w:val="000000"/>
        </w:rPr>
        <w:t>reticulação</w:t>
      </w:r>
      <w:proofErr w:type="spellEnd"/>
      <w:r w:rsidRPr="00B44ACF">
        <w:rPr>
          <w:rFonts w:ascii="Times New Roman" w:eastAsia="Calibri" w:hAnsi="Times New Roman" w:cs="Times New Roman"/>
          <w:color w:val="000000"/>
        </w:rPr>
        <w:t xml:space="preserve"> polimérica ou </w:t>
      </w:r>
      <w:proofErr w:type="spellStart"/>
      <w:r w:rsidRPr="007736C0">
        <w:rPr>
          <w:rFonts w:ascii="Times New Roman" w:eastAsia="Calibri" w:hAnsi="Times New Roman" w:cs="Times New Roman"/>
          <w:i/>
          <w:color w:val="000000"/>
        </w:rPr>
        <w:t>crosslinking</w:t>
      </w:r>
      <w:proofErr w:type="spellEnd"/>
      <w:r w:rsidRPr="00B44ACF">
        <w:rPr>
          <w:rFonts w:ascii="Times New Roman" w:eastAsia="Calibri" w:hAnsi="Times New Roman" w:cs="Times New Roman"/>
          <w:color w:val="000000"/>
        </w:rPr>
        <w:t xml:space="preserve"> é um processo que ocorre quando cadeias poliméricas lineares ou ramificadas são interligadas por ligações covalentes, num processo que resulta em polímeros tridi</w:t>
      </w:r>
      <w:r>
        <w:rPr>
          <w:rFonts w:ascii="Times New Roman" w:eastAsia="Calibri" w:hAnsi="Times New Roman" w:cs="Times New Roman"/>
          <w:color w:val="000000"/>
        </w:rPr>
        <w:t>mensionais de alta massa molar</w:t>
      </w:r>
      <w:r w:rsidRPr="00B44ACF">
        <w:rPr>
          <w:rFonts w:ascii="Times New Roman" w:eastAsia="Calibri" w:hAnsi="Times New Roman" w:cs="Times New Roman"/>
          <w:color w:val="000000"/>
        </w:rPr>
        <w:t xml:space="preserve">. Com a presença da </w:t>
      </w:r>
      <w:proofErr w:type="spellStart"/>
      <w:r w:rsidRPr="00B44ACF">
        <w:rPr>
          <w:rFonts w:ascii="Times New Roman" w:eastAsia="Calibri" w:hAnsi="Times New Roman" w:cs="Times New Roman"/>
          <w:color w:val="000000"/>
        </w:rPr>
        <w:t>reticulação</w:t>
      </w:r>
      <w:proofErr w:type="spellEnd"/>
      <w:r w:rsidRPr="00B44ACF">
        <w:rPr>
          <w:rFonts w:ascii="Times New Roman" w:eastAsia="Calibri" w:hAnsi="Times New Roman" w:cs="Times New Roman"/>
          <w:color w:val="000000"/>
        </w:rPr>
        <w:t xml:space="preserve">, a estrutura molecular se torna mais rígida, devido a mudança das propriedades viscoelásticas. </w:t>
      </w:r>
    </w:p>
    <w:p w14:paraId="7FE0601D" w14:textId="39F1E402" w:rsidR="0038306F" w:rsidRDefault="0038306F" w:rsidP="0038306F">
      <w:pPr>
        <w:tabs>
          <w:tab w:val="left" w:pos="0"/>
        </w:tabs>
        <w:spacing w:after="0" w:line="360" w:lineRule="auto"/>
        <w:jc w:val="both"/>
        <w:rPr>
          <w:rFonts w:ascii="Times New Roman" w:eastAsia="Calibri" w:hAnsi="Times New Roman" w:cs="Times New Roman"/>
          <w:color w:val="000000"/>
        </w:rPr>
      </w:pPr>
      <w:r w:rsidRPr="00B44ACF">
        <w:rPr>
          <w:rFonts w:ascii="Times New Roman" w:eastAsia="Calibri" w:hAnsi="Times New Roman" w:cs="Times New Roman"/>
          <w:color w:val="000000"/>
        </w:rPr>
        <w:tab/>
        <w:t xml:space="preserve">O gel de ácido hialurônico resultante deste tipo de reação atua como uma única unidade, impondo uma barreira física e química à quebra enzimática e de radicais livres. Além disso, devido ao seu grande tamanho, as enzimas podem ter dificuldade em penetrar na rede de gel, o que de fato contribuirá para uma degradação mais lenta </w:t>
      </w:r>
      <w:r>
        <w:rPr>
          <w:rFonts w:ascii="Times New Roman" w:eastAsia="Calibri" w:hAnsi="Times New Roman" w:cs="Times New Roman"/>
          <w:color w:val="000000"/>
        </w:rPr>
        <w:fldChar w:fldCharType="begin" w:fldLock="1"/>
      </w:r>
      <w:r>
        <w:rPr>
          <w:rFonts w:ascii="Times New Roman" w:eastAsia="Calibri" w:hAnsi="Times New Roman" w:cs="Times New Roman"/>
          <w:color w:val="000000"/>
        </w:rPr>
        <w:instrText>ADDIN CSL_CITATION {"citationItems":[{"id":"ITEM-1","itemData":{"DOI":"10.1080/14764170701774901","ISSN":"14764180","PMID":"18330796","abstract":"Background: The use of injectable materials for soft-tissue augmentation has been increasing in the United States, reflecting the introduction of new hyaluronic acid (HA)-based dermal fillers. HA dermal fillers vary widely in their physical and chemical characteristics and many variables contribute to their overall performance. This article explains the basic science of HA and describes how the physical properties of HA dermal fillers may influence clinical outcomes. Hyaluronic acid: The chemical composition of disaccharide HA monomers, and how they form polymer chains and are crosslinked into gels for dermal fillers are described. Hyaluronic acid dermal fillers: Key concepts and properties relevant to the production and performance of HA dermal fillers, such as the degree of crosslinking, gel hardness, gel consistency, viscosity, extrusion force, HA concentration, and extent of hydration are explained. New formulations of HA dermal fillers that have recently been approved by the US Food and Drug Administration differ from currently available HA fillers and may provide enhanced ease of extrusion and persistence over previous fillers. Conclusion: Knowledge of the chemical and physical blueprint of HA dermal fillers may help physicians in choosing the appropriate HA dermal filler for facial enhancements. This, together with appropriate injector training and injection experience, should lead to results that ultimately will benefit patients. © 2008 Informa UK Ltd. (Informa Healthcare, Taylor &amp; Francis AS).","author":[{"dropping-particle":"","family":"Tezel","given":"Ahmet","non-dropping-particle":"","parse-names":false,"suffix":""},{"dropping-particle":"","family":"Fredrickson","given":"Glenn H.","non-dropping-particle":"","parse-names":false,"suffix":""}],"container-title":"Journal of Cosmetic and Laser Therapy","id":"ITEM-1","issue":"1","issued":{"date-parts":[["2008"]]},"page":"35-42","title":"The science of hyaluronic acid dermal fillers","type":"article-journal","volume":"10"},"uris":["http://www.mendeley.com/documents/?uuid=2bc180f7-0d39-44d6-a99a-8712f6b34404"]}],"mendeley":{"formattedCitation":"(TEZEL; FREDRICKSON, 2008)","plainTextFormattedCitation":"(TEZEL; FREDRICKSON, 2008)","previouslyFormattedCitation":"(TEZEL; FREDRICKSON, 2008)"},"properties":{"noteIndex":0},"schema":"https://github.com/citation-style-language/schema/raw/master/csl-citation.json"}</w:instrText>
      </w:r>
      <w:r>
        <w:rPr>
          <w:rFonts w:ascii="Times New Roman" w:eastAsia="Calibri" w:hAnsi="Times New Roman" w:cs="Times New Roman"/>
          <w:color w:val="000000"/>
        </w:rPr>
        <w:fldChar w:fldCharType="separate"/>
      </w:r>
      <w:r w:rsidRPr="00BD2B3C">
        <w:rPr>
          <w:rFonts w:ascii="Times New Roman" w:eastAsia="Calibri" w:hAnsi="Times New Roman" w:cs="Times New Roman"/>
          <w:noProof/>
          <w:color w:val="000000"/>
        </w:rPr>
        <w:t>(TEZEL; FREDRICKSON, 2008)</w:t>
      </w:r>
      <w:r>
        <w:rPr>
          <w:rFonts w:ascii="Times New Roman" w:eastAsia="Calibri" w:hAnsi="Times New Roman" w:cs="Times New Roman"/>
          <w:color w:val="000000"/>
        </w:rPr>
        <w:fldChar w:fldCharType="end"/>
      </w:r>
      <w:r w:rsidRPr="00B44ACF">
        <w:rPr>
          <w:rFonts w:ascii="Times New Roman" w:eastAsia="Calibri" w:hAnsi="Times New Roman" w:cs="Times New Roman"/>
          <w:color w:val="000000"/>
        </w:rPr>
        <w:t>.</w:t>
      </w:r>
      <w:r w:rsidRPr="00B44ACF">
        <w:rPr>
          <w:rFonts w:ascii="Times New Roman" w:eastAsia="Calibri" w:hAnsi="Times New Roman" w:cs="Times New Roman"/>
          <w:color w:val="000000"/>
        </w:rPr>
        <w:tab/>
      </w:r>
    </w:p>
    <w:p w14:paraId="5DD4398F" w14:textId="5A0EDCB8" w:rsidR="0038306F" w:rsidRDefault="0038306F" w:rsidP="0038306F">
      <w:pPr>
        <w:tabs>
          <w:tab w:val="left" w:pos="0"/>
        </w:tabs>
        <w:spacing w:after="0" w:line="360" w:lineRule="auto"/>
        <w:jc w:val="both"/>
        <w:rPr>
          <w:rFonts w:ascii="Times New Roman" w:eastAsia="Calibri" w:hAnsi="Times New Roman" w:cs="Times New Roman"/>
          <w:color w:val="000000"/>
        </w:rPr>
      </w:pPr>
      <w:r>
        <w:rPr>
          <w:rFonts w:ascii="Times New Roman" w:eastAsia="Calibri" w:hAnsi="Times New Roman" w:cs="Times New Roman"/>
          <w:color w:val="000000"/>
        </w:rPr>
        <w:tab/>
      </w:r>
      <w:r w:rsidRPr="00B44ACF">
        <w:rPr>
          <w:rFonts w:ascii="Times New Roman" w:eastAsia="Calibri" w:hAnsi="Times New Roman" w:cs="Times New Roman"/>
          <w:color w:val="000000"/>
        </w:rPr>
        <w:t xml:space="preserve">A </w:t>
      </w:r>
      <w:proofErr w:type="spellStart"/>
      <w:r w:rsidRPr="00B44ACF">
        <w:rPr>
          <w:rFonts w:ascii="Times New Roman" w:eastAsia="Calibri" w:hAnsi="Times New Roman" w:cs="Times New Roman"/>
          <w:color w:val="000000"/>
        </w:rPr>
        <w:t>reticulação</w:t>
      </w:r>
      <w:proofErr w:type="spellEnd"/>
      <w:r w:rsidRPr="00B44ACF">
        <w:rPr>
          <w:rFonts w:ascii="Times New Roman" w:eastAsia="Calibri" w:hAnsi="Times New Roman" w:cs="Times New Roman"/>
          <w:color w:val="000000"/>
        </w:rPr>
        <w:t xml:space="preserve"> realizada com o BDDE e </w:t>
      </w:r>
      <w:proofErr w:type="spellStart"/>
      <w:r w:rsidRPr="00B44ACF">
        <w:rPr>
          <w:rFonts w:ascii="Times New Roman" w:eastAsia="Calibri" w:hAnsi="Times New Roman" w:cs="Times New Roman"/>
          <w:color w:val="000000"/>
        </w:rPr>
        <w:t>hialuronato</w:t>
      </w:r>
      <w:proofErr w:type="spellEnd"/>
      <w:r w:rsidRPr="00B44ACF">
        <w:rPr>
          <w:rFonts w:ascii="Times New Roman" w:eastAsia="Calibri" w:hAnsi="Times New Roman" w:cs="Times New Roman"/>
          <w:color w:val="000000"/>
        </w:rPr>
        <w:t xml:space="preserve"> de sódio é mostrada </w:t>
      </w:r>
      <w:r w:rsidR="009A1A78">
        <w:rPr>
          <w:rFonts w:ascii="Times New Roman" w:eastAsia="Calibri" w:hAnsi="Times New Roman" w:cs="Times New Roman"/>
          <w:color w:val="000000"/>
        </w:rPr>
        <w:t xml:space="preserve">em alguns trabalhos como superiores à </w:t>
      </w:r>
      <w:proofErr w:type="spellStart"/>
      <w:r w:rsidR="009A1A78">
        <w:rPr>
          <w:rFonts w:ascii="Times New Roman" w:eastAsia="Calibri" w:hAnsi="Times New Roman" w:cs="Times New Roman"/>
          <w:color w:val="000000"/>
        </w:rPr>
        <w:t>fosfonas</w:t>
      </w:r>
      <w:proofErr w:type="spellEnd"/>
      <w:r w:rsidR="009A1A78">
        <w:rPr>
          <w:rFonts w:ascii="Times New Roman" w:eastAsia="Calibri" w:hAnsi="Times New Roman" w:cs="Times New Roman"/>
          <w:color w:val="000000"/>
        </w:rPr>
        <w:t xml:space="preserve">. </w:t>
      </w:r>
      <w:r w:rsidRPr="00B44ACF">
        <w:rPr>
          <w:rFonts w:ascii="Times New Roman" w:eastAsia="Calibri" w:hAnsi="Times New Roman" w:cs="Times New Roman"/>
          <w:color w:val="000000"/>
        </w:rPr>
        <w:t xml:space="preserve"> </w:t>
      </w:r>
      <w:r>
        <w:rPr>
          <w:rFonts w:ascii="Times New Roman" w:eastAsia="Calibri" w:hAnsi="Times New Roman" w:cs="Times New Roman"/>
          <w:color w:val="000000"/>
        </w:rPr>
        <w:t>N</w:t>
      </w:r>
      <w:r w:rsidR="009A1A78">
        <w:rPr>
          <w:rFonts w:ascii="Times New Roman" w:eastAsia="Calibri" w:hAnsi="Times New Roman" w:cs="Times New Roman"/>
          <w:color w:val="000000"/>
        </w:rPr>
        <w:t xml:space="preserve">o trabalho citado </w:t>
      </w:r>
      <w:r>
        <w:rPr>
          <w:rFonts w:ascii="Times New Roman" w:eastAsia="Calibri" w:hAnsi="Times New Roman" w:cs="Times New Roman"/>
          <w:color w:val="000000"/>
        </w:rPr>
        <w:t>é possível visualizar a molécula de</w:t>
      </w:r>
      <w:r w:rsidRPr="00B44ACF">
        <w:rPr>
          <w:rFonts w:ascii="Times New Roman" w:eastAsia="Calibri" w:hAnsi="Times New Roman" w:cs="Times New Roman"/>
          <w:color w:val="000000"/>
        </w:rPr>
        <w:t xml:space="preserve"> </w:t>
      </w:r>
      <w:r>
        <w:rPr>
          <w:rFonts w:ascii="Times New Roman" w:eastAsia="Calibri" w:hAnsi="Times New Roman" w:cs="Times New Roman"/>
          <w:color w:val="000000"/>
        </w:rPr>
        <w:t>BDDE com dois</w:t>
      </w:r>
      <w:r w:rsidRPr="00B44ACF">
        <w:rPr>
          <w:rFonts w:ascii="Times New Roman" w:eastAsia="Calibri" w:hAnsi="Times New Roman" w:cs="Times New Roman"/>
          <w:color w:val="000000"/>
        </w:rPr>
        <w:t xml:space="preserve"> grupamentos </w:t>
      </w:r>
      <w:proofErr w:type="spellStart"/>
      <w:r w:rsidRPr="00B44ACF">
        <w:rPr>
          <w:rFonts w:ascii="Times New Roman" w:eastAsia="Calibri" w:hAnsi="Times New Roman" w:cs="Times New Roman"/>
          <w:color w:val="000000"/>
        </w:rPr>
        <w:t>epóxidos</w:t>
      </w:r>
      <w:proofErr w:type="spellEnd"/>
      <w:r w:rsidRPr="00B44ACF">
        <w:rPr>
          <w:rFonts w:ascii="Times New Roman" w:eastAsia="Calibri" w:hAnsi="Times New Roman" w:cs="Times New Roman"/>
          <w:color w:val="000000"/>
        </w:rPr>
        <w:t xml:space="preserve"> capazes de ligar-se às moléculas do </w:t>
      </w:r>
      <w:proofErr w:type="spellStart"/>
      <w:r w:rsidRPr="00B44ACF">
        <w:rPr>
          <w:rFonts w:ascii="Times New Roman" w:eastAsia="Calibri" w:hAnsi="Times New Roman" w:cs="Times New Roman"/>
          <w:color w:val="000000"/>
        </w:rPr>
        <w:t>hialuronato</w:t>
      </w:r>
      <w:proofErr w:type="spellEnd"/>
      <w:r w:rsidRPr="00B44ACF">
        <w:rPr>
          <w:rFonts w:ascii="Times New Roman" w:eastAsia="Calibri" w:hAnsi="Times New Roman" w:cs="Times New Roman"/>
          <w:color w:val="000000"/>
        </w:rPr>
        <w:t>, formando assim uma ponte entre as cadeias lineares d</w:t>
      </w:r>
      <w:r>
        <w:rPr>
          <w:rFonts w:ascii="Times New Roman" w:eastAsia="Calibri" w:hAnsi="Times New Roman" w:cs="Times New Roman"/>
          <w:color w:val="000000"/>
        </w:rPr>
        <w:t>e</w:t>
      </w:r>
      <w:r w:rsidRPr="00B44ACF">
        <w:rPr>
          <w:rFonts w:ascii="Times New Roman" w:eastAsia="Calibri" w:hAnsi="Times New Roman" w:cs="Times New Roman"/>
          <w:color w:val="000000"/>
        </w:rPr>
        <w:t xml:space="preserve"> ácido hialurônico. </w:t>
      </w:r>
    </w:p>
    <w:p w14:paraId="07365B75" w14:textId="4B5F5E76" w:rsidR="009A1A78" w:rsidRDefault="009A1A78" w:rsidP="0038306F">
      <w:pPr>
        <w:tabs>
          <w:tab w:val="left" w:pos="0"/>
        </w:tabs>
        <w:spacing w:after="0" w:line="360" w:lineRule="auto"/>
        <w:jc w:val="both"/>
        <w:rPr>
          <w:rFonts w:ascii="Times New Roman" w:eastAsia="Calibri" w:hAnsi="Times New Roman" w:cs="Times New Roman"/>
          <w:color w:val="000000"/>
        </w:rPr>
      </w:pPr>
    </w:p>
    <w:p w14:paraId="24B7AF3C" w14:textId="35CA4685" w:rsidR="009A1A78" w:rsidRDefault="009A1A78" w:rsidP="0038306F">
      <w:pPr>
        <w:tabs>
          <w:tab w:val="left" w:pos="0"/>
        </w:tabs>
        <w:spacing w:after="0" w:line="360" w:lineRule="auto"/>
        <w:jc w:val="both"/>
        <w:rPr>
          <w:rFonts w:ascii="Times New Roman" w:eastAsia="Calibri" w:hAnsi="Times New Roman" w:cs="Times New Roman"/>
          <w:color w:val="000000"/>
        </w:rPr>
      </w:pPr>
    </w:p>
    <w:p w14:paraId="2C003F39" w14:textId="19DD5470" w:rsidR="009A1A78" w:rsidRDefault="009A1A78" w:rsidP="0038306F">
      <w:pPr>
        <w:tabs>
          <w:tab w:val="left" w:pos="0"/>
        </w:tabs>
        <w:spacing w:after="0" w:line="360" w:lineRule="auto"/>
        <w:jc w:val="both"/>
        <w:rPr>
          <w:rFonts w:ascii="Times New Roman" w:eastAsia="Calibri" w:hAnsi="Times New Roman" w:cs="Times New Roman"/>
          <w:color w:val="000000"/>
        </w:rPr>
      </w:pPr>
      <w:r>
        <w:rPr>
          <w:rFonts w:ascii="Times New Roman" w:eastAsia="Calibri" w:hAnsi="Times New Roman" w:cs="Times New Roman"/>
          <w:color w:val="000000"/>
        </w:rPr>
        <w:tab/>
        <w:t xml:space="preserve">Tendo por base estas características presentes no produto Opus Joint é que optamos por adotar o mesmo em nossa rotina </w:t>
      </w:r>
      <w:proofErr w:type="spellStart"/>
      <w:proofErr w:type="gramStart"/>
      <w:r>
        <w:rPr>
          <w:rFonts w:ascii="Times New Roman" w:eastAsia="Calibri" w:hAnsi="Times New Roman" w:cs="Times New Roman"/>
          <w:color w:val="000000"/>
        </w:rPr>
        <w:t>clinica</w:t>
      </w:r>
      <w:proofErr w:type="spellEnd"/>
      <w:proofErr w:type="gramEnd"/>
      <w:r>
        <w:rPr>
          <w:rFonts w:ascii="Times New Roman" w:eastAsia="Calibri" w:hAnsi="Times New Roman" w:cs="Times New Roman"/>
          <w:color w:val="000000"/>
        </w:rPr>
        <w:t xml:space="preserve">. </w:t>
      </w:r>
    </w:p>
    <w:p w14:paraId="5AFCFC7E" w14:textId="366F4344" w:rsidR="009A1A78" w:rsidRDefault="009A1A78" w:rsidP="0038306F">
      <w:pPr>
        <w:tabs>
          <w:tab w:val="left" w:pos="0"/>
        </w:tabs>
        <w:spacing w:after="0" w:line="360" w:lineRule="auto"/>
        <w:jc w:val="both"/>
        <w:rPr>
          <w:rFonts w:ascii="Times New Roman" w:eastAsia="Calibri" w:hAnsi="Times New Roman" w:cs="Times New Roman"/>
          <w:color w:val="000000"/>
        </w:rPr>
      </w:pPr>
    </w:p>
    <w:p w14:paraId="65746B35" w14:textId="3E41B27C" w:rsidR="009A1A78" w:rsidRDefault="009A1A78" w:rsidP="0038306F">
      <w:pPr>
        <w:tabs>
          <w:tab w:val="left" w:pos="0"/>
        </w:tabs>
        <w:spacing w:after="0" w:line="360" w:lineRule="auto"/>
        <w:jc w:val="both"/>
        <w:rPr>
          <w:rFonts w:ascii="Times New Roman" w:eastAsia="Calibri" w:hAnsi="Times New Roman" w:cs="Times New Roman"/>
          <w:color w:val="000000"/>
        </w:rPr>
      </w:pPr>
    </w:p>
    <w:p w14:paraId="79691DE7" w14:textId="0CC76769" w:rsidR="009A1A78" w:rsidRPr="00B44ACF" w:rsidRDefault="009A1A78" w:rsidP="0038306F">
      <w:pPr>
        <w:tabs>
          <w:tab w:val="left" w:pos="0"/>
        </w:tabs>
        <w:spacing w:after="0" w:line="360" w:lineRule="auto"/>
        <w:jc w:val="both"/>
        <w:rPr>
          <w:rFonts w:ascii="Times New Roman" w:eastAsia="Calibri" w:hAnsi="Times New Roman" w:cs="Times New Roman"/>
          <w:color w:val="000000"/>
        </w:rPr>
      </w:pPr>
      <w:r>
        <w:rPr>
          <w:rFonts w:ascii="Times New Roman" w:eastAsia="Calibri" w:hAnsi="Times New Roman" w:cs="Times New Roman"/>
          <w:color w:val="000000"/>
        </w:rPr>
        <w:t>Sem mais para o momento....</w:t>
      </w:r>
    </w:p>
    <w:p w14:paraId="31B11B0F" w14:textId="0FC4F5C6" w:rsidR="0038306F" w:rsidRDefault="0038306F" w:rsidP="0038306F">
      <w:pPr>
        <w:tabs>
          <w:tab w:val="left" w:pos="0"/>
        </w:tabs>
        <w:spacing w:after="0" w:line="360" w:lineRule="auto"/>
        <w:jc w:val="center"/>
        <w:rPr>
          <w:rFonts w:ascii="Times New Roman" w:eastAsia="Calibri" w:hAnsi="Times New Roman" w:cs="Times New Roman"/>
          <w:color w:val="000000"/>
        </w:rPr>
      </w:pPr>
    </w:p>
    <w:p w14:paraId="121566A1" w14:textId="77777777" w:rsidR="009A1A78" w:rsidRPr="00B44ACF" w:rsidRDefault="009A1A78" w:rsidP="0038306F">
      <w:pPr>
        <w:tabs>
          <w:tab w:val="left" w:pos="0"/>
        </w:tabs>
        <w:spacing w:after="0" w:line="360" w:lineRule="auto"/>
        <w:jc w:val="center"/>
        <w:rPr>
          <w:rFonts w:ascii="Times New Roman" w:eastAsia="Calibri" w:hAnsi="Times New Roman" w:cs="Times New Roman"/>
          <w:color w:val="000000"/>
        </w:rPr>
      </w:pPr>
    </w:p>
    <w:p w14:paraId="4CF6758F" w14:textId="77777777" w:rsidR="0038306F" w:rsidRDefault="0038306F" w:rsidP="0038306F">
      <w:pPr>
        <w:tabs>
          <w:tab w:val="left" w:pos="1076"/>
        </w:tabs>
        <w:spacing w:after="0" w:line="360" w:lineRule="auto"/>
        <w:jc w:val="both"/>
        <w:rPr>
          <w:rFonts w:ascii="Times New Roman" w:eastAsia="Calibri" w:hAnsi="Times New Roman" w:cs="Times New Roman"/>
        </w:rPr>
      </w:pPr>
    </w:p>
    <w:p w14:paraId="7CEFC722" w14:textId="77777777" w:rsidR="008C1904" w:rsidRDefault="008C1904" w:rsidP="0038306F">
      <w:pPr>
        <w:jc w:val="both"/>
        <w:rPr>
          <w:rFonts w:cstheme="minorHAnsi"/>
          <w:sz w:val="24"/>
          <w:szCs w:val="24"/>
        </w:rPr>
      </w:pPr>
    </w:p>
    <w:sectPr w:rsidR="008C190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C420EB" w14:textId="77777777" w:rsidR="00256293" w:rsidRDefault="00256293" w:rsidP="006B612A">
      <w:pPr>
        <w:spacing w:after="0" w:line="240" w:lineRule="auto"/>
      </w:pPr>
      <w:r>
        <w:separator/>
      </w:r>
    </w:p>
  </w:endnote>
  <w:endnote w:type="continuationSeparator" w:id="0">
    <w:p w14:paraId="4794006F" w14:textId="77777777" w:rsidR="00256293" w:rsidRDefault="00256293" w:rsidP="006B6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25DFC" w14:textId="77777777" w:rsidR="00256293" w:rsidRDefault="00256293" w:rsidP="006B612A">
      <w:pPr>
        <w:spacing w:after="0" w:line="240" w:lineRule="auto"/>
      </w:pPr>
      <w:r>
        <w:separator/>
      </w:r>
    </w:p>
  </w:footnote>
  <w:footnote w:type="continuationSeparator" w:id="0">
    <w:p w14:paraId="5DD426D7" w14:textId="77777777" w:rsidR="00256293" w:rsidRDefault="00256293" w:rsidP="006B61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591"/>
    <w:rsid w:val="001379CB"/>
    <w:rsid w:val="0014373A"/>
    <w:rsid w:val="001C4F91"/>
    <w:rsid w:val="001D1D25"/>
    <w:rsid w:val="00252583"/>
    <w:rsid w:val="00256293"/>
    <w:rsid w:val="00264A3D"/>
    <w:rsid w:val="002C6E1D"/>
    <w:rsid w:val="00321654"/>
    <w:rsid w:val="0038306F"/>
    <w:rsid w:val="00424C75"/>
    <w:rsid w:val="00550A75"/>
    <w:rsid w:val="00580408"/>
    <w:rsid w:val="00596E24"/>
    <w:rsid w:val="00696C68"/>
    <w:rsid w:val="006B612A"/>
    <w:rsid w:val="006C2FAD"/>
    <w:rsid w:val="00872961"/>
    <w:rsid w:val="008C0389"/>
    <w:rsid w:val="008C1904"/>
    <w:rsid w:val="009A1A78"/>
    <w:rsid w:val="009D4628"/>
    <w:rsid w:val="009F05F3"/>
    <w:rsid w:val="009F2556"/>
    <w:rsid w:val="00A51492"/>
    <w:rsid w:val="00C51742"/>
    <w:rsid w:val="00CA512E"/>
    <w:rsid w:val="00CD03AD"/>
    <w:rsid w:val="00D42C2E"/>
    <w:rsid w:val="00DF3591"/>
    <w:rsid w:val="00FC47C3"/>
    <w:rsid w:val="00FE78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DE519"/>
  <w15:docId w15:val="{941BFDF3-5460-47AB-9CD2-AAD73A8C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B612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B612A"/>
  </w:style>
  <w:style w:type="paragraph" w:styleId="Rodap">
    <w:name w:val="footer"/>
    <w:basedOn w:val="Normal"/>
    <w:link w:val="RodapChar"/>
    <w:uiPriority w:val="99"/>
    <w:unhideWhenUsed/>
    <w:rsid w:val="006B612A"/>
    <w:pPr>
      <w:tabs>
        <w:tab w:val="center" w:pos="4252"/>
        <w:tab w:val="right" w:pos="8504"/>
      </w:tabs>
      <w:spacing w:after="0" w:line="240" w:lineRule="auto"/>
    </w:pPr>
  </w:style>
  <w:style w:type="character" w:customStyle="1" w:styleId="RodapChar">
    <w:name w:val="Rodapé Char"/>
    <w:basedOn w:val="Fontepargpadro"/>
    <w:link w:val="Rodap"/>
    <w:uiPriority w:val="99"/>
    <w:rsid w:val="006B6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Pages>
  <Words>5933</Words>
  <Characters>32039</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Marcelo Lemes</cp:lastModifiedBy>
  <cp:revision>5</cp:revision>
  <dcterms:created xsi:type="dcterms:W3CDTF">2021-09-22T19:15:00Z</dcterms:created>
  <dcterms:modified xsi:type="dcterms:W3CDTF">2021-10-01T03:00:00Z</dcterms:modified>
</cp:coreProperties>
</file>