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55AB0" w14:textId="77777777" w:rsidR="00673BFD" w:rsidRDefault="00673BFD" w:rsidP="000F5C2E">
      <w:pPr>
        <w:rPr>
          <w:sz w:val="28"/>
          <w:szCs w:val="28"/>
        </w:rPr>
      </w:pPr>
    </w:p>
    <w:p w14:paraId="2924F90A" w14:textId="77777777" w:rsidR="00627B55" w:rsidRDefault="00201A21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B16149">
        <w:rPr>
          <w:sz w:val="28"/>
          <w:szCs w:val="28"/>
        </w:rPr>
        <w:t xml:space="preserve"> </w:t>
      </w:r>
      <w:r w:rsidR="00B16149" w:rsidRPr="009E45E7">
        <w:rPr>
          <w:b/>
          <w:sz w:val="28"/>
          <w:szCs w:val="28"/>
        </w:rPr>
        <w:t>Silv</w:t>
      </w:r>
      <w:r w:rsidR="00380E9E">
        <w:rPr>
          <w:b/>
          <w:sz w:val="28"/>
          <w:szCs w:val="28"/>
        </w:rPr>
        <w:t>i</w:t>
      </w:r>
      <w:r w:rsidR="00B16149" w:rsidRPr="009E45E7">
        <w:rPr>
          <w:b/>
          <w:sz w:val="28"/>
          <w:szCs w:val="28"/>
        </w:rPr>
        <w:t>a Letícia Borges Cruz</w:t>
      </w:r>
      <w:r w:rsidR="00B16149">
        <w:rPr>
          <w:sz w:val="28"/>
          <w:szCs w:val="28"/>
        </w:rPr>
        <w:t xml:space="preserve">, portadora de encurtamento e deformidade em varo do fêmur esquerdo, foi </w:t>
      </w:r>
      <w:r w:rsidR="00627B55">
        <w:rPr>
          <w:sz w:val="28"/>
          <w:szCs w:val="28"/>
        </w:rPr>
        <w:t>submetida</w:t>
      </w:r>
      <w:r w:rsidR="00C25B0E">
        <w:rPr>
          <w:sz w:val="28"/>
          <w:szCs w:val="28"/>
        </w:rPr>
        <w:t xml:space="preserve"> a tratamento cirúrgico para correção de deformid</w:t>
      </w:r>
      <w:r w:rsidR="00627B55">
        <w:rPr>
          <w:sz w:val="28"/>
          <w:szCs w:val="28"/>
        </w:rPr>
        <w:t>ade e alongamento ósseo, evoluindo</w:t>
      </w:r>
      <w:r w:rsidR="00C25B0E">
        <w:rPr>
          <w:sz w:val="28"/>
          <w:szCs w:val="28"/>
        </w:rPr>
        <w:t xml:space="preserve"> com a não formação do regenerado, o que necessitou de novo procedimento cirúrgico para colocação de enxerto ósseo autólogo, evoluindo</w:t>
      </w:r>
      <w:r w:rsidR="00391344">
        <w:rPr>
          <w:sz w:val="28"/>
          <w:szCs w:val="28"/>
        </w:rPr>
        <w:t xml:space="preserve"> novamente para não consolidação do osso </w:t>
      </w:r>
      <w:proofErr w:type="spellStart"/>
      <w:r w:rsidR="00391344">
        <w:rPr>
          <w:sz w:val="28"/>
          <w:szCs w:val="28"/>
        </w:rPr>
        <w:t>regenrado</w:t>
      </w:r>
      <w:proofErr w:type="spellEnd"/>
      <w:r w:rsidR="00391344">
        <w:rPr>
          <w:sz w:val="28"/>
          <w:szCs w:val="28"/>
        </w:rPr>
        <w:t>.</w:t>
      </w:r>
    </w:p>
    <w:p w14:paraId="0A72CC14" w14:textId="77777777" w:rsidR="007431F3" w:rsidRDefault="00627B55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A</w:t>
      </w:r>
      <w:r w:rsidR="00C25B0E">
        <w:rPr>
          <w:sz w:val="28"/>
          <w:szCs w:val="28"/>
        </w:rPr>
        <w:t>tualmente e</w:t>
      </w:r>
      <w:r w:rsidR="00391344">
        <w:rPr>
          <w:sz w:val="28"/>
          <w:szCs w:val="28"/>
        </w:rPr>
        <w:t xml:space="preserve">ncontra-se com quadro de </w:t>
      </w:r>
      <w:proofErr w:type="spellStart"/>
      <w:r w:rsidR="00391344">
        <w:rPr>
          <w:sz w:val="28"/>
          <w:szCs w:val="28"/>
        </w:rPr>
        <w:t>pseudo</w:t>
      </w:r>
      <w:r w:rsidR="00C25B0E">
        <w:rPr>
          <w:sz w:val="28"/>
          <w:szCs w:val="28"/>
        </w:rPr>
        <w:t>artrose</w:t>
      </w:r>
      <w:proofErr w:type="spellEnd"/>
      <w:r w:rsidR="00C25B0E">
        <w:rPr>
          <w:sz w:val="28"/>
          <w:szCs w:val="28"/>
        </w:rPr>
        <w:t xml:space="preserve">, deformidade ao nível do aparelho e sinais alérgicos </w:t>
      </w:r>
      <w:r w:rsidR="00391344">
        <w:rPr>
          <w:sz w:val="28"/>
          <w:szCs w:val="28"/>
        </w:rPr>
        <w:t>nos pinos, que impossibilita a manutenção do fixador externo</w:t>
      </w:r>
      <w:r w:rsidR="00C25B0E">
        <w:rPr>
          <w:sz w:val="28"/>
          <w:szCs w:val="28"/>
        </w:rPr>
        <w:t>, portanto solicito a liberação do</w:t>
      </w:r>
      <w:r w:rsidR="00C25B0E">
        <w:rPr>
          <w:b/>
          <w:sz w:val="28"/>
          <w:szCs w:val="28"/>
        </w:rPr>
        <w:t xml:space="preserve">1. Kit introdutor para cateter LP-CT </w:t>
      </w:r>
      <w:r w:rsidR="00C25B0E" w:rsidRPr="00003DE1">
        <w:rPr>
          <w:b/>
          <w:sz w:val="28"/>
          <w:szCs w:val="28"/>
        </w:rPr>
        <w:t xml:space="preserve">destinado à aspiração e </w:t>
      </w:r>
      <w:proofErr w:type="spellStart"/>
      <w:r w:rsidR="00C25B0E" w:rsidRPr="00003DE1">
        <w:rPr>
          <w:b/>
          <w:sz w:val="28"/>
          <w:szCs w:val="28"/>
        </w:rPr>
        <w:t>lipoenxertia</w:t>
      </w:r>
      <w:proofErr w:type="spellEnd"/>
      <w:r w:rsidR="00C25B0E" w:rsidRPr="00003DE1">
        <w:rPr>
          <w:b/>
          <w:sz w:val="28"/>
          <w:szCs w:val="28"/>
        </w:rPr>
        <w:t>,</w:t>
      </w:r>
      <w:r w:rsidR="00C25B0E">
        <w:rPr>
          <w:b/>
          <w:sz w:val="28"/>
          <w:szCs w:val="28"/>
        </w:rPr>
        <w:t xml:space="preserve"> contendo </w:t>
      </w:r>
      <w:r w:rsidR="00C25B0E" w:rsidRPr="004E75F2">
        <w:rPr>
          <w:b/>
          <w:sz w:val="28"/>
          <w:szCs w:val="28"/>
        </w:rPr>
        <w:t xml:space="preserve">Fibra Óptica flexível </w:t>
      </w:r>
      <w:r w:rsidR="00C25B0E">
        <w:rPr>
          <w:b/>
          <w:sz w:val="28"/>
          <w:szCs w:val="28"/>
        </w:rPr>
        <w:t xml:space="preserve">2,5m, cânula reta e coletor Conjunto esse descartável </w:t>
      </w:r>
      <w:r w:rsidR="00C25B0E" w:rsidRPr="00003DE1">
        <w:rPr>
          <w:b/>
          <w:sz w:val="28"/>
          <w:szCs w:val="28"/>
        </w:rPr>
        <w:t>para coleta de enxerto composto com  colheita e preservação de adipócitos e células tronco derivadas do tecido adiposo</w:t>
      </w:r>
      <w:r w:rsidR="00C25B0E">
        <w:rPr>
          <w:b/>
          <w:sz w:val="28"/>
          <w:szCs w:val="28"/>
        </w:rPr>
        <w:t xml:space="preserve">, </w:t>
      </w:r>
      <w:r w:rsidR="00C25B0E">
        <w:rPr>
          <w:sz w:val="28"/>
          <w:szCs w:val="28"/>
        </w:rPr>
        <w:t>a fim de possibilitar um novo procedimento ci</w:t>
      </w:r>
      <w:r w:rsidR="00391344">
        <w:rPr>
          <w:sz w:val="28"/>
          <w:szCs w:val="28"/>
        </w:rPr>
        <w:t>rúrgico para a conversão da fixação externa para a interna(placa e parafusos)</w:t>
      </w:r>
      <w:r w:rsidR="00C25B0E">
        <w:rPr>
          <w:sz w:val="28"/>
          <w:szCs w:val="28"/>
        </w:rPr>
        <w:t xml:space="preserve"> </w:t>
      </w:r>
      <w:r w:rsidR="00C25B0E" w:rsidRPr="009E45E7">
        <w:rPr>
          <w:b/>
          <w:sz w:val="28"/>
          <w:szCs w:val="28"/>
        </w:rPr>
        <w:t xml:space="preserve">e implante </w:t>
      </w:r>
      <w:r w:rsidR="009E45E7" w:rsidRPr="009E45E7">
        <w:rPr>
          <w:b/>
          <w:sz w:val="28"/>
          <w:szCs w:val="28"/>
        </w:rPr>
        <w:t>das células</w:t>
      </w:r>
      <w:r w:rsidR="00C25B0E" w:rsidRPr="009E45E7">
        <w:rPr>
          <w:b/>
          <w:sz w:val="28"/>
          <w:szCs w:val="28"/>
        </w:rPr>
        <w:t xml:space="preserve"> autólogas com estroma vascular de células tronco</w:t>
      </w:r>
      <w:r w:rsidR="00391344">
        <w:rPr>
          <w:b/>
          <w:sz w:val="28"/>
          <w:szCs w:val="28"/>
        </w:rPr>
        <w:t xml:space="preserve"> mesenquimal, </w:t>
      </w:r>
      <w:r w:rsidR="009E45E7" w:rsidRPr="009E45E7">
        <w:rPr>
          <w:b/>
          <w:sz w:val="28"/>
          <w:szCs w:val="28"/>
        </w:rPr>
        <w:t>do tecido adiposo</w:t>
      </w:r>
      <w:r w:rsidR="00391344">
        <w:rPr>
          <w:sz w:val="28"/>
          <w:szCs w:val="28"/>
        </w:rPr>
        <w:t xml:space="preserve">, ao nível do foco da </w:t>
      </w:r>
      <w:proofErr w:type="spellStart"/>
      <w:r w:rsidR="00391344">
        <w:rPr>
          <w:sz w:val="28"/>
          <w:szCs w:val="28"/>
        </w:rPr>
        <w:t>pseudo</w:t>
      </w:r>
      <w:r w:rsidR="009E45E7">
        <w:rPr>
          <w:sz w:val="28"/>
          <w:szCs w:val="28"/>
        </w:rPr>
        <w:t>artrose</w:t>
      </w:r>
      <w:proofErr w:type="spellEnd"/>
      <w:r w:rsidR="009E45E7">
        <w:rPr>
          <w:sz w:val="28"/>
          <w:szCs w:val="28"/>
        </w:rPr>
        <w:t xml:space="preserve"> com o intuito de obter a consolidação e evitar a reação de corpo estranho, uma vez que já ocorreu no primeiro ato cirúrgico.</w:t>
      </w:r>
      <w:r w:rsidR="00C25B0E">
        <w:rPr>
          <w:sz w:val="28"/>
          <w:szCs w:val="28"/>
        </w:rPr>
        <w:t xml:space="preserve">  </w:t>
      </w:r>
    </w:p>
    <w:p w14:paraId="710BCDC4" w14:textId="77777777" w:rsidR="009E45E7" w:rsidRDefault="009E45E7" w:rsidP="009E45E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Kit introdutor para cateter LP-CT </w:t>
      </w:r>
      <w:r w:rsidRPr="00003DE1">
        <w:rPr>
          <w:b/>
          <w:sz w:val="28"/>
          <w:szCs w:val="28"/>
        </w:rPr>
        <w:t xml:space="preserve">destinado à aspiração e </w:t>
      </w:r>
      <w:proofErr w:type="spellStart"/>
      <w:r w:rsidRPr="00003DE1">
        <w:rPr>
          <w:b/>
          <w:sz w:val="28"/>
          <w:szCs w:val="28"/>
        </w:rPr>
        <w:t>lipoenxertia</w:t>
      </w:r>
      <w:proofErr w:type="spellEnd"/>
      <w:r w:rsidRPr="00003DE1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contendo </w:t>
      </w:r>
      <w:r w:rsidRPr="004E75F2">
        <w:rPr>
          <w:b/>
          <w:sz w:val="28"/>
          <w:szCs w:val="28"/>
        </w:rPr>
        <w:t xml:space="preserve">Fibra Óptica flexível </w:t>
      </w:r>
      <w:r>
        <w:rPr>
          <w:b/>
          <w:sz w:val="28"/>
          <w:szCs w:val="28"/>
        </w:rPr>
        <w:t xml:space="preserve">2,5m, cânula reta e coletor Conjunto esse descartável </w:t>
      </w:r>
      <w:r w:rsidRPr="00003DE1">
        <w:rPr>
          <w:b/>
          <w:sz w:val="28"/>
          <w:szCs w:val="28"/>
        </w:rPr>
        <w:t>para coleta de enxerto composto com  colheita e preservação de adipócitos e células tronco derivadas do tecido adiposo</w:t>
      </w:r>
      <w:r>
        <w:rPr>
          <w:b/>
          <w:sz w:val="28"/>
          <w:szCs w:val="28"/>
        </w:rPr>
        <w:t>.</w:t>
      </w:r>
      <w:r w:rsidRPr="00003DE1">
        <w:rPr>
          <w:b/>
          <w:sz w:val="28"/>
          <w:szCs w:val="28"/>
        </w:rPr>
        <w:t xml:space="preserve"> </w:t>
      </w:r>
    </w:p>
    <w:p w14:paraId="6CE1C260" w14:textId="77777777" w:rsidR="009E45E7" w:rsidRDefault="009E45E7" w:rsidP="009E45E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A coleta de enxerto composto com o uso da técnica de foto estimulação tem a vantagem de além de estimular os adipócitos e células mesenquimais do tecido adiposo, evitando os detritos comuns das colheitas convencionais, o que exigem uso indesejado de enzimas para processamento e purificação do enxerto composto a fim de retirar membranas de células rompidas durante a colheita (apoptose) e tecido conectivo que traz possíveis distúrbios cicatriciais. </w:t>
      </w:r>
    </w:p>
    <w:p w14:paraId="2BEAC58D" w14:textId="77777777" w:rsidR="009E45E7" w:rsidRPr="0070250D" w:rsidRDefault="009E45E7" w:rsidP="009E45E7">
      <w:pPr>
        <w:jc w:val="both"/>
        <w:rPr>
          <w:sz w:val="28"/>
          <w:szCs w:val="28"/>
        </w:rPr>
      </w:pPr>
      <w:r w:rsidRPr="0070250D">
        <w:rPr>
          <w:sz w:val="28"/>
          <w:szCs w:val="28"/>
        </w:rPr>
        <w:t xml:space="preserve">Foi realizado muitos estudos de laboratório nos quais foi comparado várias variáveis ​​dos adipócitos e ADSC obtido por SAL e as amostras </w:t>
      </w:r>
      <w:r w:rsidRPr="0070250D">
        <w:rPr>
          <w:sz w:val="28"/>
          <w:szCs w:val="28"/>
        </w:rPr>
        <w:lastRenderedPageBreak/>
        <w:t xml:space="preserve">obtidas pela técnica </w:t>
      </w:r>
      <w:proofErr w:type="spellStart"/>
      <w:r w:rsidRPr="0070250D">
        <w:rPr>
          <w:sz w:val="28"/>
          <w:szCs w:val="28"/>
        </w:rPr>
        <w:t>One</w:t>
      </w:r>
      <w:proofErr w:type="spellEnd"/>
      <w:r w:rsidRPr="0070250D">
        <w:rPr>
          <w:sz w:val="28"/>
          <w:szCs w:val="28"/>
        </w:rPr>
        <w:t xml:space="preserve"> STEP. As variáveis ​​medidas e comparados foram: histologia dos adipócitos, o número e a porcentagem de viabilidade da ADSC em ambos, fresco e amostras cultivadas, atividade mitocondrial (MTT, em amostras frescas e após 12 horas de cultura), e finalmente a temperatura da pele e tecido subcutâneo antes / após a infiltração e imediatamente após a aplicação do laser. Nas imagens a seguir, podemos comparar as diferentes histologias mencionadas acima.</w:t>
      </w:r>
      <w:r w:rsidRPr="0070250D">
        <w:rPr>
          <w:noProof/>
          <w:sz w:val="28"/>
          <w:szCs w:val="28"/>
        </w:rPr>
        <w:drawing>
          <wp:inline distT="0" distB="0" distL="0" distR="0" wp14:anchorId="0BDBC881" wp14:editId="09A7C4F3">
            <wp:extent cx="5400675" cy="20955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829E" w14:textId="77777777" w:rsidR="009E45E7" w:rsidRPr="0070250D" w:rsidRDefault="009E45E7" w:rsidP="009E45E7">
      <w:pPr>
        <w:jc w:val="both"/>
        <w:rPr>
          <w:sz w:val="18"/>
          <w:szCs w:val="18"/>
        </w:rPr>
      </w:pPr>
      <w:r w:rsidRPr="0070250D">
        <w:rPr>
          <w:sz w:val="18"/>
          <w:szCs w:val="18"/>
        </w:rPr>
        <w:t xml:space="preserve">Microscopia 20x: células adiposas, 12 horas após a colheita (AT): Podemos ver as diferenças entre SAL (esquerda) imagem) e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™ (imagem à direita), enquanto a histologia é preservada sem partículas inflamatórias (manchas pretas) em comparação com a SAL, onde os adipócitos apresentam uma morfologia alterada, detritos (membrana citoplasmática) e um alto número de partículas inflamatórias.</w:t>
      </w:r>
    </w:p>
    <w:p w14:paraId="4A04E3C7" w14:textId="77777777" w:rsidR="009E45E7" w:rsidRPr="0070250D" w:rsidRDefault="009E45E7" w:rsidP="009E45E7">
      <w:pPr>
        <w:jc w:val="both"/>
        <w:rPr>
          <w:sz w:val="28"/>
          <w:szCs w:val="28"/>
        </w:rPr>
      </w:pPr>
      <w:r w:rsidRPr="0070250D">
        <w:rPr>
          <w:noProof/>
          <w:sz w:val="28"/>
          <w:szCs w:val="28"/>
        </w:rPr>
        <w:drawing>
          <wp:inline distT="0" distB="0" distL="0" distR="0" wp14:anchorId="043B47B7" wp14:editId="713AFC1D">
            <wp:extent cx="5400675" cy="19907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33737" w14:textId="77777777" w:rsidR="009E45E7" w:rsidRPr="0070250D" w:rsidRDefault="009E45E7" w:rsidP="009E45E7">
      <w:pPr>
        <w:jc w:val="both"/>
        <w:rPr>
          <w:sz w:val="18"/>
          <w:szCs w:val="18"/>
        </w:rPr>
      </w:pPr>
      <w:r w:rsidRPr="0070250D">
        <w:rPr>
          <w:sz w:val="18"/>
          <w:szCs w:val="18"/>
        </w:rPr>
        <w:t xml:space="preserve">TECIDO CONJUNTO: Podemos ver nessas imagens comparativas do AT (seringa) aspirado fresco mostra as diferenças da quantidade de tecido conjuntivo entre SAL (ESQUERDA), que é o denso rosa cor que envolve a célula adiposa, enquanto no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(DIREITO) é quase inexistente. (Hematoxilina / Eosina)</w:t>
      </w:r>
    </w:p>
    <w:p w14:paraId="6889FE5D" w14:textId="77777777" w:rsidR="009E45E7" w:rsidRPr="0070250D" w:rsidRDefault="009E45E7" w:rsidP="009E45E7">
      <w:pPr>
        <w:jc w:val="both"/>
        <w:rPr>
          <w:sz w:val="28"/>
          <w:szCs w:val="28"/>
        </w:rPr>
      </w:pPr>
      <w:r w:rsidRPr="0070250D">
        <w:rPr>
          <w:noProof/>
          <w:sz w:val="28"/>
          <w:szCs w:val="28"/>
        </w:rPr>
        <w:lastRenderedPageBreak/>
        <w:drawing>
          <wp:inline distT="0" distB="0" distL="0" distR="0" wp14:anchorId="7EE6CD0E" wp14:editId="7755A145">
            <wp:extent cx="5400675" cy="23526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1745" w14:textId="77777777" w:rsidR="009E45E7" w:rsidRDefault="009E45E7" w:rsidP="009E45E7">
      <w:pPr>
        <w:jc w:val="both"/>
        <w:rPr>
          <w:sz w:val="18"/>
          <w:szCs w:val="18"/>
        </w:rPr>
      </w:pPr>
      <w:r w:rsidRPr="0070250D">
        <w:rPr>
          <w:sz w:val="18"/>
          <w:szCs w:val="18"/>
        </w:rPr>
        <w:t xml:space="preserve">ATIVIDADE MITOCONDRIAL COMPARATIVA EM Amostras frescas e 24 horas. Nos apresentamos análise comparativa nas amostras SAL e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que medem a atividade mitocondrial ASC em tempo, mostrando 7,11 vezes mais no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em amostras frescas e uma diferença crescente em favor do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de 12,98 vezes sempre versus as amostras de SAL. Em amostras de SAL, a apoptose pode explicar esse comportamento e nas amostras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STEP, a propriedade de </w:t>
      </w:r>
      <w:proofErr w:type="spellStart"/>
      <w:r w:rsidRPr="0070250D">
        <w:rPr>
          <w:sz w:val="18"/>
          <w:szCs w:val="18"/>
        </w:rPr>
        <w:t>fotoestimulação</w:t>
      </w:r>
      <w:proofErr w:type="spellEnd"/>
      <w:r w:rsidRPr="0070250D">
        <w:rPr>
          <w:sz w:val="18"/>
          <w:szCs w:val="18"/>
        </w:rPr>
        <w:t xml:space="preserve"> do laser 1210-nm.</w:t>
      </w:r>
    </w:p>
    <w:p w14:paraId="65B9719B" w14:textId="77777777" w:rsidR="009E45E7" w:rsidRDefault="009E45E7" w:rsidP="009E45E7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A Técnica po</w:t>
      </w:r>
      <w:r>
        <w:rPr>
          <w:sz w:val="28"/>
          <w:szCs w:val="28"/>
        </w:rPr>
        <w:t xml:space="preserve">r mim eleita exigirá </w:t>
      </w:r>
      <w:r w:rsidRPr="008233F0">
        <w:rPr>
          <w:sz w:val="28"/>
          <w:szCs w:val="28"/>
        </w:rPr>
        <w:t>o material</w:t>
      </w:r>
      <w:r>
        <w:rPr>
          <w:sz w:val="28"/>
          <w:szCs w:val="28"/>
        </w:rPr>
        <w:t xml:space="preserve"> supracitado.</w:t>
      </w:r>
    </w:p>
    <w:p w14:paraId="16482259" w14:textId="77777777" w:rsidR="00976BCB" w:rsidRDefault="008233F0" w:rsidP="00B16EC2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>.</w:t>
      </w:r>
    </w:p>
    <w:p w14:paraId="685A7E68" w14:textId="77777777" w:rsidR="00324092" w:rsidRPr="00324092" w:rsidRDefault="00324092" w:rsidP="00324092">
      <w:pPr>
        <w:shd w:val="clear" w:color="auto" w:fill="FFFFFF"/>
        <w:jc w:val="both"/>
        <w:rPr>
          <w:rFonts w:ascii="Arial" w:hAnsi="Arial" w:cs="Arial"/>
          <w:b/>
          <w:color w:val="222222"/>
          <w:sz w:val="24"/>
          <w:szCs w:val="24"/>
        </w:rPr>
      </w:pPr>
      <w:r w:rsidRPr="00324092">
        <w:rPr>
          <w:rFonts w:ascii="Arial" w:hAnsi="Arial" w:cs="Arial"/>
          <w:b/>
          <w:color w:val="222222"/>
          <w:sz w:val="24"/>
          <w:szCs w:val="24"/>
        </w:rPr>
        <w:t>Conforme artigo 17 da RN 428 da ANS:</w:t>
      </w:r>
    </w:p>
    <w:p w14:paraId="72B03FF5" w14:textId="77777777" w:rsidR="00324092" w:rsidRPr="00324092" w:rsidRDefault="00324092" w:rsidP="0032409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222222"/>
          <w:sz w:val="18"/>
          <w:szCs w:val="18"/>
        </w:rPr>
      </w:pPr>
      <w:r w:rsidRPr="00324092">
        <w:rPr>
          <w:rFonts w:ascii="Arial" w:hAnsi="Arial" w:cs="Arial"/>
          <w:color w:val="222222"/>
          <w:sz w:val="24"/>
          <w:szCs w:val="24"/>
        </w:rPr>
        <w:t> </w:t>
      </w:r>
      <w:r w:rsidRPr="00324092">
        <w:rPr>
          <w:rFonts w:ascii="Arial" w:hAnsi="Arial" w:cs="Arial"/>
          <w:color w:val="222222"/>
          <w:sz w:val="24"/>
          <w:szCs w:val="24"/>
        </w:rPr>
        <w:br w:type="textWrapping" w:clear="all"/>
      </w:r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>Art. 17. Taxas, materiais, contrastes, medicamentos, entre outros, necessários para a execução de</w:t>
      </w:r>
      <w:r w:rsidRPr="00324092">
        <w:rPr>
          <w:rFonts w:ascii="Arial" w:hAnsi="Arial" w:cs="Arial"/>
          <w:b/>
          <w:color w:val="222222"/>
          <w:sz w:val="24"/>
          <w:szCs w:val="24"/>
          <w:highlight w:val="yellow"/>
        </w:rPr>
        <w:t xml:space="preserve"> </w:t>
      </w:r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>procedimentos e eventos em saúde de cobertura obrigatória, contemplados nesta Resolução</w:t>
      </w:r>
      <w:r w:rsidRPr="00324092">
        <w:rPr>
          <w:rFonts w:ascii="Arial" w:hAnsi="Arial" w:cs="Arial"/>
          <w:b/>
          <w:color w:val="222222"/>
          <w:sz w:val="24"/>
          <w:szCs w:val="24"/>
          <w:highlight w:val="yellow"/>
        </w:rPr>
        <w:t xml:space="preserve"> </w:t>
      </w:r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>Normativa e nos seus Anexos, possuem cobertura obrigatória, desde que estejam regularizados e</w:t>
      </w:r>
      <w:r w:rsidRPr="00324092">
        <w:rPr>
          <w:rFonts w:ascii="Arial" w:hAnsi="Arial" w:cs="Arial"/>
          <w:b/>
          <w:color w:val="222222"/>
          <w:sz w:val="24"/>
          <w:szCs w:val="24"/>
          <w:highlight w:val="yellow"/>
        </w:rPr>
        <w:t xml:space="preserve"> </w:t>
      </w:r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 xml:space="preserve">registrados e suas indicações constem da bula/manual junto a Agência Nacional de </w:t>
      </w:r>
      <w:proofErr w:type="spellStart"/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>VigilânciaSanitária</w:t>
      </w:r>
      <w:proofErr w:type="spellEnd"/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 xml:space="preserve"> - ANVISA e respeitados os critérios de credenciamento, referenciamento, reembolso ou</w:t>
      </w:r>
      <w:r w:rsidRPr="00324092">
        <w:rPr>
          <w:rFonts w:ascii="Arial" w:hAnsi="Arial" w:cs="Arial"/>
          <w:b/>
          <w:color w:val="222222"/>
          <w:sz w:val="24"/>
          <w:szCs w:val="24"/>
          <w:highlight w:val="yellow"/>
        </w:rPr>
        <w:t xml:space="preserve"> </w:t>
      </w:r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 xml:space="preserve">qualquer outro tipo de relação entre a operadora de planos privados de assistência à saúde </w:t>
      </w:r>
      <w:proofErr w:type="spellStart"/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>eprestadores</w:t>
      </w:r>
      <w:proofErr w:type="spellEnd"/>
      <w:r w:rsidRPr="00324092">
        <w:rPr>
          <w:rFonts w:ascii="Arial" w:hAnsi="Arial" w:cs="Arial"/>
          <w:b/>
          <w:color w:val="000000"/>
          <w:sz w:val="24"/>
          <w:szCs w:val="24"/>
          <w:highlight w:val="yellow"/>
          <w:shd w:val="clear" w:color="auto" w:fill="FFFF00"/>
        </w:rPr>
        <w:t xml:space="preserve"> de serviços de saúde</w:t>
      </w:r>
      <w:r w:rsidRPr="00324092">
        <w:rPr>
          <w:rFonts w:ascii="Arial" w:hAnsi="Arial" w:cs="Arial"/>
          <w:b/>
          <w:color w:val="000000"/>
          <w:sz w:val="18"/>
          <w:szCs w:val="18"/>
          <w:highlight w:val="yellow"/>
          <w:shd w:val="clear" w:color="auto" w:fill="FFFF00"/>
        </w:rPr>
        <w:t>.</w:t>
      </w:r>
    </w:p>
    <w:p w14:paraId="6E929496" w14:textId="77777777" w:rsidR="00324092" w:rsidRPr="00324092" w:rsidRDefault="00324092" w:rsidP="00324092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18"/>
          <w:szCs w:val="18"/>
        </w:rPr>
      </w:pPr>
    </w:p>
    <w:p w14:paraId="085B1EA1" w14:textId="77777777" w:rsidR="00324092" w:rsidRDefault="00324092" w:rsidP="00B16EC2">
      <w:pPr>
        <w:jc w:val="both"/>
        <w:rPr>
          <w:sz w:val="28"/>
          <w:szCs w:val="28"/>
        </w:rPr>
      </w:pPr>
    </w:p>
    <w:p w14:paraId="2AB2BBC4" w14:textId="77777777" w:rsidR="00324092" w:rsidRDefault="00065306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vigente, e também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6947DE">
        <w:rPr>
          <w:sz w:val="28"/>
          <w:szCs w:val="28"/>
        </w:rPr>
        <w:t>) portanto i</w:t>
      </w:r>
      <w:r w:rsidR="00EB4195" w:rsidRPr="00A932CE">
        <w:rPr>
          <w:sz w:val="28"/>
          <w:szCs w:val="28"/>
        </w:rPr>
        <w:t>sto posto, aguardamos a vossa análise para a liberação do referido procedimento uma vez que o mesmo atende a todas as questões normativas anotadas pela</w:t>
      </w:r>
      <w:r w:rsidR="00A932CE">
        <w:rPr>
          <w:sz w:val="28"/>
          <w:szCs w:val="28"/>
        </w:rPr>
        <w:t>s</w:t>
      </w:r>
      <w:r w:rsidR="00EB4195"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="00EB4195"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="00EB4195"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428</w:t>
      </w:r>
      <w:r w:rsidR="00EB4195"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25DA074D" w14:textId="77777777" w:rsidR="00EB4195" w:rsidRDefault="00EB4195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Certo de vossa liberação </w:t>
      </w:r>
    </w:p>
    <w:p w14:paraId="3856D82F" w14:textId="77777777" w:rsidR="00412BC9" w:rsidRDefault="00412BC9" w:rsidP="00B16EC2">
      <w:pPr>
        <w:jc w:val="both"/>
        <w:rPr>
          <w:sz w:val="28"/>
          <w:szCs w:val="28"/>
        </w:rPr>
      </w:pPr>
    </w:p>
    <w:p w14:paraId="76B05A4A" w14:textId="77777777" w:rsidR="00412BC9" w:rsidRDefault="00412BC9" w:rsidP="00B16EC2">
      <w:pPr>
        <w:jc w:val="both"/>
        <w:rPr>
          <w:sz w:val="28"/>
          <w:szCs w:val="28"/>
        </w:rPr>
      </w:pPr>
    </w:p>
    <w:p w14:paraId="6684B334" w14:textId="77777777" w:rsidR="00B16EC2" w:rsidRDefault="00B16EC2" w:rsidP="00B16EC2">
      <w:pPr>
        <w:jc w:val="both"/>
        <w:rPr>
          <w:sz w:val="28"/>
          <w:szCs w:val="28"/>
        </w:rPr>
      </w:pPr>
    </w:p>
    <w:sectPr w:rsidR="00B16EC2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D"/>
    <w:rsid w:val="00003DE1"/>
    <w:rsid w:val="00006B0C"/>
    <w:rsid w:val="00024779"/>
    <w:rsid w:val="00065306"/>
    <w:rsid w:val="000A0115"/>
    <w:rsid w:val="000C639B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24092"/>
    <w:rsid w:val="00367847"/>
    <w:rsid w:val="00380E9E"/>
    <w:rsid w:val="00391344"/>
    <w:rsid w:val="00393F75"/>
    <w:rsid w:val="00393F7E"/>
    <w:rsid w:val="003A5B7B"/>
    <w:rsid w:val="00402066"/>
    <w:rsid w:val="0041024A"/>
    <w:rsid w:val="00412BC9"/>
    <w:rsid w:val="00454A20"/>
    <w:rsid w:val="004D0CA6"/>
    <w:rsid w:val="004E75F2"/>
    <w:rsid w:val="00570C0E"/>
    <w:rsid w:val="006224C9"/>
    <w:rsid w:val="00627B55"/>
    <w:rsid w:val="00640E0F"/>
    <w:rsid w:val="00673BFD"/>
    <w:rsid w:val="006947DE"/>
    <w:rsid w:val="00700CF4"/>
    <w:rsid w:val="0071432E"/>
    <w:rsid w:val="00724E95"/>
    <w:rsid w:val="007431F3"/>
    <w:rsid w:val="007A1109"/>
    <w:rsid w:val="007C2330"/>
    <w:rsid w:val="007C2780"/>
    <w:rsid w:val="007D53A7"/>
    <w:rsid w:val="008233F0"/>
    <w:rsid w:val="00885263"/>
    <w:rsid w:val="00976BCB"/>
    <w:rsid w:val="009C7CDE"/>
    <w:rsid w:val="009E45E7"/>
    <w:rsid w:val="009E74D8"/>
    <w:rsid w:val="00A031C4"/>
    <w:rsid w:val="00A932CE"/>
    <w:rsid w:val="00B16149"/>
    <w:rsid w:val="00B16EC2"/>
    <w:rsid w:val="00B57273"/>
    <w:rsid w:val="00BA27A7"/>
    <w:rsid w:val="00BE40B7"/>
    <w:rsid w:val="00C12F56"/>
    <w:rsid w:val="00C25B0E"/>
    <w:rsid w:val="00C27F96"/>
    <w:rsid w:val="00C631D0"/>
    <w:rsid w:val="00CE591B"/>
    <w:rsid w:val="00D13ED5"/>
    <w:rsid w:val="00D23F7A"/>
    <w:rsid w:val="00D6517C"/>
    <w:rsid w:val="00DA1FDE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B4EC2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A50D"/>
  <w15:docId w15:val="{F4C1F080-4C23-4FE5-98CE-9A3A3B95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  <w:style w:type="paragraph" w:styleId="Textodebalo">
    <w:name w:val="Balloon Text"/>
    <w:basedOn w:val="Normal"/>
    <w:link w:val="TextodebaloChar"/>
    <w:uiPriority w:val="99"/>
    <w:semiHidden/>
    <w:unhideWhenUsed/>
    <w:rsid w:val="00324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40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918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2</cp:revision>
  <cp:lastPrinted>2019-03-19T20:54:00Z</cp:lastPrinted>
  <dcterms:created xsi:type="dcterms:W3CDTF">2020-10-09T19:17:00Z</dcterms:created>
  <dcterms:modified xsi:type="dcterms:W3CDTF">2020-10-09T19:17:00Z</dcterms:modified>
</cp:coreProperties>
</file>