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A4D8F"/>
          <w:sz w:val="32"/>
        </w:rPr>
        <w:t>Relatório Médico Complementar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Justificativa Técnica para Autorização de OPME</w:t>
      </w:r>
    </w:p>
    <w:p>
      <w:pPr>
        <w:spacing w:after="160"/>
        <w:jc w:val="right"/>
      </w:pPr>
      <w:r>
        <w:rPr>
          <w:rFonts w:ascii="Calibri" w:hAnsi="Calibri"/>
          <w:b w:val="0"/>
          <w:color w:val="666666"/>
          <w:sz w:val="18"/>
        </w:rPr>
        <w:t>05/03/2026  |  Protocolo: OPME-20260305-804A7F</w:t>
      </w:r>
    </w:p>
    <w:p>
      <w:pPr>
        <w:spacing w:after="240"/>
        <w:pBdr>
          <w:bottom w:val="single" w:sz="12" w:color="1A4D8F" w:space="1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Paciente: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Patrícia Duarte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Convênio: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Bradesco Saúde</w:t>
            </w:r>
          </w:p>
        </w:tc>
      </w:tr>
      <w:tr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Diagnóstico (CID):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E88.2 — Lipedema grau I bilateral com deposição anormal de gordura subcutânea em membros inferiores, dor à palpação e limitação de mobilidade. Falha com tratamento conservador prolongado.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Material OPME: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Kit LP-CT - Lipedema</w:t>
            </w:r>
          </w:p>
        </w:tc>
      </w:tr>
      <w:tr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Especialidade: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Cirurgia Plástica</w:t>
            </w:r>
          </w:p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A paciente Patrícia Duarte, portadora de Lipedema (CID E88.2), apresenta quadro clínico de deformidade e funcionalidade anatômica dos membros inferiores, associado a dores intensas, mobilidade reduzida e distúrbios vasculares. Apesar das tentativas de tratamento conservador, incluindo fisioterapia e uso de meias de compressão, não houve melhora significativa, evidenciando a refratariedade do quadro. A manutenção do estado inflamatório crônico sem intervenção adequada perpetua um ambiente bioquímico hostil, dominado por citocinas pró-inflamatórias, acelerando a apoptose dos adipócitos e a degradação irreversível do tecido adiposo (Valente et al., 2024).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Para a correção das comorbidades geradas pelo Lipedema e a redução dos riscos de recidiva, é imperativa a realização de lipoaspiração assistida por laser com o Kit LP-CT - Lipedema. Este material proporciona um procedimento percutâneo minimamente invasivo, que preserva a histologia dos adipócitos e estimula a reparação tecidual, resultando em menor trauma tecidual e celular. A técnica One STEP, utilizada com este kit, apresenta vantagens significativas sobre métodos convencionais.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A não realização deste procedimento implica na progressão do Lipedema para estágios mais graves, com potencial necessidade de intervenções mais complexas e dispendiosas no futuro. O tratamento profilático aqui proposto é significativamente inferior ao custo de procedimentos de maior morbidade, como artroplastias ou cirurgias reconstrutivas extensas. A negativa do material solicitado pode resultar em aumento das internações e custos para a operadora de saúde.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Conforme a Resolução Normativa 424 da ANS, cabe exclusivamente ao médico assistente a prerrogativa de determinar as características dos materiais OPME necessários. A Resolução 428/465 obriga a cobertura mínima dos procedimentos descritos no Rol da ANS, e a RN 395 exige justificativa de negativa por escrito, fundamentada em evidências científicas de mesmo nível das aqui citadas. Além disso, o Código de Ética Médica determina que o médico deve usar o melhor do progresso científico em benefício do paciente.</w:t>
      </w:r>
    </w:p>
    <w:p>
      <w:pPr>
        <w:spacing w:before="160" w:after="160"/>
        <w:jc w:val="both"/>
      </w:pPr>
      <w:r>
        <w:rPr>
          <w:rFonts w:ascii="Calibri" w:hAnsi="Calibri"/>
          <w:b/>
          <w:color w:val="C0392B"/>
          <w:sz w:val="20"/>
        </w:rPr>
        <w:t>A substituição deste material por opção de menor desempenho técnico transfere à operadora de saúde a responsabilidade integral por eventuais complicações clínicas, reoperações ou insucesso do desfecho cirúrgico, conforme responsabilidade civil profissional. Certos de vossa presteza, aguardamos a liberação.</w:t>
      </w:r>
    </w:p>
    <w:p>
      <w:pPr>
        <w:spacing w:before="320" w:after="120"/>
        <w:pBdr>
          <w:top w:val="single" w:sz="4" w:color="DDDDDD" w:space="4"/>
        </w:pBdr>
      </w:pPr>
      <w:r>
        <w:rPr>
          <w:rFonts w:ascii="Calibri" w:hAnsi="Calibri"/>
          <w:b/>
          <w:color w:val="1A4D8F"/>
          <w:sz w:val="20"/>
        </w:rPr>
        <w:t>REFERÊNCIAS BIBLIOGRÁFICAS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■ Valente et al., 2024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b/>
          <w:color w:val="1A4D8F"/>
          <w:sz w:val="20"/>
        </w:rPr>
        <w:t>CHECKLIST DE CONFORMIDADE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Diagnostico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Justificativa Tecnica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Falha Terapeutica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Risco Nao Realizacao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Base Legal Ans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Referencia Bibliografica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Calibri" w:hAnsi="Calibri"/>
          <w:b w:val="0"/>
          <w:color w:val="1A1A1A"/>
          <w:sz w:val="22"/>
        </w:rPr>
        <w:t>___________________________</w:t>
      </w:r>
    </w:p>
    <w:p>
      <w:pPr>
        <w:jc w:val="center"/>
      </w:pPr>
      <w:r>
        <w:rPr>
          <w:rFonts w:ascii="Calibri" w:hAnsi="Calibri"/>
          <w:b/>
          <w:color w:val="1A1A1A"/>
          <w:sz w:val="22"/>
        </w:rPr>
        <w:t>Dr. Exemplo (Gerado por IA)</w:t>
      </w:r>
    </w:p>
    <w:p>
      <w:pPr>
        <w:jc w:val="center"/>
      </w:pPr>
      <w:r>
        <w:rPr>
          <w:rFonts w:ascii="Calibri" w:hAnsi="Calibri"/>
          <w:b w:val="0"/>
          <w:color w:val="666666"/>
          <w:sz w:val="18"/>
        </w:rPr>
        <w:t>CRM/SP 000000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