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OPME-20260305-6E56E9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Ricardo Souza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SulAmérica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M17.0 — Gonartrose bilateral grau III Kellgren-Lawrence com dor crônica, derrame articular recorrente e falha de viscossuplementação com HA convencional. Indicação de terapia com fração vascular estromal (SVF) autóloga.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EC2 - Enxerto Composto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Ortopedia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RELATÓRIO MÉDICO COMPLEMENTAR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Paciente: Ricardo Souza Convênio: SulAmérica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Prezado Convênio,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O paciente Ricardo Souza, portador de gonartrose bilateral grau III segundo a classificação de Kellgren-Lawrence, apresenta dor crônica e derrame articular recorrente, com falha comprovada de viscossuplementação utilizando ácido hialurônico convencional. A patologia em questão, sem a devida intervenção, perpetua um ambiente bioquímico desfavorável, dominado por citocinas pró-inflamatórias como IL-1β e TNF-α, que aceleram a apoptose dos condrócitos e a degradação irreversível da matriz extracelular (Sadri et al., 2023; Anil et al., 2021; Berman et al., 2019).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terapia proposta com fração vascular estromal (SVF) autóloga, utilizando o Kit EC2 - Enxerto Composto, é essencial para interromper essa cascata degenerativa. O Kit EC2 permite a colheita e reimplantação de SVF, que contém uma coleção heterogênea de células do tecido adiposo, incluindo MSCs, células precursoras endoteliais e macrófagos, conferindo um potencial regenerativo superior (Nguyen et al., 2015; Rodriguez-Merchan et al., 2022). Diferente de alternativas genéricas, o Kit EC2 preserva a integridade celular entre colheita e reimplantação, reduzindo riscos de contaminação e degradação tecidual.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não realização do procedimento indicado resultará na progressão da doença para estágios mais graves, potencialmente culminando em artroplastia total de joelho, cujo custo varia entre R$30.000 e R$50.000, significativamente superior ao custo do tratamento profilático aqui proposto. Além disso, a manutenção do quadro atual aumentará a morbidade do paciente, resultando em mais internações e custos adicionais para a operadora (Sadri et al., 2023; Anil et al., 2021).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FUNDAMENTAÇÃO LEGAL: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Conforme a RN 395 da ANS, cabe exclusivamente ao médico assistente a prerrogativa de determinar as características, tipo e matéria-prima dos materiais OPME. A RN 428/465 garante a cobertura obrigatória dos procedimentos citados, enquanto a RN 395 exige que a operadora apresente justificativa de negativa por escrito, fundamentada em evidências científicas de mesmo nível das aqui citadas. O Código de Ética Médica, Capítulo I, V, reforça que compete ao médico usar o melhor do progresso científico em benefício do paciente.</w:t>
      </w:r>
    </w:p>
    <w:p>
      <w:pPr>
        <w:spacing w:before="160" w:after="160"/>
        <w:jc w:val="both"/>
      </w:pPr>
      <w:r>
        <w:rPr>
          <w:rFonts w:ascii="Calibri" w:hAnsi="Calibri"/>
          <w:b/>
          <w:color w:val="C0392B"/>
          <w:sz w:val="20"/>
        </w:rPr>
        <w:t>A substituição deste material por opção de menor desempenho técnico transfere à operadora de saúde a responsabilidade integral por eventuais complicações clínicas, reoperações ou insucesso do desfecho cirúrgico, conforme responsabilidade civil profissional.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Sadri et al., 2023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Anil et al., 2021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Berman et al., 2019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Nguyen et al., 2015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Rodriguez-Merchan et al., 2022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